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197485</wp:posOffset>
            </wp:positionH>
            <wp:positionV relativeFrom="page">
              <wp:posOffset>146685</wp:posOffset>
            </wp:positionV>
            <wp:extent cx="715391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28575"/>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247650</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6-K</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Report of Foreign Private Issuer</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Pursuant to Rule 13a-16 or 15d-16 under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month of May 2023</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Commission File Number: 001-14014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CREDICORP LTD.</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(Translation of registrant’s name into English)</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 our subsidiary</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Banco de Credito del Peru:</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Calle Centenario 156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La Molina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Lima 12, Peru</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65" w:lineRule="exact"/>
        <w:rPr>
          <w:sz w:val="24"/>
          <w:szCs w:val="24"/>
          <w:color w:val="auto"/>
        </w:rPr>
      </w:pPr>
    </w:p>
    <w:p>
      <w:pPr>
        <w:jc w:val="center"/>
        <w:spacing w:after="0" w:line="173" w:lineRule="exact"/>
        <w:rPr>
          <w:sz w:val="20"/>
          <w:szCs w:val="20"/>
          <w:color w:val="auto"/>
        </w:rPr>
      </w:pPr>
      <w:r>
        <w:rPr>
          <w:rFonts w:ascii="Times New Roman" w:cs="Times New Roman" w:eastAsia="Times New Roman" w:hAnsi="Times New Roman"/>
          <w:sz w:val="15"/>
          <w:szCs w:val="15"/>
          <w:color w:val="auto"/>
        </w:rPr>
        <w:t xml:space="preserve">Form 20-F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40-F </w:t>
      </w:r>
      <w:r>
        <w:rPr>
          <w:rFonts w:ascii="MS PGothic" w:cs="MS PGothic" w:eastAsia="MS PGothic" w:hAnsi="MS PGothic"/>
          <w:sz w:val="15"/>
          <w:szCs w:val="15"/>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submitting the Form 6-K in paper as permitted by Regulation S-T Rule 101(b)(1): ____</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submitting the Form 6-K in paper as permitted by Regulation S-T Rule 101(b)(7): ____</w:t>
      </w:r>
    </w:p>
    <w:p>
      <w:pPr>
        <w:spacing w:after="0" w:line="191"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5"/>
          <w:szCs w:val="15"/>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539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53910" cy="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910" cy="28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15391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467" w:right="319" w:bottom="1440" w:gutter="0" w:footer="0" w:header="0"/>
        </w:sectPr>
      </w:pPr>
    </w:p>
    <w:bookmarkStart w:id="1" w:name="page2"/>
    <w:bookmarkEnd w:id="1"/>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95" w:lineRule="exact"/>
        <w:rPr>
          <w:sz w:val="20"/>
          <w:szCs w:val="20"/>
          <w:color w:val="auto"/>
        </w:rPr>
      </w:pPr>
    </w:p>
    <w:p>
      <w:pPr>
        <w:ind w:firstLine="449"/>
        <w:spacing w:after="0" w:line="286"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Date: May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2023</w:t>
      </w:r>
    </w:p>
    <w:p>
      <w:pPr>
        <w:spacing w:after="0" w:line="8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CREDICORP LTD.</w:t>
      </w:r>
    </w:p>
    <w:p>
      <w:pPr>
        <w:spacing w:after="0" w:line="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(Registrant)</w:t>
      </w:r>
    </w:p>
    <w:p>
      <w:pPr>
        <w:spacing w:after="0" w:line="175"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15240</wp:posOffset>
            </wp:positionV>
            <wp:extent cx="288163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81630" cy="14605"/>
                    </a:xfrm>
                    <a:prstGeom prst="rect">
                      <a:avLst/>
                    </a:prstGeom>
                    <a:noFill/>
                  </pic:spPr>
                </pic:pic>
              </a:graphicData>
            </a:graphic>
          </wp:anchor>
        </w:drawing>
      </w:r>
    </w:p>
    <w:p>
      <w:pPr>
        <w:spacing w:after="0" w:line="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5"/>
          <w:szCs w:val="15"/>
          <w:b w:val="1"/>
          <w:bCs w:val="1"/>
          <w:color w:val="auto"/>
        </w:rPr>
        <w:t>Guillermo Morales</w:t>
      </w:r>
    </w:p>
    <w:p>
      <w:pPr>
        <w:spacing w:after="0" w:line="2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5"/>
          <w:szCs w:val="15"/>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5391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2" w:name="page3"/>
    <w:bookmarkEnd w:id="2"/>
    <w:p>
      <w:pPr>
        <w:ind w:left="9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2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910" cy="2857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144780</wp:posOffset>
            </wp:positionV>
            <wp:extent cx="7153910" cy="8299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8299450"/>
                    </a:xfrm>
                    <a:prstGeom prst="rect">
                      <a:avLst/>
                    </a:prstGeom>
                    <a:noFill/>
                  </pic:spPr>
                </pic:pic>
              </a:graphicData>
            </a:graphic>
          </wp:anchor>
        </w:drawing>
      </w:r>
    </w:p>
    <w:p>
      <w:pPr>
        <w:sectPr>
          <w:pgSz w:w="11900" w:h="16838" w:orient="portrait"/>
          <w:cols w:equalWidth="0" w:num="1">
            <w:col w:w="10140"/>
          </w:cols>
          <w:pgMar w:left="1440" w:top="249" w:right="319" w:bottom="1440" w:gutter="0" w:footer="0" w:header="0"/>
        </w:sectPr>
      </w:pPr>
    </w:p>
    <w:bookmarkStart w:id="3" w:name="page4"/>
    <w:bookmarkEnd w:id="3"/>
    <w:p>
      <w:pPr>
        <w:ind w:left="2700"/>
        <w:spacing w:after="0"/>
        <w:tabs>
          <w:tab w:leader="none" w:pos="290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41"/>
          <w:szCs w:val="41"/>
          <w:b w:val="1"/>
          <w:bCs w:val="1"/>
          <w:color w:val="2AD2C9"/>
        </w:rPr>
        <w:t>Table of Contents</w:t>
      </w:r>
    </w:p>
    <w:p>
      <w:pPr>
        <w:spacing w:after="0" w:line="360" w:lineRule="exact"/>
        <w:rPr>
          <w:sz w:val="20"/>
          <w:szCs w:val="20"/>
          <w:color w:val="auto"/>
        </w:rPr>
      </w:pPr>
    </w:p>
    <w:tbl>
      <w:tblPr>
        <w:tblLayout w:type="fixed"/>
        <w:tblInd w:w="780" w:type="dxa"/>
        <w:tblCellMar>
          <w:top w:w="0" w:type="dxa"/>
          <w:left w:w="0" w:type="dxa"/>
          <w:bottom w:w="0" w:type="dxa"/>
          <w:right w:w="0" w:type="dxa"/>
        </w:tblCellMar>
      </w:tblPr>
      <w:tr>
        <w:trPr>
          <w:trHeight w:val="218"/>
        </w:trPr>
        <w:tc>
          <w:tcPr>
            <w:tcW w:w="6880" w:type="dxa"/>
            <w:vAlign w:val="bottom"/>
          </w:tcPr>
          <w:p>
            <w:pPr>
              <w:spacing w:after="0"/>
              <w:rPr>
                <w:sz w:val="20"/>
                <w:szCs w:val="20"/>
                <w:color w:val="auto"/>
              </w:rPr>
            </w:pPr>
            <w:r>
              <w:rPr>
                <w:rFonts w:ascii="Arial" w:cs="Arial" w:eastAsia="Arial" w:hAnsi="Arial"/>
                <w:sz w:val="15"/>
                <w:szCs w:val="15"/>
                <w:b w:val="1"/>
                <w:bCs w:val="1"/>
                <w:color w:val="A6A6A6"/>
              </w:rPr>
              <w:t>Operating and Financial Highlights</w:t>
            </w:r>
          </w:p>
        </w:tc>
        <w:tc>
          <w:tcPr>
            <w:tcW w:w="36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397"/>
        </w:trPr>
        <w:tc>
          <w:tcPr>
            <w:tcW w:w="6880" w:type="dxa"/>
            <w:vAlign w:val="bottom"/>
          </w:tcPr>
          <w:p>
            <w:pPr>
              <w:spacing w:after="0"/>
              <w:rPr>
                <w:sz w:val="20"/>
                <w:szCs w:val="20"/>
                <w:color w:val="auto"/>
              </w:rPr>
            </w:pPr>
            <w:r>
              <w:rPr>
                <w:rFonts w:ascii="Arial" w:cs="Arial" w:eastAsia="Arial" w:hAnsi="Arial"/>
                <w:sz w:val="15"/>
                <w:szCs w:val="15"/>
                <w:b w:val="1"/>
                <w:bCs w:val="1"/>
                <w:color w:val="A6A6A6"/>
              </w:rPr>
              <w:t>Senior Management Quotes</w:t>
            </w:r>
          </w:p>
        </w:tc>
        <w:tc>
          <w:tcPr>
            <w:tcW w:w="36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397"/>
        </w:trPr>
        <w:tc>
          <w:tcPr>
            <w:tcW w:w="6880" w:type="dxa"/>
            <w:vAlign w:val="bottom"/>
          </w:tcPr>
          <w:p>
            <w:pPr>
              <w:spacing w:after="0"/>
              <w:rPr>
                <w:sz w:val="20"/>
                <w:szCs w:val="20"/>
                <w:color w:val="auto"/>
              </w:rPr>
            </w:pPr>
            <w:r>
              <w:rPr>
                <w:rFonts w:ascii="Arial" w:cs="Arial" w:eastAsia="Arial" w:hAnsi="Arial"/>
                <w:sz w:val="15"/>
                <w:szCs w:val="15"/>
                <w:b w:val="1"/>
                <w:bCs w:val="1"/>
                <w:color w:val="A6A6A6"/>
              </w:rPr>
              <w:t>Fourth Quarter 2023 Earnings Conference Call</w:t>
            </w:r>
          </w:p>
        </w:tc>
        <w:tc>
          <w:tcPr>
            <w:tcW w:w="360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397"/>
        </w:trPr>
        <w:tc>
          <w:tcPr>
            <w:tcW w:w="6880" w:type="dxa"/>
            <w:vAlign w:val="bottom"/>
          </w:tcPr>
          <w:p>
            <w:pPr>
              <w:spacing w:after="0"/>
              <w:rPr>
                <w:sz w:val="20"/>
                <w:szCs w:val="20"/>
                <w:color w:val="auto"/>
              </w:rPr>
            </w:pPr>
            <w:r>
              <w:rPr>
                <w:rFonts w:ascii="Arial" w:cs="Arial" w:eastAsia="Arial" w:hAnsi="Arial"/>
                <w:sz w:val="15"/>
                <w:szCs w:val="15"/>
                <w:b w:val="1"/>
                <w:bCs w:val="1"/>
                <w:color w:val="A6A6A6"/>
              </w:rPr>
              <w:t>Summary of Financial Performance and Outlook</w:t>
            </w:r>
          </w:p>
        </w:tc>
        <w:tc>
          <w:tcPr>
            <w:tcW w:w="360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401"/>
        </w:trPr>
        <w:tc>
          <w:tcPr>
            <w:tcW w:w="6880" w:type="dxa"/>
            <w:vAlign w:val="bottom"/>
          </w:tcPr>
          <w:p>
            <w:pPr>
              <w:spacing w:after="0"/>
              <w:rPr>
                <w:sz w:val="20"/>
                <w:szCs w:val="20"/>
                <w:color w:val="auto"/>
              </w:rPr>
            </w:pPr>
            <w:r>
              <w:rPr>
                <w:rFonts w:ascii="Arial" w:cs="Arial" w:eastAsia="Arial" w:hAnsi="Arial"/>
                <w:sz w:val="15"/>
                <w:szCs w:val="15"/>
                <w:b w:val="1"/>
                <w:bCs w:val="1"/>
                <w:color w:val="A6A6A6"/>
              </w:rPr>
              <w:t>Financial Overview</w:t>
            </w:r>
          </w:p>
        </w:tc>
        <w:tc>
          <w:tcPr>
            <w:tcW w:w="360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397"/>
        </w:trPr>
        <w:tc>
          <w:tcPr>
            <w:tcW w:w="6880" w:type="dxa"/>
            <w:vAlign w:val="bottom"/>
          </w:tcPr>
          <w:p>
            <w:pPr>
              <w:spacing w:after="0"/>
              <w:rPr>
                <w:sz w:val="20"/>
                <w:szCs w:val="20"/>
                <w:color w:val="auto"/>
              </w:rPr>
            </w:pPr>
            <w:r>
              <w:rPr>
                <w:rFonts w:ascii="Arial" w:cs="Arial" w:eastAsia="Arial" w:hAnsi="Arial"/>
                <w:sz w:val="15"/>
                <w:szCs w:val="15"/>
                <w:b w:val="1"/>
                <w:bCs w:val="1"/>
                <w:color w:val="A6A6A6"/>
              </w:rPr>
              <w:t>Credicorp’s Strategy Update</w:t>
            </w:r>
          </w:p>
        </w:tc>
        <w:tc>
          <w:tcPr>
            <w:tcW w:w="360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382"/>
        </w:trPr>
        <w:tc>
          <w:tcPr>
            <w:tcW w:w="6880" w:type="dxa"/>
            <w:vAlign w:val="bottom"/>
          </w:tcPr>
          <w:p>
            <w:pPr>
              <w:spacing w:after="0"/>
              <w:rPr>
                <w:sz w:val="20"/>
                <w:szCs w:val="20"/>
                <w:color w:val="auto"/>
              </w:rPr>
            </w:pPr>
            <w:r>
              <w:rPr>
                <w:rFonts w:ascii="Arial" w:cs="Arial" w:eastAsia="Arial" w:hAnsi="Arial"/>
                <w:sz w:val="15"/>
                <w:szCs w:val="15"/>
                <w:b w:val="1"/>
                <w:bCs w:val="1"/>
                <w:color w:val="A6A6A6"/>
              </w:rPr>
              <w:t>Analysis of 1Q23 Consolidated Results</w:t>
            </w:r>
          </w:p>
        </w:tc>
        <w:tc>
          <w:tcPr>
            <w:tcW w:w="3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-1634490</wp:posOffset>
            </wp:positionV>
            <wp:extent cx="158750" cy="144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750" cy="144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-1382395</wp:posOffset>
            </wp:positionV>
            <wp:extent cx="158750" cy="144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750" cy="144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-1130300</wp:posOffset>
            </wp:positionV>
            <wp:extent cx="158750" cy="144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750" cy="144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-877570</wp:posOffset>
            </wp:positionV>
            <wp:extent cx="158750" cy="144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750" cy="144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158750" cy="144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750" cy="144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-373380</wp:posOffset>
            </wp:positionV>
            <wp:extent cx="158750" cy="144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8750" cy="144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158750" cy="144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8750" cy="144145"/>
                    </a:xfrm>
                    <a:prstGeom prst="rect">
                      <a:avLst/>
                    </a:prstGeom>
                    <a:noFill/>
                  </pic:spPr>
                </pic:pic>
              </a:graphicData>
            </a:graphic>
          </wp:anchor>
        </w:drawing>
      </w:r>
    </w:p>
    <w:p>
      <w:pPr>
        <w:sectPr>
          <w:pgSz w:w="11900" w:h="16838" w:orient="portrait"/>
          <w:cols w:equalWidth="0" w:num="1">
            <w:col w:w="11260"/>
          </w:cols>
          <w:pgMar w:left="320" w:top="367" w:right="319" w:bottom="1440" w:gutter="0" w:footer="0" w:header="0"/>
        </w:sectPr>
      </w:pPr>
    </w:p>
    <w:p>
      <w:pPr>
        <w:spacing w:after="0" w:line="167"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E93CAC"/>
        </w:rPr>
        <w:t>01</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E93CAC"/>
        </w:rPr>
        <w:t>02</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E93CAC"/>
        </w:rPr>
        <w:t>03</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E93CAC"/>
        </w:rPr>
        <w:t>04</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E93CAC"/>
        </w:rPr>
        <w:t>05</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E93CAC"/>
        </w:rPr>
        <w:t>06</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E93CAC"/>
        </w:rPr>
        <w:t>07</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E93CAC"/>
        </w:rPr>
        <w:t>08</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E93CAC"/>
        </w:rPr>
        <w:t>09</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E93CAC"/>
        </w:rPr>
        <w:t>10</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E93CAC"/>
        </w:rPr>
        <w:t>11</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E93CAC"/>
        </w:rPr>
        <w:t>12</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220" w:type="dxa"/>
            <w:vAlign w:val="bottom"/>
          </w:tcPr>
          <w:p>
            <w:pPr>
              <w:spacing w:after="0"/>
              <w:rPr>
                <w:sz w:val="20"/>
                <w:szCs w:val="20"/>
                <w:color w:val="auto"/>
              </w:rPr>
            </w:pPr>
            <w:r>
              <w:rPr>
                <w:rFonts w:ascii="Arial" w:cs="Arial" w:eastAsia="Arial" w:hAnsi="Arial"/>
                <w:sz w:val="18"/>
                <w:szCs w:val="18"/>
                <w:color w:val="E93CAC"/>
              </w:rPr>
              <w:t>Loans and Portfolio Quality</w:t>
            </w:r>
          </w:p>
        </w:tc>
        <w:tc>
          <w:tcPr>
            <w:tcW w:w="346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590"/>
        </w:trPr>
        <w:tc>
          <w:tcPr>
            <w:tcW w:w="6220" w:type="dxa"/>
            <w:vAlign w:val="bottom"/>
          </w:tcPr>
          <w:p>
            <w:pPr>
              <w:spacing w:after="0"/>
              <w:rPr>
                <w:sz w:val="20"/>
                <w:szCs w:val="20"/>
                <w:color w:val="auto"/>
              </w:rPr>
            </w:pPr>
            <w:r>
              <w:rPr>
                <w:rFonts w:ascii="Arial" w:cs="Arial" w:eastAsia="Arial" w:hAnsi="Arial"/>
                <w:sz w:val="18"/>
                <w:szCs w:val="18"/>
                <w:color w:val="E93CAC"/>
              </w:rPr>
              <w:t>Deposits</w:t>
            </w:r>
          </w:p>
        </w:tc>
        <w:tc>
          <w:tcPr>
            <w:tcW w:w="346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590"/>
        </w:trPr>
        <w:tc>
          <w:tcPr>
            <w:tcW w:w="6220" w:type="dxa"/>
            <w:vAlign w:val="bottom"/>
          </w:tcPr>
          <w:p>
            <w:pPr>
              <w:spacing w:after="0"/>
              <w:rPr>
                <w:sz w:val="20"/>
                <w:szCs w:val="20"/>
                <w:color w:val="auto"/>
              </w:rPr>
            </w:pPr>
            <w:r>
              <w:rPr>
                <w:rFonts w:ascii="Arial" w:cs="Arial" w:eastAsia="Arial" w:hAnsi="Arial"/>
                <w:sz w:val="18"/>
                <w:szCs w:val="18"/>
                <w:color w:val="E93CAC"/>
              </w:rPr>
              <w:t>Interest Earning Assets and Funding</w:t>
            </w:r>
          </w:p>
        </w:tc>
        <w:tc>
          <w:tcPr>
            <w:tcW w:w="346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590"/>
        </w:trPr>
        <w:tc>
          <w:tcPr>
            <w:tcW w:w="6220" w:type="dxa"/>
            <w:vAlign w:val="bottom"/>
          </w:tcPr>
          <w:p>
            <w:pPr>
              <w:spacing w:after="0"/>
              <w:rPr>
                <w:sz w:val="20"/>
                <w:szCs w:val="20"/>
                <w:color w:val="auto"/>
              </w:rPr>
            </w:pPr>
            <w:r>
              <w:rPr>
                <w:rFonts w:ascii="Arial" w:cs="Arial" w:eastAsia="Arial" w:hAnsi="Arial"/>
                <w:sz w:val="18"/>
                <w:szCs w:val="18"/>
                <w:color w:val="E93CAC"/>
              </w:rPr>
              <w:t>Net Interest Income</w:t>
            </w:r>
          </w:p>
        </w:tc>
        <w:tc>
          <w:tcPr>
            <w:tcW w:w="346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590"/>
        </w:trPr>
        <w:tc>
          <w:tcPr>
            <w:tcW w:w="6220" w:type="dxa"/>
            <w:vAlign w:val="bottom"/>
          </w:tcPr>
          <w:p>
            <w:pPr>
              <w:spacing w:after="0"/>
              <w:rPr>
                <w:sz w:val="20"/>
                <w:szCs w:val="20"/>
                <w:color w:val="auto"/>
              </w:rPr>
            </w:pPr>
            <w:r>
              <w:rPr>
                <w:rFonts w:ascii="Arial" w:cs="Arial" w:eastAsia="Arial" w:hAnsi="Arial"/>
                <w:sz w:val="18"/>
                <w:szCs w:val="18"/>
                <w:color w:val="E93CAC"/>
              </w:rPr>
              <w:t>Provisions</w:t>
            </w:r>
          </w:p>
        </w:tc>
        <w:tc>
          <w:tcPr>
            <w:tcW w:w="346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590"/>
        </w:trPr>
        <w:tc>
          <w:tcPr>
            <w:tcW w:w="6220" w:type="dxa"/>
            <w:vAlign w:val="bottom"/>
          </w:tcPr>
          <w:p>
            <w:pPr>
              <w:spacing w:after="0"/>
              <w:rPr>
                <w:sz w:val="20"/>
                <w:szCs w:val="20"/>
                <w:color w:val="auto"/>
              </w:rPr>
            </w:pPr>
            <w:r>
              <w:rPr>
                <w:rFonts w:ascii="Arial" w:cs="Arial" w:eastAsia="Arial" w:hAnsi="Arial"/>
                <w:sz w:val="18"/>
                <w:szCs w:val="18"/>
                <w:color w:val="E93CAC"/>
              </w:rPr>
              <w:t>Other Income</w:t>
            </w:r>
          </w:p>
        </w:tc>
        <w:tc>
          <w:tcPr>
            <w:tcW w:w="346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590"/>
        </w:trPr>
        <w:tc>
          <w:tcPr>
            <w:tcW w:w="6220" w:type="dxa"/>
            <w:vAlign w:val="bottom"/>
          </w:tcPr>
          <w:p>
            <w:pPr>
              <w:spacing w:after="0"/>
              <w:rPr>
                <w:sz w:val="20"/>
                <w:szCs w:val="20"/>
                <w:color w:val="auto"/>
              </w:rPr>
            </w:pPr>
            <w:r>
              <w:rPr>
                <w:rFonts w:ascii="Arial" w:cs="Arial" w:eastAsia="Arial" w:hAnsi="Arial"/>
                <w:sz w:val="18"/>
                <w:szCs w:val="18"/>
                <w:color w:val="E93CAC"/>
              </w:rPr>
              <w:t>Insurance Underwriting Results</w:t>
            </w:r>
          </w:p>
        </w:tc>
        <w:tc>
          <w:tcPr>
            <w:tcW w:w="346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590"/>
        </w:trPr>
        <w:tc>
          <w:tcPr>
            <w:tcW w:w="6220" w:type="dxa"/>
            <w:vAlign w:val="bottom"/>
          </w:tcPr>
          <w:p>
            <w:pPr>
              <w:spacing w:after="0"/>
              <w:rPr>
                <w:sz w:val="20"/>
                <w:szCs w:val="20"/>
                <w:color w:val="auto"/>
              </w:rPr>
            </w:pPr>
            <w:r>
              <w:rPr>
                <w:rFonts w:ascii="Arial" w:cs="Arial" w:eastAsia="Arial" w:hAnsi="Arial"/>
                <w:sz w:val="18"/>
                <w:szCs w:val="18"/>
                <w:color w:val="E93CAC"/>
              </w:rPr>
              <w:t>Operating Expenses</w:t>
            </w:r>
          </w:p>
        </w:tc>
        <w:tc>
          <w:tcPr>
            <w:tcW w:w="346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590"/>
        </w:trPr>
        <w:tc>
          <w:tcPr>
            <w:tcW w:w="6220" w:type="dxa"/>
            <w:vAlign w:val="bottom"/>
          </w:tcPr>
          <w:p>
            <w:pPr>
              <w:spacing w:after="0"/>
              <w:rPr>
                <w:sz w:val="20"/>
                <w:szCs w:val="20"/>
                <w:color w:val="auto"/>
              </w:rPr>
            </w:pPr>
            <w:r>
              <w:rPr>
                <w:rFonts w:ascii="Arial" w:cs="Arial" w:eastAsia="Arial" w:hAnsi="Arial"/>
                <w:sz w:val="18"/>
                <w:szCs w:val="18"/>
                <w:color w:val="E93CAC"/>
              </w:rPr>
              <w:t>Operating Efficiency</w:t>
            </w:r>
          </w:p>
        </w:tc>
        <w:tc>
          <w:tcPr>
            <w:tcW w:w="346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590"/>
        </w:trPr>
        <w:tc>
          <w:tcPr>
            <w:tcW w:w="6220" w:type="dxa"/>
            <w:vAlign w:val="bottom"/>
          </w:tcPr>
          <w:p>
            <w:pPr>
              <w:spacing w:after="0"/>
              <w:rPr>
                <w:sz w:val="20"/>
                <w:szCs w:val="20"/>
                <w:color w:val="auto"/>
              </w:rPr>
            </w:pPr>
            <w:r>
              <w:rPr>
                <w:rFonts w:ascii="Arial" w:cs="Arial" w:eastAsia="Arial" w:hAnsi="Arial"/>
                <w:sz w:val="18"/>
                <w:szCs w:val="18"/>
                <w:color w:val="E93CAC"/>
              </w:rPr>
              <w:t>Regulatory Capital</w:t>
            </w:r>
          </w:p>
        </w:tc>
        <w:tc>
          <w:tcPr>
            <w:tcW w:w="34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590"/>
        </w:trPr>
        <w:tc>
          <w:tcPr>
            <w:tcW w:w="6220" w:type="dxa"/>
            <w:vAlign w:val="bottom"/>
          </w:tcPr>
          <w:p>
            <w:pPr>
              <w:spacing w:after="0"/>
              <w:rPr>
                <w:sz w:val="20"/>
                <w:szCs w:val="20"/>
                <w:color w:val="auto"/>
              </w:rPr>
            </w:pPr>
            <w:r>
              <w:rPr>
                <w:rFonts w:ascii="Arial" w:cs="Arial" w:eastAsia="Arial" w:hAnsi="Arial"/>
                <w:sz w:val="18"/>
                <w:szCs w:val="18"/>
                <w:color w:val="E93CAC"/>
              </w:rPr>
              <w:t>Economic Outlook</w:t>
            </w:r>
          </w:p>
        </w:tc>
        <w:tc>
          <w:tcPr>
            <w:tcW w:w="34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590"/>
        </w:trPr>
        <w:tc>
          <w:tcPr>
            <w:tcW w:w="6220" w:type="dxa"/>
            <w:vAlign w:val="bottom"/>
          </w:tcPr>
          <w:p>
            <w:pPr>
              <w:spacing w:after="0"/>
              <w:rPr>
                <w:sz w:val="20"/>
                <w:szCs w:val="20"/>
                <w:color w:val="auto"/>
              </w:rPr>
            </w:pPr>
            <w:r>
              <w:rPr>
                <w:rFonts w:ascii="Arial" w:cs="Arial" w:eastAsia="Arial" w:hAnsi="Arial"/>
                <w:sz w:val="18"/>
                <w:szCs w:val="18"/>
                <w:color w:val="E93CAC"/>
              </w:rPr>
              <w:t>Appendix</w:t>
            </w:r>
          </w:p>
        </w:tc>
        <w:tc>
          <w:tcPr>
            <w:tcW w:w="3460" w:type="dxa"/>
            <w:vAlign w:val="bottom"/>
          </w:tcPr>
          <w:p>
            <w:pPr>
              <w:jc w:val="right"/>
              <w:spacing w:after="0"/>
              <w:rPr>
                <w:sz w:val="20"/>
                <w:szCs w:val="20"/>
                <w:color w:val="auto"/>
              </w:rPr>
            </w:pPr>
            <w:r>
              <w:rPr>
                <w:rFonts w:ascii="Arial" w:cs="Arial" w:eastAsia="Arial" w:hAnsi="Arial"/>
                <w:sz w:val="14"/>
                <w:szCs w:val="14"/>
                <w:color w:val="auto"/>
              </w:rPr>
              <w:t>48</w:t>
            </w:r>
          </w:p>
        </w:tc>
      </w:tr>
    </w:tbl>
    <w:p>
      <w:pPr>
        <w:spacing w:after="0" w:line="245" w:lineRule="exact"/>
        <w:rPr>
          <w:sz w:val="20"/>
          <w:szCs w:val="20"/>
          <w:color w:val="auto"/>
        </w:rPr>
      </w:pPr>
    </w:p>
    <w:p>
      <w:pPr>
        <w:sectPr>
          <w:pgSz w:w="11900" w:h="16838" w:orient="portrait"/>
          <w:cols w:equalWidth="0" w:num="2">
            <w:col w:w="1180" w:space="400"/>
            <w:col w:w="9680"/>
          </w:cols>
          <w:pgMar w:left="320" w:top="367" w:right="319" w:bottom="1440" w:gutter="0" w:footer="0" w:header="0"/>
          <w:type w:val="continuous"/>
        </w:sectPr>
      </w:pPr>
    </w:p>
    <w:p>
      <w:pPr>
        <w:spacing w:after="0" w:line="142" w:lineRule="exact"/>
        <w:rPr>
          <w:sz w:val="20"/>
          <w:szCs w:val="20"/>
          <w:color w:val="auto"/>
        </w:rPr>
      </w:pPr>
    </w:p>
    <w:p>
      <w:pPr>
        <w:ind w:left="1120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7" w:right="319" w:bottom="1440" w:gutter="0" w:footer="0" w:header="0"/>
          <w:type w:val="continuous"/>
        </w:sectPr>
      </w:pPr>
    </w:p>
    <w:bookmarkStart w:id="4" w:name="page5"/>
    <w:bookmarkEnd w:id="4"/>
    <w:p>
      <w:pPr>
        <w:ind w:left="2700"/>
        <w:spacing w:after="0"/>
        <w:tabs>
          <w:tab w:leader="none" w:pos="290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53910" cy="259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910" cy="259080"/>
                    </a:xfrm>
                    <a:prstGeom prst="rect">
                      <a:avLst/>
                    </a:prstGeom>
                    <a:noFill/>
                  </pic:spPr>
                </pic:pic>
              </a:graphicData>
            </a:graphic>
          </wp:anchor>
        </w:drawing>
      </w:r>
    </w:p>
    <w:p>
      <w:pPr>
        <w:spacing w:after="0" w:line="324"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FFFFFF"/>
        </w:rPr>
        <w:t>Operatng and Financial Highlights</w:t>
      </w:r>
    </w:p>
    <w:p>
      <w:pPr>
        <w:spacing w:after="0" w:line="208"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Credicorp Ltd. Reports First Quarter 2023 Financial and Operatng Results</w:t>
      </w:r>
    </w:p>
    <w:p>
      <w:pPr>
        <w:spacing w:after="0" w:line="110"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ROE of 18.7% Driven by Resilient Core Income</w:t>
      </w:r>
    </w:p>
    <w:p>
      <w:pPr>
        <w:spacing w:after="0" w:line="122"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Cost of Risk Stable Sequentally Remaining High impacted by Social and Climatc Events in Peru</w:t>
      </w:r>
    </w:p>
    <w:p>
      <w:pPr>
        <w:spacing w:after="0" w:line="132" w:lineRule="exact"/>
        <w:rPr>
          <w:sz w:val="20"/>
          <w:szCs w:val="20"/>
          <w:color w:val="auto"/>
        </w:rPr>
      </w:pPr>
    </w:p>
    <w:p>
      <w:pPr>
        <w:jc w:val="both"/>
        <w:spacing w:after="0" w:line="234" w:lineRule="auto"/>
        <w:rPr>
          <w:sz w:val="20"/>
          <w:szCs w:val="20"/>
          <w:color w:val="auto"/>
        </w:rPr>
      </w:pPr>
      <w:r>
        <w:rPr>
          <w:rFonts w:ascii="Calibri" w:cs="Calibri" w:eastAsia="Calibri" w:hAnsi="Calibri"/>
          <w:sz w:val="17"/>
          <w:szCs w:val="17"/>
          <w:b w:val="1"/>
          <w:bCs w:val="1"/>
          <w:color w:val="auto"/>
        </w:rPr>
        <w:t>Lima, Peru – May 5, 2023 – Credicorp Ltd. (“Credicorp” or “the Company”) (NYSE: BAP | BVL: BAP)</w:t>
      </w:r>
      <w:r>
        <w:rPr>
          <w:rFonts w:ascii="Calibri" w:cs="Calibri" w:eastAsia="Calibri" w:hAnsi="Calibri"/>
          <w:sz w:val="17"/>
          <w:szCs w:val="17"/>
          <w:color w:val="auto"/>
        </w:rPr>
        <w:t>, the leading fnancial services holding company in Peru with a</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presence in Chile, Colombia, Bolivia and Panama today reported its unaudited results for the quarter ended March 31, 2023. Financial results are expressed in Soles and are presented in accordance with Internatonal Financial Reportng Standards (IFRS). Efectve 1Q23, the Company reports under IFRS 17 accountng standards for insurance contracts. While the impact on consolidated net income is not material, the reclassifcaton of line items in the P&amp;L has impacted the efciency rato. To facilitate comparability, fgures for 1Q22 and 4Q22 have been restated to refect IFRS 17.</w:t>
      </w:r>
    </w:p>
    <w:p>
      <w:pPr>
        <w:spacing w:after="0" w:line="11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1Q23 OPERATING AND FINANCIAL HIGHLIGHTS</w:t>
      </w:r>
    </w:p>
    <w:p>
      <w:pPr>
        <w:spacing w:after="0" w:line="212" w:lineRule="exact"/>
        <w:rPr>
          <w:sz w:val="20"/>
          <w:szCs w:val="20"/>
          <w:color w:val="auto"/>
        </w:rPr>
      </w:pPr>
    </w:p>
    <w:p>
      <w:pPr>
        <w:jc w:val="both"/>
        <w:ind w:left="540" w:hanging="277"/>
        <w:spacing w:after="0" w:line="252" w:lineRule="auto"/>
        <w:tabs>
          <w:tab w:leader="none" w:pos="540" w:val="left"/>
        </w:tabs>
        <w:numPr>
          <w:ilvl w:val="0"/>
          <w:numId w:val="1"/>
        </w:numPr>
        <w:rPr>
          <w:rFonts w:ascii="Arial" w:cs="Arial" w:eastAsia="Arial" w:hAnsi="Arial"/>
          <w:sz w:val="16"/>
          <w:szCs w:val="16"/>
          <w:color w:val="auto"/>
        </w:rPr>
      </w:pPr>
      <w:r>
        <w:rPr>
          <w:rFonts w:ascii="Calibri" w:cs="Calibri" w:eastAsia="Calibri" w:hAnsi="Calibri"/>
          <w:sz w:val="16"/>
          <w:szCs w:val="16"/>
          <w:b w:val="1"/>
          <w:bCs w:val="1"/>
          <w:color w:val="auto"/>
        </w:rPr>
        <w:t xml:space="preserve">Net Income </w:t>
      </w:r>
      <w:r>
        <w:rPr>
          <w:rFonts w:ascii="Calibri" w:cs="Calibri" w:eastAsia="Calibri" w:hAnsi="Calibri"/>
          <w:sz w:val="16"/>
          <w:szCs w:val="16"/>
          <w:color w:val="auto"/>
        </w:rPr>
        <w:t>atributable to Credicorp increased 18.1% YoY to stand at S/1,384 million, driven by an improvement in performance in Universal Banking and</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strong results in the Insurance business. ROAE rose to 18.7% in the quarter, up from 17.0% in 1Q22 and seasonally higher than the 15.3% reported in 4Q22.</w:t>
      </w:r>
    </w:p>
    <w:p>
      <w:pPr>
        <w:spacing w:after="0" w:line="123" w:lineRule="exact"/>
        <w:rPr>
          <w:rFonts w:ascii="Arial" w:cs="Arial" w:eastAsia="Arial" w:hAnsi="Arial"/>
          <w:sz w:val="16"/>
          <w:szCs w:val="16"/>
          <w:color w:val="auto"/>
        </w:rPr>
      </w:pPr>
    </w:p>
    <w:p>
      <w:pPr>
        <w:ind w:left="540" w:right="20" w:hanging="277"/>
        <w:spacing w:after="0" w:line="231" w:lineRule="auto"/>
        <w:tabs>
          <w:tab w:leader="none" w:pos="540" w:val="left"/>
        </w:tabs>
        <w:numPr>
          <w:ilvl w:val="0"/>
          <w:numId w:val="1"/>
        </w:numPr>
        <w:rPr>
          <w:rFonts w:ascii="Arial" w:cs="Arial" w:eastAsia="Arial" w:hAnsi="Arial"/>
          <w:sz w:val="17"/>
          <w:szCs w:val="17"/>
          <w:color w:val="auto"/>
        </w:rPr>
      </w:pPr>
      <w:r>
        <w:rPr>
          <w:rFonts w:ascii="Calibri" w:cs="Calibri" w:eastAsia="Calibri" w:hAnsi="Calibri"/>
          <w:sz w:val="17"/>
          <w:szCs w:val="17"/>
          <w:b w:val="1"/>
          <w:bCs w:val="1"/>
          <w:color w:val="auto"/>
        </w:rPr>
        <w:t>Structural Loans</w:t>
      </w:r>
      <w:r>
        <w:rPr>
          <w:rFonts w:ascii="Calibri" w:cs="Calibri" w:eastAsia="Calibri" w:hAnsi="Calibri"/>
          <w:sz w:val="17"/>
          <w:szCs w:val="17"/>
          <w:color w:val="auto"/>
        </w:rPr>
        <w:t>, measured in average daily balances, declined 0.7% QoQ, primarily due to seasonality in Wholesale Banking, but increased 9.7% YoY led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by growth in Retail Banking at BCP and by Mibanco.</w:t>
      </w:r>
    </w:p>
    <w:p>
      <w:pPr>
        <w:spacing w:after="0" w:line="133" w:lineRule="exact"/>
        <w:rPr>
          <w:rFonts w:ascii="Arial" w:cs="Arial" w:eastAsia="Arial" w:hAnsi="Arial"/>
          <w:sz w:val="17"/>
          <w:szCs w:val="17"/>
          <w:color w:val="auto"/>
        </w:rPr>
      </w:pPr>
    </w:p>
    <w:p>
      <w:pPr>
        <w:ind w:left="540" w:hanging="277"/>
        <w:spacing w:after="0" w:line="231" w:lineRule="auto"/>
        <w:tabs>
          <w:tab w:leader="none" w:pos="540" w:val="left"/>
        </w:tabs>
        <w:numPr>
          <w:ilvl w:val="0"/>
          <w:numId w:val="1"/>
        </w:numPr>
        <w:rPr>
          <w:rFonts w:ascii="Arial" w:cs="Arial" w:eastAsia="Arial" w:hAnsi="Arial"/>
          <w:sz w:val="17"/>
          <w:szCs w:val="17"/>
          <w:color w:val="auto"/>
        </w:rPr>
      </w:pPr>
      <w:r>
        <w:rPr>
          <w:rFonts w:ascii="Calibri" w:cs="Calibri" w:eastAsia="Calibri" w:hAnsi="Calibri"/>
          <w:sz w:val="17"/>
          <w:szCs w:val="17"/>
          <w:b w:val="1"/>
          <w:bCs w:val="1"/>
          <w:color w:val="auto"/>
        </w:rPr>
        <w:t xml:space="preserve">Total Deposits </w:t>
      </w:r>
      <w:r>
        <w:rPr>
          <w:rFonts w:ascii="Calibri" w:cs="Calibri" w:eastAsia="Calibri" w:hAnsi="Calibri"/>
          <w:sz w:val="17"/>
          <w:szCs w:val="17"/>
          <w:color w:val="auto"/>
        </w:rPr>
        <w:t>at quarter-end increased 1.1% QoQ and 0.5% YoY to S/148,623 million, where the high interest rate backdrop contnued to drive migraton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from Demand and Saving Deposits to Time Deposits. </w:t>
      </w:r>
      <w:r>
        <w:rPr>
          <w:rFonts w:ascii="Calibri" w:cs="Calibri" w:eastAsia="Calibri" w:hAnsi="Calibri"/>
          <w:sz w:val="17"/>
          <w:szCs w:val="17"/>
          <w:b w:val="1"/>
          <w:bCs w:val="1"/>
          <w:color w:val="auto"/>
        </w:rPr>
        <w:t>Low-cost Deposits</w:t>
      </w:r>
      <w:r>
        <w:rPr>
          <w:rFonts w:ascii="Calibri" w:cs="Calibri" w:eastAsia="Calibri" w:hAnsi="Calibri"/>
          <w:sz w:val="17"/>
          <w:szCs w:val="17"/>
          <w:color w:val="auto"/>
        </w:rPr>
        <w:t xml:space="preserve"> represented 54.7% of total funding.</w:t>
      </w:r>
    </w:p>
    <w:p>
      <w:pPr>
        <w:spacing w:after="0" w:line="122" w:lineRule="exact"/>
        <w:rPr>
          <w:rFonts w:ascii="Arial" w:cs="Arial" w:eastAsia="Arial" w:hAnsi="Arial"/>
          <w:sz w:val="17"/>
          <w:szCs w:val="17"/>
          <w:color w:val="auto"/>
        </w:rPr>
      </w:pPr>
    </w:p>
    <w:p>
      <w:pPr>
        <w:jc w:val="both"/>
        <w:ind w:left="540" w:hanging="277"/>
        <w:spacing w:after="0" w:line="233" w:lineRule="auto"/>
        <w:tabs>
          <w:tab w:leader="none" w:pos="540" w:val="left"/>
        </w:tabs>
        <w:numPr>
          <w:ilvl w:val="0"/>
          <w:numId w:val="1"/>
        </w:numPr>
        <w:rPr>
          <w:rFonts w:ascii="Arial" w:cs="Arial" w:eastAsia="Arial" w:hAnsi="Arial"/>
          <w:sz w:val="17"/>
          <w:szCs w:val="17"/>
          <w:color w:val="auto"/>
        </w:rPr>
      </w:pPr>
      <w:r>
        <w:rPr>
          <w:rFonts w:ascii="Calibri" w:cs="Calibri" w:eastAsia="Calibri" w:hAnsi="Calibri"/>
          <w:sz w:val="17"/>
          <w:szCs w:val="17"/>
          <w:color w:val="auto"/>
        </w:rPr>
        <w:t xml:space="preserve">The </w:t>
      </w:r>
      <w:r>
        <w:rPr>
          <w:rFonts w:ascii="Calibri" w:cs="Calibri" w:eastAsia="Calibri" w:hAnsi="Calibri"/>
          <w:sz w:val="17"/>
          <w:szCs w:val="17"/>
          <w:b w:val="1"/>
          <w:bCs w:val="1"/>
          <w:color w:val="auto"/>
        </w:rPr>
        <w:t>Structural NPL rato</w:t>
      </w:r>
      <w:r>
        <w:rPr>
          <w:rFonts w:ascii="Calibri" w:cs="Calibri" w:eastAsia="Calibri" w:hAnsi="Calibri"/>
          <w:sz w:val="17"/>
          <w:szCs w:val="17"/>
          <w:color w:val="auto"/>
        </w:rPr>
        <w:t xml:space="preserve"> increased 17 bps QoQ to 5.12%, driven by an increase coin the volume of the overdue portolio in Wholesale Banking, which was already provisioned given that our models antcipate deterioraton; Mibanco, which was impacted by social and climatc events in an adverse macroeconomic environment; and Consumer and Credit Card loans, afer higher-risk segments were targeted in 2022.</w:t>
      </w:r>
    </w:p>
    <w:p>
      <w:pPr>
        <w:spacing w:after="0" w:line="133" w:lineRule="exact"/>
        <w:rPr>
          <w:rFonts w:ascii="Arial" w:cs="Arial" w:eastAsia="Arial" w:hAnsi="Arial"/>
          <w:sz w:val="17"/>
          <w:szCs w:val="17"/>
          <w:color w:val="auto"/>
        </w:rPr>
      </w:pPr>
    </w:p>
    <w:p>
      <w:pPr>
        <w:jc w:val="both"/>
        <w:ind w:left="540" w:hanging="277"/>
        <w:spacing w:after="0"/>
        <w:tabs>
          <w:tab w:leader="none" w:pos="540" w:val="left"/>
        </w:tabs>
        <w:numPr>
          <w:ilvl w:val="0"/>
          <w:numId w:val="1"/>
        </w:numPr>
        <w:rPr>
          <w:rFonts w:ascii="Arial" w:cs="Arial" w:eastAsia="Arial" w:hAnsi="Arial"/>
          <w:sz w:val="17"/>
          <w:szCs w:val="17"/>
          <w:color w:val="auto"/>
        </w:rPr>
      </w:pPr>
      <w:r>
        <w:rPr>
          <w:rFonts w:ascii="Calibri" w:cs="Calibri" w:eastAsia="Calibri" w:hAnsi="Calibri"/>
          <w:sz w:val="17"/>
          <w:szCs w:val="17"/>
          <w:b w:val="1"/>
          <w:bCs w:val="1"/>
          <w:color w:val="auto"/>
        </w:rPr>
        <w:t xml:space="preserve">Structural Provisions </w:t>
      </w:r>
      <w:r>
        <w:rPr>
          <w:rFonts w:ascii="Calibri" w:cs="Calibri" w:eastAsia="Calibri" w:hAnsi="Calibri"/>
          <w:sz w:val="17"/>
          <w:szCs w:val="17"/>
          <w:color w:val="auto"/>
        </w:rPr>
        <w:t>increased 1.3% QoQ, driven by Retail Banking at BCP and Mibanco and, partally ofset by Wholesale Banking. At BCP, provisions in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retail banking rose, refectng a downturn in customer payment as well as the impacts of an update to macroeconomic outlook variables such as infaton, interest rates and GDP growth. Mibanco increased provisions due to social and climate events. In this context, stringent originaton standards were applied in specifc consumer segments at BCP, and the risk appette was adjusted in a number of geographies and segments at Mibanco. The </w:t>
      </w:r>
      <w:r>
        <w:rPr>
          <w:rFonts w:ascii="Calibri" w:cs="Calibri" w:eastAsia="Calibri" w:hAnsi="Calibri"/>
          <w:sz w:val="17"/>
          <w:szCs w:val="17"/>
          <w:b w:val="1"/>
          <w:bCs w:val="1"/>
          <w:color w:val="auto"/>
        </w:rPr>
        <w:t>Structural Cost of Risk</w:t>
      </w:r>
      <w:r>
        <w:rPr>
          <w:rFonts w:ascii="Calibri" w:cs="Calibri" w:eastAsia="Calibri" w:hAnsi="Calibri"/>
          <w:sz w:val="17"/>
          <w:szCs w:val="17"/>
          <w:color w:val="auto"/>
        </w:rPr>
        <w:t xml:space="preserve"> remained stable QoQ while </w:t>
      </w:r>
      <w:r>
        <w:rPr>
          <w:rFonts w:ascii="Calibri" w:cs="Calibri" w:eastAsia="Calibri" w:hAnsi="Calibri"/>
          <w:sz w:val="17"/>
          <w:szCs w:val="17"/>
          <w:b w:val="1"/>
          <w:bCs w:val="1"/>
          <w:color w:val="auto"/>
        </w:rPr>
        <w:t>Structural NPL Coverage</w:t>
      </w:r>
      <w:r>
        <w:rPr>
          <w:rFonts w:ascii="Calibri" w:cs="Calibri" w:eastAsia="Calibri" w:hAnsi="Calibri"/>
          <w:sz w:val="17"/>
          <w:szCs w:val="17"/>
          <w:color w:val="auto"/>
        </w:rPr>
        <w:t xml:space="preserve"> dropped to 110.0%, which refects an uptck in the weight of collateralized refnanced wholesale loans.</w:t>
      </w:r>
    </w:p>
    <w:p>
      <w:pPr>
        <w:spacing w:after="0" w:line="312" w:lineRule="exact"/>
        <w:rPr>
          <w:rFonts w:ascii="Arial" w:cs="Arial" w:eastAsia="Arial" w:hAnsi="Arial"/>
          <w:sz w:val="17"/>
          <w:szCs w:val="17"/>
          <w:color w:val="auto"/>
        </w:rPr>
      </w:pPr>
    </w:p>
    <w:p>
      <w:pPr>
        <w:jc w:val="both"/>
        <w:ind w:left="540" w:right="20" w:hanging="277"/>
        <w:spacing w:after="0" w:line="233" w:lineRule="auto"/>
        <w:tabs>
          <w:tab w:leader="none" w:pos="540" w:val="left"/>
        </w:tabs>
        <w:numPr>
          <w:ilvl w:val="0"/>
          <w:numId w:val="1"/>
        </w:numPr>
        <w:rPr>
          <w:rFonts w:ascii="Arial" w:cs="Arial" w:eastAsia="Arial" w:hAnsi="Arial"/>
          <w:sz w:val="17"/>
          <w:szCs w:val="17"/>
          <w:color w:val="auto"/>
        </w:rPr>
      </w:pPr>
      <w:r>
        <w:rPr>
          <w:rFonts w:ascii="Calibri" w:cs="Calibri" w:eastAsia="Calibri" w:hAnsi="Calibri"/>
          <w:sz w:val="17"/>
          <w:szCs w:val="17"/>
          <w:b w:val="1"/>
          <w:bCs w:val="1"/>
          <w:color w:val="auto"/>
        </w:rPr>
        <w:t xml:space="preserve">Core Income </w:t>
      </w:r>
      <w:r>
        <w:rPr>
          <w:rFonts w:ascii="Calibri" w:cs="Calibri" w:eastAsia="Calibri" w:hAnsi="Calibri"/>
          <w:sz w:val="17"/>
          <w:szCs w:val="17"/>
          <w:color w:val="auto"/>
        </w:rPr>
        <w:t>declined 1.4% QoQ but increased 18.9% YoY refectng structural loan growth and a high interest rate environment. Net Interest Income (NII)</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remained stable QoQ and was up 28.8% YoY, while FX Volumes and Fees contracted in both periods. On the back of higher interest rates, the </w:t>
      </w:r>
      <w:r>
        <w:rPr>
          <w:rFonts w:ascii="Calibri" w:cs="Calibri" w:eastAsia="Calibri" w:hAnsi="Calibri"/>
          <w:sz w:val="17"/>
          <w:szCs w:val="17"/>
          <w:b w:val="1"/>
          <w:bCs w:val="1"/>
          <w:color w:val="auto"/>
        </w:rPr>
        <w:t>Net Interest</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 xml:space="preserve">Margin </w:t>
      </w:r>
      <w:r>
        <w:rPr>
          <w:rFonts w:ascii="Calibri" w:cs="Calibri" w:eastAsia="Calibri" w:hAnsi="Calibri"/>
          <w:sz w:val="17"/>
          <w:szCs w:val="17"/>
          <w:color w:val="auto"/>
        </w:rPr>
        <w:t>increased 9 bps QoQ and 138 bps YoY to stand at 5.84%.</w:t>
      </w:r>
    </w:p>
    <w:p>
      <w:pPr>
        <w:spacing w:after="0" w:line="121" w:lineRule="exact"/>
        <w:rPr>
          <w:rFonts w:ascii="Arial" w:cs="Arial" w:eastAsia="Arial" w:hAnsi="Arial"/>
          <w:sz w:val="17"/>
          <w:szCs w:val="17"/>
          <w:color w:val="auto"/>
        </w:rPr>
      </w:pPr>
    </w:p>
    <w:p>
      <w:pPr>
        <w:jc w:val="both"/>
        <w:ind w:left="540" w:hanging="277"/>
        <w:spacing w:after="0" w:line="233" w:lineRule="auto"/>
        <w:tabs>
          <w:tab w:leader="none" w:pos="540" w:val="left"/>
        </w:tabs>
        <w:numPr>
          <w:ilvl w:val="0"/>
          <w:numId w:val="1"/>
        </w:numPr>
        <w:rPr>
          <w:rFonts w:ascii="Arial" w:cs="Arial" w:eastAsia="Arial" w:hAnsi="Arial"/>
          <w:sz w:val="17"/>
          <w:szCs w:val="17"/>
          <w:color w:val="auto"/>
        </w:rPr>
      </w:pPr>
      <w:r>
        <w:rPr>
          <w:rFonts w:ascii="Calibri" w:cs="Calibri" w:eastAsia="Calibri" w:hAnsi="Calibri"/>
          <w:sz w:val="17"/>
          <w:szCs w:val="17"/>
          <w:b w:val="1"/>
          <w:bCs w:val="1"/>
          <w:color w:val="auto"/>
        </w:rPr>
        <w:t xml:space="preserve">The Efciency Rato, </w:t>
      </w:r>
      <w:r>
        <w:rPr>
          <w:rFonts w:ascii="Calibri" w:cs="Calibri" w:eastAsia="Calibri" w:hAnsi="Calibri"/>
          <w:sz w:val="17"/>
          <w:szCs w:val="17"/>
          <w:color w:val="auto"/>
        </w:rPr>
        <w:t>which has been restated under IFRS17, improved 290 bps in the QoQ comparision and stood at 44.3%. This improvement was mainly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driven by an uptck in operatng income at BCP stand-alone and Pacifco, which more than ofset the growth reported for expenses in a context marked by on-going investment in disruptve initatves and digital transformaton.</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7" w:right="319" w:bottom="1440" w:gutter="0" w:footer="0" w:header="0"/>
        </w:sectPr>
      </w:pPr>
    </w:p>
    <w:bookmarkStart w:id="5" w:name="page6"/>
    <w:bookmarkEnd w:id="5"/>
    <w:p>
      <w:pPr>
        <w:ind w:left="2660"/>
        <w:spacing w:after="0"/>
        <w:tabs>
          <w:tab w:leader="none" w:pos="28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171450</wp:posOffset>
            </wp:positionV>
            <wp:extent cx="7153910" cy="259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910" cy="25908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Operatng and Financial Highlights</w:t>
      </w:r>
    </w:p>
    <w:p>
      <w:pPr>
        <w:spacing w:after="0" w:line="200" w:lineRule="exact"/>
        <w:rPr>
          <w:sz w:val="20"/>
          <w:szCs w:val="20"/>
          <w:color w:val="auto"/>
        </w:rPr>
      </w:pPr>
    </w:p>
    <w:p>
      <w:pPr>
        <w:spacing w:after="0" w:line="223" w:lineRule="exact"/>
        <w:rPr>
          <w:sz w:val="20"/>
          <w:szCs w:val="20"/>
          <w:color w:val="auto"/>
        </w:rPr>
      </w:pPr>
    </w:p>
    <w:p>
      <w:pPr>
        <w:ind w:left="500" w:right="20" w:hanging="277"/>
        <w:spacing w:after="0" w:line="231" w:lineRule="auto"/>
        <w:tabs>
          <w:tab w:leader="none" w:pos="500" w:val="left"/>
        </w:tabs>
        <w:numPr>
          <w:ilvl w:val="0"/>
          <w:numId w:val="2"/>
        </w:numPr>
        <w:rPr>
          <w:rFonts w:ascii="Arial" w:cs="Arial" w:eastAsia="Arial" w:hAnsi="Arial"/>
          <w:sz w:val="17"/>
          <w:szCs w:val="17"/>
          <w:color w:val="auto"/>
        </w:rPr>
      </w:pPr>
      <w:r>
        <w:rPr>
          <w:rFonts w:ascii="Calibri" w:cs="Calibri" w:eastAsia="Calibri" w:hAnsi="Calibri"/>
          <w:sz w:val="17"/>
          <w:szCs w:val="17"/>
          <w:color w:val="auto"/>
        </w:rPr>
        <w:t xml:space="preserve">The </w:t>
      </w:r>
      <w:r>
        <w:rPr>
          <w:rFonts w:ascii="Calibri" w:cs="Calibri" w:eastAsia="Calibri" w:hAnsi="Calibri"/>
          <w:sz w:val="17"/>
          <w:szCs w:val="17"/>
          <w:b w:val="1"/>
          <w:bCs w:val="1"/>
          <w:color w:val="auto"/>
        </w:rPr>
        <w:t>CET1 Rato</w:t>
      </w:r>
      <w:r>
        <w:rPr>
          <w:rFonts w:ascii="Calibri" w:cs="Calibri" w:eastAsia="Calibri" w:hAnsi="Calibri"/>
          <w:sz w:val="17"/>
          <w:szCs w:val="17"/>
          <w:color w:val="auto"/>
        </w:rPr>
        <w:t xml:space="preserve"> for BCP Stand-Alone at quarter-end was 11.9%, up 30 bps YoY but down 66 bps QoQ which refected a dividend declaraton this quarter, CET1 at Mibanco rose 38 bps YoY to stand at 16.4% but declined 8 bps QoQ.</w:t>
      </w:r>
    </w:p>
    <w:p>
      <w:pPr>
        <w:spacing w:after="0" w:line="122" w:lineRule="exact"/>
        <w:rPr>
          <w:rFonts w:ascii="Arial" w:cs="Arial" w:eastAsia="Arial" w:hAnsi="Arial"/>
          <w:sz w:val="17"/>
          <w:szCs w:val="17"/>
          <w:color w:val="auto"/>
        </w:rPr>
      </w:pPr>
    </w:p>
    <w:p>
      <w:pPr>
        <w:ind w:left="500" w:hanging="277"/>
        <w:spacing w:after="0" w:line="231" w:lineRule="auto"/>
        <w:tabs>
          <w:tab w:leader="none" w:pos="500" w:val="left"/>
        </w:tabs>
        <w:numPr>
          <w:ilvl w:val="0"/>
          <w:numId w:val="2"/>
        </w:numPr>
        <w:rPr>
          <w:rFonts w:ascii="Arial" w:cs="Arial" w:eastAsia="Arial" w:hAnsi="Arial"/>
          <w:sz w:val="17"/>
          <w:szCs w:val="17"/>
          <w:color w:val="auto"/>
        </w:rPr>
      </w:pPr>
      <w:r>
        <w:rPr>
          <w:rFonts w:ascii="Calibri" w:cs="Calibri" w:eastAsia="Calibri" w:hAnsi="Calibri"/>
          <w:sz w:val="17"/>
          <w:szCs w:val="17"/>
          <w:color w:val="auto"/>
        </w:rPr>
        <w:t xml:space="preserve">At BCP stand-alone, 30-day local currency </w:t>
      </w:r>
      <w:r>
        <w:rPr>
          <w:rFonts w:ascii="Calibri" w:cs="Calibri" w:eastAsia="Calibri" w:hAnsi="Calibri"/>
          <w:sz w:val="17"/>
          <w:szCs w:val="17"/>
          <w:b w:val="1"/>
          <w:bCs w:val="1"/>
          <w:color w:val="auto"/>
        </w:rPr>
        <w:t>LCR</w:t>
      </w:r>
      <w:r>
        <w:rPr>
          <w:rFonts w:ascii="Calibri" w:cs="Calibri" w:eastAsia="Calibri" w:hAnsi="Calibri"/>
          <w:sz w:val="17"/>
          <w:szCs w:val="17"/>
          <w:color w:val="auto"/>
        </w:rPr>
        <w:t xml:space="preserve"> currency stood at 154.1% under regulatory standards and 138.7% based on more stringent internal standards, while USD 30-day LCR stood at 203.7% and 123.1% under regulatory and more stringent internal standards, respectvely.</w:t>
      </w:r>
    </w:p>
    <w:p>
      <w:pPr>
        <w:spacing w:after="0" w:line="133" w:lineRule="exact"/>
        <w:rPr>
          <w:rFonts w:ascii="Arial" w:cs="Arial" w:eastAsia="Arial" w:hAnsi="Arial"/>
          <w:sz w:val="17"/>
          <w:szCs w:val="17"/>
          <w:color w:val="auto"/>
        </w:rPr>
      </w:pPr>
    </w:p>
    <w:p>
      <w:pPr>
        <w:ind w:left="500" w:right="20" w:hanging="277"/>
        <w:spacing w:after="0" w:line="231" w:lineRule="auto"/>
        <w:tabs>
          <w:tab w:leader="none" w:pos="500" w:val="left"/>
        </w:tabs>
        <w:numPr>
          <w:ilvl w:val="0"/>
          <w:numId w:val="2"/>
        </w:numPr>
        <w:rPr>
          <w:rFonts w:ascii="Arial" w:cs="Arial" w:eastAsia="Arial" w:hAnsi="Arial"/>
          <w:sz w:val="17"/>
          <w:szCs w:val="17"/>
          <w:color w:val="auto"/>
        </w:rPr>
      </w:pPr>
      <w:r>
        <w:rPr>
          <w:rFonts w:ascii="Calibri" w:cs="Calibri" w:eastAsia="Calibri" w:hAnsi="Calibri"/>
          <w:sz w:val="17"/>
          <w:szCs w:val="17"/>
          <w:color w:val="auto"/>
        </w:rPr>
        <w:t xml:space="preserve">Credicorp maintains a diversifed, liquid </w:t>
      </w:r>
      <w:r>
        <w:rPr>
          <w:rFonts w:ascii="Calibri" w:cs="Calibri" w:eastAsia="Calibri" w:hAnsi="Calibri"/>
          <w:sz w:val="17"/>
          <w:szCs w:val="17"/>
          <w:b w:val="1"/>
          <w:bCs w:val="1"/>
          <w:color w:val="auto"/>
        </w:rPr>
        <w:t>investment portolio</w:t>
      </w:r>
      <w:r>
        <w:rPr>
          <w:rFonts w:ascii="Calibri" w:cs="Calibri" w:eastAsia="Calibri" w:hAnsi="Calibri"/>
          <w:sz w:val="17"/>
          <w:szCs w:val="17"/>
          <w:color w:val="auto"/>
        </w:rPr>
        <w:t xml:space="preserve"> with investment portolios Held to Maturity and Available for Sale accountng for 5% and 15% of Interest Earnings Assets, respectvely.</w:t>
      </w:r>
    </w:p>
    <w:p>
      <w:pPr>
        <w:spacing w:after="0" w:line="133" w:lineRule="exact"/>
        <w:rPr>
          <w:rFonts w:ascii="Arial" w:cs="Arial" w:eastAsia="Arial" w:hAnsi="Arial"/>
          <w:sz w:val="17"/>
          <w:szCs w:val="17"/>
          <w:color w:val="auto"/>
        </w:rPr>
      </w:pPr>
    </w:p>
    <w:p>
      <w:pPr>
        <w:ind w:left="500" w:right="20" w:hanging="277"/>
        <w:spacing w:after="0" w:line="231" w:lineRule="auto"/>
        <w:tabs>
          <w:tab w:leader="none" w:pos="500" w:val="left"/>
        </w:tabs>
        <w:numPr>
          <w:ilvl w:val="0"/>
          <w:numId w:val="2"/>
        </w:numPr>
        <w:rPr>
          <w:rFonts w:ascii="Arial" w:cs="Arial" w:eastAsia="Arial" w:hAnsi="Arial"/>
          <w:sz w:val="17"/>
          <w:szCs w:val="17"/>
          <w:color w:val="auto"/>
        </w:rPr>
      </w:pPr>
      <w:r>
        <w:rPr>
          <w:rFonts w:ascii="Calibri" w:cs="Calibri" w:eastAsia="Calibri" w:hAnsi="Calibri"/>
          <w:sz w:val="17"/>
          <w:szCs w:val="17"/>
          <w:color w:val="auto"/>
        </w:rPr>
        <w:t xml:space="preserve">Advancing our </w:t>
      </w:r>
      <w:r>
        <w:rPr>
          <w:rFonts w:ascii="Calibri" w:cs="Calibri" w:eastAsia="Calibri" w:hAnsi="Calibri"/>
          <w:sz w:val="17"/>
          <w:szCs w:val="17"/>
          <w:b w:val="1"/>
          <w:bCs w:val="1"/>
          <w:color w:val="auto"/>
        </w:rPr>
        <w:t>Strategic Initatves:</w:t>
      </w:r>
      <w:r>
        <w:rPr>
          <w:rFonts w:ascii="Calibri" w:cs="Calibri" w:eastAsia="Calibri" w:hAnsi="Calibri"/>
          <w:sz w:val="17"/>
          <w:szCs w:val="17"/>
          <w:color w:val="auto"/>
        </w:rPr>
        <w:t xml:space="preserve"> Yape contnues to drive fnancial inclusion and topped 8.8 million monthly actve users (MAU) by quarter-end. Monthly income per MAU contnues to increase and reached S/1.8 in 1Q23. We believe Yape is on track to reach cashfow breakeven in 2024</w:t>
      </w:r>
    </w:p>
    <w:p>
      <w:pPr>
        <w:spacing w:after="0" w:line="122" w:lineRule="exact"/>
        <w:rPr>
          <w:rFonts w:ascii="Arial" w:cs="Arial" w:eastAsia="Arial" w:hAnsi="Arial"/>
          <w:sz w:val="17"/>
          <w:szCs w:val="17"/>
          <w:color w:val="auto"/>
        </w:rPr>
      </w:pPr>
    </w:p>
    <w:p>
      <w:pPr>
        <w:jc w:val="both"/>
        <w:ind w:left="500" w:hanging="277"/>
        <w:spacing w:after="0" w:line="234" w:lineRule="auto"/>
        <w:tabs>
          <w:tab w:leader="none" w:pos="500" w:val="left"/>
        </w:tabs>
        <w:numPr>
          <w:ilvl w:val="0"/>
          <w:numId w:val="2"/>
        </w:numPr>
        <w:rPr>
          <w:rFonts w:ascii="Arial" w:cs="Arial" w:eastAsia="Arial" w:hAnsi="Arial"/>
          <w:sz w:val="17"/>
          <w:szCs w:val="17"/>
          <w:color w:val="auto"/>
        </w:rPr>
      </w:pPr>
      <w:r>
        <w:rPr>
          <w:rFonts w:ascii="Calibri" w:cs="Calibri" w:eastAsia="Calibri" w:hAnsi="Calibri"/>
          <w:sz w:val="17"/>
          <w:szCs w:val="17"/>
          <w:color w:val="auto"/>
        </w:rPr>
        <w:t xml:space="preserve">On the </w:t>
      </w:r>
      <w:r>
        <w:rPr>
          <w:rFonts w:ascii="Calibri" w:cs="Calibri" w:eastAsia="Calibri" w:hAnsi="Calibri"/>
          <w:sz w:val="17"/>
          <w:szCs w:val="17"/>
          <w:b w:val="1"/>
          <w:bCs w:val="1"/>
          <w:color w:val="auto"/>
        </w:rPr>
        <w:t>ESG</w:t>
      </w:r>
      <w:r>
        <w:rPr>
          <w:rFonts w:ascii="Calibri" w:cs="Calibri" w:eastAsia="Calibri" w:hAnsi="Calibri"/>
          <w:sz w:val="17"/>
          <w:szCs w:val="17"/>
          <w:color w:val="auto"/>
        </w:rPr>
        <w:t xml:space="preserve"> front, we recently added two new members to our Board and increased the partcipaton of women to 1/3; maintained the independence of the majority of members; and added expertse in digital transformaton and fntech innovaton. We also defned our corporate environmental strategy and roadmap, which includes developing capabilites to measure our portolio carbon footprint; promotng green fnancing; and fne-tuning management of environmental risks. Implementaton will begin in 2Q23. More informaton can be found in our recently published </w:t>
      </w:r>
      <w:r>
        <w:rPr>
          <w:rFonts w:ascii="Calibri" w:cs="Calibri" w:eastAsia="Calibri" w:hAnsi="Calibri"/>
          <w:sz w:val="17"/>
          <w:szCs w:val="17"/>
          <w:u w:val="single" w:color="auto"/>
          <w:color w:val="auto"/>
        </w:rPr>
        <w:t>2022 Annual and Sustainability Report</w:t>
      </w:r>
      <w:r>
        <w:rPr>
          <w:rFonts w:ascii="Calibri" w:cs="Calibri" w:eastAsia="Calibri" w:hAnsi="Calibri"/>
          <w:sz w:val="17"/>
          <w:szCs w:val="17"/>
          <w:color w:val="auto"/>
        </w:rPr>
        <w:t>.</w:t>
      </w:r>
    </w:p>
    <w:p>
      <w:pPr>
        <w:spacing w:after="0" w:line="132" w:lineRule="exact"/>
        <w:rPr>
          <w:rFonts w:ascii="Arial" w:cs="Arial" w:eastAsia="Arial" w:hAnsi="Arial"/>
          <w:sz w:val="17"/>
          <w:szCs w:val="17"/>
          <w:color w:val="auto"/>
        </w:rPr>
      </w:pPr>
    </w:p>
    <w:p>
      <w:pPr>
        <w:ind w:left="500" w:right="20" w:hanging="277"/>
        <w:spacing w:after="0" w:line="231" w:lineRule="auto"/>
        <w:tabs>
          <w:tab w:leader="none" w:pos="500" w:val="left"/>
        </w:tabs>
        <w:numPr>
          <w:ilvl w:val="0"/>
          <w:numId w:val="2"/>
        </w:numPr>
        <w:rPr>
          <w:rFonts w:ascii="Arial" w:cs="Arial" w:eastAsia="Arial" w:hAnsi="Arial"/>
          <w:sz w:val="17"/>
          <w:szCs w:val="17"/>
          <w:color w:val="auto"/>
        </w:rPr>
      </w:pPr>
      <w:r>
        <w:rPr>
          <w:rFonts w:ascii="Calibri" w:cs="Calibri" w:eastAsia="Calibri" w:hAnsi="Calibri"/>
          <w:sz w:val="17"/>
          <w:szCs w:val="17"/>
          <w:color w:val="auto"/>
        </w:rPr>
        <w:t>On April 27, the Board of Directors declared a cash dividend of S/25.00 per share equivalent to a total payment of S/ 2,359,557,925 to be paid out on June 9th, 2023.</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33020</wp:posOffset>
            </wp:positionV>
            <wp:extent cx="715391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20"/>
          </w:cols>
          <w:pgMar w:left="360" w:top="367" w:right="319" w:bottom="1440" w:gutter="0" w:footer="0" w:header="0"/>
        </w:sectPr>
      </w:pPr>
    </w:p>
    <w:bookmarkStart w:id="6" w:name="page7"/>
    <w:bookmarkEnd w:id="6"/>
    <w:p>
      <w:pPr>
        <w:ind w:left="2700"/>
        <w:spacing w:after="0"/>
        <w:tabs>
          <w:tab w:leader="none" w:pos="290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53910" cy="259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910" cy="25908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Senior Management Quotes</w:t>
      </w:r>
    </w:p>
    <w:p>
      <w:pPr>
        <w:spacing w:after="0" w:line="20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147320</wp:posOffset>
            </wp:positionV>
            <wp:extent cx="5172710" cy="5346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72710" cy="534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7" w:right="319" w:bottom="1440" w:gutter="0" w:footer="0" w:header="0"/>
        </w:sectPr>
      </w:pPr>
    </w:p>
    <w:bookmarkStart w:id="7" w:name="page8"/>
    <w:bookmarkEnd w:id="7"/>
    <w:p>
      <w:pPr>
        <w:ind w:left="2700"/>
        <w:spacing w:after="0"/>
        <w:tabs>
          <w:tab w:leader="none" w:pos="290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53910" cy="259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910" cy="25908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Senior Management Quotes</w:t>
      </w:r>
    </w:p>
    <w:p>
      <w:pPr>
        <w:spacing w:after="0" w:line="20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FIRST QUARTER 2023 EARNINGS CONFERENCE CALL</w:t>
      </w:r>
    </w:p>
    <w:p>
      <w:pPr>
        <w:spacing w:after="0" w:line="178"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121212"/>
        </w:rPr>
        <w:t xml:space="preserve">Date: </w:t>
      </w:r>
      <w:r>
        <w:rPr>
          <w:rFonts w:ascii="Calibri" w:cs="Calibri" w:eastAsia="Calibri" w:hAnsi="Calibri"/>
          <w:sz w:val="15"/>
          <w:szCs w:val="15"/>
          <w:color w:val="121212"/>
        </w:rPr>
        <w:t>Monday May 8</w:t>
      </w:r>
      <w:r>
        <w:rPr>
          <w:rFonts w:ascii="Calibri" w:cs="Calibri" w:eastAsia="Calibri" w:hAnsi="Calibri"/>
          <w:sz w:val="25"/>
          <w:szCs w:val="25"/>
          <w:color w:val="121212"/>
          <w:vertAlign w:val="superscript"/>
        </w:rPr>
        <w:t>th</w:t>
      </w:r>
      <w:r>
        <w:rPr>
          <w:rFonts w:ascii="Calibri" w:cs="Calibri" w:eastAsia="Calibri" w:hAnsi="Calibri"/>
          <w:sz w:val="15"/>
          <w:szCs w:val="15"/>
          <w:color w:val="121212"/>
        </w:rPr>
        <w:t>, 2023</w:t>
      </w:r>
    </w:p>
    <w:p>
      <w:pPr>
        <w:spacing w:after="0" w:line="67"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121212"/>
        </w:rPr>
        <w:t xml:space="preserve">Time: </w:t>
      </w:r>
      <w:r>
        <w:rPr>
          <w:rFonts w:ascii="Calibri" w:cs="Calibri" w:eastAsia="Calibri" w:hAnsi="Calibri"/>
          <w:sz w:val="15"/>
          <w:szCs w:val="15"/>
          <w:color w:val="121212"/>
        </w:rPr>
        <w:t>10:30 am ET (9:30 am Lima, Peru tme)</w:t>
      </w:r>
    </w:p>
    <w:p>
      <w:pPr>
        <w:spacing w:after="0" w:line="184" w:lineRule="exact"/>
        <w:rPr>
          <w:sz w:val="20"/>
          <w:szCs w:val="20"/>
          <w:color w:val="auto"/>
        </w:rPr>
      </w:pPr>
    </w:p>
    <w:p>
      <w:pPr>
        <w:ind w:right="20"/>
        <w:spacing w:after="0" w:line="236" w:lineRule="auto"/>
        <w:rPr>
          <w:sz w:val="20"/>
          <w:szCs w:val="20"/>
          <w:color w:val="auto"/>
        </w:rPr>
      </w:pPr>
      <w:r>
        <w:rPr>
          <w:rFonts w:ascii="Calibri" w:cs="Calibri" w:eastAsia="Calibri" w:hAnsi="Calibri"/>
          <w:sz w:val="15"/>
          <w:szCs w:val="15"/>
          <w:b w:val="1"/>
          <w:bCs w:val="1"/>
          <w:color w:val="121212"/>
        </w:rPr>
        <w:t xml:space="preserve">Hosts: </w:t>
      </w:r>
      <w:r>
        <w:rPr>
          <w:rFonts w:ascii="Calibri" w:cs="Calibri" w:eastAsia="Calibri" w:hAnsi="Calibri"/>
          <w:sz w:val="15"/>
          <w:szCs w:val="15"/>
          <w:color w:val="121212"/>
        </w:rPr>
        <w:t>Gianfranco Ferrari - CEO, Cesar Rios - Chief Financial Ofcer, Francesca Rafo – Chief Innovaton Ofcer, Reynaldo Llosa - Chief Risk Ofcer, Cesar Rivera - Head of Insurance and</w:t>
      </w:r>
      <w:r>
        <w:rPr>
          <w:rFonts w:ascii="Calibri" w:cs="Calibri" w:eastAsia="Calibri" w:hAnsi="Calibri"/>
          <w:sz w:val="15"/>
          <w:szCs w:val="15"/>
          <w:b w:val="1"/>
          <w:bCs w:val="1"/>
          <w:color w:val="121212"/>
        </w:rPr>
        <w:t xml:space="preserve"> </w:t>
      </w:r>
      <w:r>
        <w:rPr>
          <w:rFonts w:ascii="Calibri" w:cs="Calibri" w:eastAsia="Calibri" w:hAnsi="Calibri"/>
          <w:sz w:val="15"/>
          <w:szCs w:val="15"/>
          <w:color w:val="121212"/>
        </w:rPr>
        <w:t>Pensions, Carlos Sotelo – Mibanco CFO, and the Investor Relatons Team.</w:t>
      </w:r>
    </w:p>
    <w:p>
      <w:pPr>
        <w:spacing w:after="0" w:line="181" w:lineRule="exact"/>
        <w:rPr>
          <w:sz w:val="20"/>
          <w:szCs w:val="20"/>
          <w:color w:val="auto"/>
        </w:rPr>
      </w:pPr>
    </w:p>
    <w:p>
      <w:pPr>
        <w:spacing w:after="0"/>
        <w:rPr>
          <w:sz w:val="20"/>
          <w:szCs w:val="20"/>
          <w:color w:val="auto"/>
        </w:rPr>
      </w:pPr>
      <w:r>
        <w:rPr>
          <w:rFonts w:ascii="Calibri" w:cs="Calibri" w:eastAsia="Calibri" w:hAnsi="Calibri"/>
          <w:sz w:val="15"/>
          <w:szCs w:val="15"/>
          <w:color w:val="121212"/>
        </w:rPr>
        <w:t>To pre-register for the listen-only webcast presentaton use the following link:</w:t>
      </w:r>
    </w:p>
    <w:p>
      <w:pPr>
        <w:spacing w:after="0" w:line="237" w:lineRule="auto"/>
        <w:rPr>
          <w:sz w:val="20"/>
          <w:szCs w:val="20"/>
          <w:color w:val="auto"/>
        </w:rPr>
      </w:pPr>
      <w:r>
        <w:rPr>
          <w:rFonts w:ascii="Calibri" w:cs="Calibri" w:eastAsia="Calibri" w:hAnsi="Calibri"/>
          <w:sz w:val="15"/>
          <w:szCs w:val="15"/>
          <w:u w:val="single" w:color="auto"/>
          <w:color w:val="auto"/>
        </w:rPr>
        <w:t>htps://dpregister.com/DiamondPassRegistraton/register?confrmatonNumber=10177940&amp;linkSecurityString=f920c53eb4</w:t>
      </w:r>
    </w:p>
    <w:p>
      <w:pPr>
        <w:spacing w:after="0" w:line="184" w:lineRule="exact"/>
        <w:rPr>
          <w:sz w:val="20"/>
          <w:szCs w:val="20"/>
          <w:color w:val="auto"/>
        </w:rPr>
      </w:pPr>
    </w:p>
    <w:p>
      <w:pPr>
        <w:ind w:right="320"/>
        <w:spacing w:after="0" w:line="236" w:lineRule="auto"/>
        <w:rPr>
          <w:sz w:val="20"/>
          <w:szCs w:val="20"/>
          <w:color w:val="auto"/>
        </w:rPr>
      </w:pPr>
      <w:r>
        <w:rPr>
          <w:rFonts w:ascii="Calibri" w:cs="Calibri" w:eastAsia="Calibri" w:hAnsi="Calibri"/>
          <w:sz w:val="15"/>
          <w:szCs w:val="15"/>
          <w:color w:val="121212"/>
        </w:rPr>
        <w:t>Callers who pre-register will be given a conference passcode and unique PIN to gain immediate access to the call and bypass the live operator. Partcipants may pre-register at any tme, including up to and afer the call start tme.</w:t>
      </w:r>
    </w:p>
    <w:p>
      <w:pPr>
        <w:spacing w:after="0" w:line="181" w:lineRule="exact"/>
        <w:rPr>
          <w:sz w:val="20"/>
          <w:szCs w:val="20"/>
          <w:color w:val="auto"/>
        </w:rPr>
      </w:pPr>
    </w:p>
    <w:p>
      <w:pPr>
        <w:spacing w:after="0"/>
        <w:rPr>
          <w:sz w:val="20"/>
          <w:szCs w:val="20"/>
          <w:color w:val="auto"/>
        </w:rPr>
      </w:pPr>
      <w:r>
        <w:rPr>
          <w:rFonts w:ascii="Calibri" w:cs="Calibri" w:eastAsia="Calibri" w:hAnsi="Calibri"/>
          <w:sz w:val="15"/>
          <w:szCs w:val="15"/>
          <w:color w:val="121212"/>
        </w:rPr>
        <w:t>Those unable to pre-register may dial in by calling:</w:t>
      </w:r>
    </w:p>
    <w:p>
      <w:pPr>
        <w:spacing w:after="0" w:line="180" w:lineRule="exact"/>
        <w:rPr>
          <w:sz w:val="20"/>
          <w:szCs w:val="20"/>
          <w:color w:val="auto"/>
        </w:rPr>
      </w:pPr>
    </w:p>
    <w:p>
      <w:pPr>
        <w:spacing w:after="0"/>
        <w:rPr>
          <w:sz w:val="20"/>
          <w:szCs w:val="20"/>
          <w:color w:val="auto"/>
        </w:rPr>
      </w:pPr>
      <w:r>
        <w:rPr>
          <w:rFonts w:ascii="Calibri" w:cs="Calibri" w:eastAsia="Calibri" w:hAnsi="Calibri"/>
          <w:sz w:val="15"/>
          <w:szCs w:val="15"/>
          <w:color w:val="121212"/>
        </w:rPr>
        <w:t>1 844 435 0321 (U.S. toll free)</w:t>
      </w:r>
    </w:p>
    <w:p>
      <w:pPr>
        <w:spacing w:after="0" w:line="180" w:lineRule="exact"/>
        <w:rPr>
          <w:sz w:val="20"/>
          <w:szCs w:val="20"/>
          <w:color w:val="auto"/>
        </w:rPr>
      </w:pPr>
    </w:p>
    <w:p>
      <w:pPr>
        <w:spacing w:after="0"/>
        <w:rPr>
          <w:sz w:val="20"/>
          <w:szCs w:val="20"/>
          <w:color w:val="auto"/>
        </w:rPr>
      </w:pPr>
      <w:r>
        <w:rPr>
          <w:rFonts w:ascii="Calibri" w:cs="Calibri" w:eastAsia="Calibri" w:hAnsi="Calibri"/>
          <w:sz w:val="15"/>
          <w:szCs w:val="15"/>
          <w:color w:val="121212"/>
        </w:rPr>
        <w:t>1 412 317 5615 (Internatonal)</w:t>
      </w:r>
    </w:p>
    <w:p>
      <w:pPr>
        <w:spacing w:after="0" w:line="180"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121212"/>
        </w:rPr>
        <w:t>Conference ID: Credicorp Conference Call</w:t>
      </w:r>
    </w:p>
    <w:p>
      <w:pPr>
        <w:spacing w:after="0" w:line="180" w:lineRule="exact"/>
        <w:rPr>
          <w:sz w:val="20"/>
          <w:szCs w:val="20"/>
          <w:color w:val="auto"/>
        </w:rPr>
      </w:pPr>
    </w:p>
    <w:p>
      <w:pPr>
        <w:spacing w:after="0"/>
        <w:rPr>
          <w:sz w:val="20"/>
          <w:szCs w:val="20"/>
          <w:color w:val="auto"/>
        </w:rPr>
      </w:pPr>
      <w:r>
        <w:rPr>
          <w:rFonts w:ascii="Calibri" w:cs="Calibri" w:eastAsia="Calibri" w:hAnsi="Calibri"/>
          <w:sz w:val="15"/>
          <w:szCs w:val="15"/>
          <w:color w:val="121212"/>
        </w:rPr>
        <w:t>The webcast will be archived for one year on our investor relatons website at:</w:t>
      </w:r>
    </w:p>
    <w:p>
      <w:pPr>
        <w:spacing w:after="0" w:line="237" w:lineRule="auto"/>
        <w:rPr>
          <w:sz w:val="20"/>
          <w:szCs w:val="20"/>
          <w:color w:val="auto"/>
        </w:rPr>
      </w:pPr>
      <w:r>
        <w:rPr>
          <w:rFonts w:ascii="Calibri" w:cs="Calibri" w:eastAsia="Calibri" w:hAnsi="Calibri"/>
          <w:sz w:val="15"/>
          <w:szCs w:val="15"/>
          <w:u w:val="single" w:color="auto"/>
          <w:color w:val="auto"/>
        </w:rPr>
        <w:t>htps://credicorp.gcs-web.com/events-and-presentatons/upcoming-events</w:t>
      </w:r>
    </w:p>
    <w:p>
      <w:pPr>
        <w:spacing w:after="0" w:line="181" w:lineRule="exact"/>
        <w:rPr>
          <w:sz w:val="20"/>
          <w:szCs w:val="20"/>
          <w:color w:val="auto"/>
        </w:rPr>
      </w:pPr>
    </w:p>
    <w:p>
      <w:pPr>
        <w:spacing w:after="0"/>
        <w:rPr>
          <w:sz w:val="20"/>
          <w:szCs w:val="20"/>
          <w:color w:val="auto"/>
        </w:rPr>
      </w:pPr>
      <w:r>
        <w:rPr>
          <w:rFonts w:ascii="Calibri" w:cs="Calibri" w:eastAsia="Calibri" w:hAnsi="Calibri"/>
          <w:sz w:val="15"/>
          <w:szCs w:val="15"/>
          <w:color w:val="121212"/>
        </w:rPr>
        <w:t>For a full version of Credicorp´s Fourth Quarter 2022 Earnings Release, please visit:</w:t>
      </w:r>
    </w:p>
    <w:p>
      <w:pPr>
        <w:spacing w:after="0" w:line="237" w:lineRule="auto"/>
        <w:rPr>
          <w:sz w:val="20"/>
          <w:szCs w:val="20"/>
          <w:color w:val="auto"/>
        </w:rPr>
      </w:pPr>
      <w:r>
        <w:rPr>
          <w:rFonts w:ascii="Calibri" w:cs="Calibri" w:eastAsia="Calibri" w:hAnsi="Calibri"/>
          <w:sz w:val="15"/>
          <w:szCs w:val="15"/>
          <w:u w:val="single" w:color="auto"/>
          <w:color w:val="auto"/>
        </w:rPr>
        <w:t>htps://credicorp.gcs-web.com/fnancial-informaton/quarterly-results</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7" w:right="319" w:bottom="1440" w:gutter="0" w:footer="0" w:header="0"/>
        </w:sectPr>
      </w:pPr>
    </w:p>
    <w:bookmarkStart w:id="8" w:name="page9"/>
    <w:bookmarkEnd w:id="8"/>
    <w:p>
      <w:pPr>
        <w:ind w:left="2700"/>
        <w:spacing w:after="0"/>
        <w:tabs>
          <w:tab w:leader="none" w:pos="290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53910" cy="259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910" cy="25908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Summary of Financial Performance and Outlook</w:t>
      </w:r>
    </w:p>
    <w:p>
      <w:pPr>
        <w:spacing w:after="0" w:line="217"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2AD2C9"/>
        </w:rPr>
        <w:t>Loans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4381500</wp:posOffset>
            </wp:positionH>
            <wp:positionV relativeFrom="paragraph">
              <wp:posOffset>-147955</wp:posOffset>
            </wp:positionV>
            <wp:extent cx="2125345" cy="1894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25345" cy="189484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Calibri" w:cs="Calibri" w:eastAsia="Calibri" w:hAnsi="Calibri"/>
          <w:sz w:val="15"/>
          <w:szCs w:val="15"/>
          <w:color w:val="auto"/>
        </w:rPr>
        <w:t>Structural balances, measured in ADB, dropped 0.7% QoQ to stand at S/136,758 million.</w:t>
      </w:r>
    </w:p>
    <w:p>
      <w:pPr>
        <w:spacing w:after="0" w:line="237" w:lineRule="auto"/>
        <w:rPr>
          <w:sz w:val="20"/>
          <w:szCs w:val="20"/>
          <w:color w:val="auto"/>
        </w:rPr>
      </w:pPr>
      <w:r>
        <w:rPr>
          <w:rFonts w:ascii="Calibri" w:cs="Calibri" w:eastAsia="Calibri" w:hAnsi="Calibri"/>
          <w:sz w:val="15"/>
          <w:szCs w:val="15"/>
          <w:color w:val="auto"/>
        </w:rPr>
        <w:t>This decrease was fueled mainly by Wholesale Banking at BCP and was partally ofset by</w:t>
      </w:r>
    </w:p>
    <w:p>
      <w:pPr>
        <w:spacing w:after="0"/>
        <w:rPr>
          <w:sz w:val="20"/>
          <w:szCs w:val="20"/>
          <w:color w:val="auto"/>
        </w:rPr>
      </w:pPr>
      <w:r>
        <w:rPr>
          <w:rFonts w:ascii="Calibri" w:cs="Calibri" w:eastAsia="Calibri" w:hAnsi="Calibri"/>
          <w:sz w:val="15"/>
          <w:szCs w:val="15"/>
          <w:color w:val="auto"/>
        </w:rPr>
        <w:t>Retail Banking at BCP and by Mibanco.</w:t>
      </w:r>
    </w:p>
    <w:p>
      <w:pPr>
        <w:spacing w:after="0" w:line="115" w:lineRule="exact"/>
        <w:rPr>
          <w:sz w:val="20"/>
          <w:szCs w:val="20"/>
          <w:color w:val="auto"/>
        </w:rPr>
      </w:pPr>
    </w:p>
    <w:p>
      <w:pPr>
        <w:ind w:right="5860"/>
        <w:spacing w:after="0" w:line="236" w:lineRule="auto"/>
        <w:rPr>
          <w:sz w:val="20"/>
          <w:szCs w:val="20"/>
          <w:color w:val="auto"/>
        </w:rPr>
      </w:pPr>
      <w:r>
        <w:rPr>
          <w:rFonts w:ascii="Calibri" w:cs="Calibri" w:eastAsia="Calibri" w:hAnsi="Calibri"/>
          <w:sz w:val="15"/>
          <w:szCs w:val="15"/>
          <w:color w:val="auto"/>
        </w:rPr>
        <w:t>YoY, structural loans grew 9.7%, driven mainly by Retail Banking via Consumer and Mortgage and secondarily by Wholesale Banking, via Corporate banking.</w:t>
      </w:r>
    </w:p>
    <w:p>
      <w:pPr>
        <w:spacing w:after="0" w:line="128" w:lineRule="exact"/>
        <w:rPr>
          <w:sz w:val="20"/>
          <w:szCs w:val="20"/>
          <w:color w:val="auto"/>
        </w:rPr>
      </w:pPr>
    </w:p>
    <w:p>
      <w:pPr>
        <w:jc w:val="both"/>
        <w:ind w:right="5860"/>
        <w:spacing w:after="0" w:line="236" w:lineRule="auto"/>
        <w:rPr>
          <w:sz w:val="20"/>
          <w:szCs w:val="20"/>
          <w:color w:val="auto"/>
        </w:rPr>
      </w:pPr>
      <w:r>
        <w:rPr>
          <w:rFonts w:ascii="Calibri" w:cs="Calibri" w:eastAsia="Calibri" w:hAnsi="Calibri"/>
          <w:sz w:val="15"/>
          <w:szCs w:val="15"/>
          <w:color w:val="auto"/>
        </w:rPr>
        <w:t>The Government Loan Portolio (GP) represented 5.7% of the total portolio in average daily balances (4.9% in quarter-end balances).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2AD2C9"/>
        </w:rPr>
        <w:t>Deposits</w:t>
      </w:r>
    </w:p>
    <w:p>
      <w:pPr>
        <w:spacing w:after="0" w:line="134" w:lineRule="exact"/>
        <w:rPr>
          <w:sz w:val="20"/>
          <w:szCs w:val="20"/>
          <w:color w:val="auto"/>
        </w:rPr>
      </w:pPr>
    </w:p>
    <w:p>
      <w:pPr>
        <w:jc w:val="both"/>
        <w:ind w:right="5860"/>
        <w:spacing w:after="0" w:line="237" w:lineRule="auto"/>
        <w:rPr>
          <w:sz w:val="20"/>
          <w:szCs w:val="20"/>
          <w:color w:val="auto"/>
        </w:rPr>
      </w:pPr>
      <w:r>
        <w:rPr>
          <w:rFonts w:ascii="Calibri" w:cs="Calibri" w:eastAsia="Calibri" w:hAnsi="Calibri"/>
          <w:sz w:val="15"/>
          <w:szCs w:val="15"/>
          <w:color w:val="auto"/>
        </w:rPr>
        <w:t>Our deposit base measured in quarter-end balances increased 1.1% QoQ. This growth was mainly atributable to growth in Time Deposits at BCP, which was concentrated in FC and in line with higher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4144010</wp:posOffset>
            </wp:positionH>
            <wp:positionV relativeFrom="paragraph">
              <wp:posOffset>-101600</wp:posOffset>
            </wp:positionV>
            <wp:extent cx="2579370" cy="3191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79370" cy="3191510"/>
                    </a:xfrm>
                    <a:prstGeom prst="rect">
                      <a:avLst/>
                    </a:prstGeom>
                    <a:noFill/>
                  </pic:spPr>
                </pic:pic>
              </a:graphicData>
            </a:graphic>
          </wp:anchor>
        </w:drawing>
      </w:r>
    </w:p>
    <w:p>
      <w:pPr>
        <w:spacing w:after="0" w:line="107" w:lineRule="exact"/>
        <w:rPr>
          <w:sz w:val="20"/>
          <w:szCs w:val="20"/>
          <w:color w:val="auto"/>
        </w:rPr>
      </w:pPr>
    </w:p>
    <w:p>
      <w:pPr>
        <w:jc w:val="both"/>
        <w:ind w:right="5860"/>
        <w:spacing w:after="0" w:line="237" w:lineRule="auto"/>
        <w:rPr>
          <w:sz w:val="20"/>
          <w:szCs w:val="20"/>
          <w:color w:val="auto"/>
        </w:rPr>
      </w:pPr>
      <w:r>
        <w:rPr>
          <w:rFonts w:ascii="Calibri" w:cs="Calibri" w:eastAsia="Calibri" w:hAnsi="Calibri"/>
          <w:sz w:val="15"/>
          <w:szCs w:val="15"/>
          <w:color w:val="auto"/>
        </w:rPr>
        <w:t>In the YoY comparison, the deposit base increased 0.5%. The migraton from Low-cost Deposits to Time Deposits in both LC and FC led this evoluton and refected the impact of rising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2AD2C9"/>
        </w:rPr>
        <w:t>Net interest income (NII) and Margin (NIM)</w:t>
      </w:r>
    </w:p>
    <w:p>
      <w:pPr>
        <w:spacing w:after="0" w:line="122" w:lineRule="exact"/>
        <w:rPr>
          <w:sz w:val="20"/>
          <w:szCs w:val="20"/>
          <w:color w:val="auto"/>
        </w:rPr>
      </w:pPr>
    </w:p>
    <w:p>
      <w:pPr>
        <w:jc w:val="both"/>
        <w:ind w:right="5860"/>
        <w:spacing w:after="0" w:line="235" w:lineRule="auto"/>
        <w:rPr>
          <w:sz w:val="20"/>
          <w:szCs w:val="20"/>
          <w:color w:val="auto"/>
        </w:rPr>
      </w:pPr>
      <w:r>
        <w:rPr>
          <w:rFonts w:ascii="Calibri" w:cs="Calibri" w:eastAsia="Calibri" w:hAnsi="Calibri"/>
          <w:sz w:val="15"/>
          <w:szCs w:val="15"/>
          <w:color w:val="auto"/>
        </w:rPr>
        <w:t>NII remained relatvely stable QoQ and stood at S/3,132 million. Growth in Income was spurred by the recompositon of the loan portolio mix and by repricing of Available Funds, while the uptck in expenses refected the migraton from Low-Cost Deposits to Time Deposits. In this context, growth in the IEA yield was similar to the expansion registered by the Funding cost. NIM</w:t>
      </w:r>
      <w:r>
        <w:rPr>
          <w:rFonts w:ascii="Calibri" w:cs="Calibri" w:eastAsia="Calibri" w:hAnsi="Calibri"/>
          <w:sz w:val="25"/>
          <w:szCs w:val="25"/>
          <w:color w:val="auto"/>
          <w:vertAlign w:val="superscript"/>
        </w:rPr>
        <w:t>1</w:t>
      </w:r>
      <w:r>
        <w:rPr>
          <w:rFonts w:ascii="Calibri" w:cs="Calibri" w:eastAsia="Calibri" w:hAnsi="Calibri"/>
          <w:sz w:val="15"/>
          <w:szCs w:val="15"/>
          <w:color w:val="auto"/>
        </w:rPr>
        <w:t xml:space="preserve"> stood at 5.84%.</w:t>
      </w:r>
    </w:p>
    <w:p>
      <w:pPr>
        <w:spacing w:after="0" w:line="3" w:lineRule="exact"/>
        <w:rPr>
          <w:sz w:val="20"/>
          <w:szCs w:val="20"/>
          <w:color w:val="auto"/>
        </w:rPr>
      </w:pPr>
    </w:p>
    <w:p>
      <w:pPr>
        <w:jc w:val="both"/>
        <w:ind w:right="5860"/>
        <w:spacing w:after="0" w:line="223" w:lineRule="auto"/>
        <w:rPr>
          <w:sz w:val="20"/>
          <w:szCs w:val="20"/>
          <w:color w:val="auto"/>
        </w:rPr>
      </w:pPr>
      <w:r>
        <w:rPr>
          <w:rFonts w:ascii="Calibri" w:cs="Calibri" w:eastAsia="Calibri" w:hAnsi="Calibri"/>
          <w:sz w:val="15"/>
          <w:szCs w:val="15"/>
          <w:color w:val="auto"/>
        </w:rPr>
        <w:t>YoY, Net interest income rose 28.8%, driven primarily by the evoluton of rates in both currencies and by growth in the LC loan portolio.</w:t>
      </w:r>
    </w:p>
    <w:p>
      <w:pPr>
        <w:spacing w:after="0" w:line="185" w:lineRule="exact"/>
        <w:rPr>
          <w:sz w:val="20"/>
          <w:szCs w:val="20"/>
          <w:color w:val="auto"/>
        </w:rPr>
      </w:pPr>
    </w:p>
    <w:p>
      <w:pPr>
        <w:spacing w:after="0"/>
        <w:rPr>
          <w:sz w:val="20"/>
          <w:szCs w:val="20"/>
          <w:color w:val="auto"/>
        </w:rPr>
      </w:pPr>
      <w:r>
        <w:rPr>
          <w:rFonts w:ascii="Calibri" w:cs="Calibri" w:eastAsia="Calibri" w:hAnsi="Calibri"/>
          <w:sz w:val="11"/>
          <w:szCs w:val="11"/>
          <w:color w:val="auto"/>
        </w:rPr>
        <w:t>(1) For further details on the new NIM calculaton due to IFRS17, please refer to Annex 12.1.8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7" w:right="319" w:bottom="1440" w:gutter="0" w:footer="0" w:header="0"/>
        </w:sectPr>
      </w:pPr>
    </w:p>
    <w:bookmarkStart w:id="9" w:name="page10"/>
    <w:bookmarkEnd w:id="9"/>
    <w:p>
      <w:pPr>
        <w:ind w:left="2700"/>
        <w:spacing w:after="0"/>
        <w:tabs>
          <w:tab w:leader="none" w:pos="290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53910" cy="259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910" cy="25908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Summary of Financial Performance and Outlook</w:t>
      </w:r>
    </w:p>
    <w:p>
      <w:pPr>
        <w:spacing w:after="0" w:line="217"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2AD2C9"/>
        </w:rPr>
        <w:t>Structural Portolio Quality and Cost of Risk (CofR)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-17780</wp:posOffset>
            </wp:positionV>
            <wp:extent cx="2428240" cy="1577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8240" cy="1577975"/>
                    </a:xfrm>
                    <a:prstGeom prst="rect">
                      <a:avLst/>
                    </a:prstGeom>
                    <a:noFill/>
                  </pic:spPr>
                </pic:pic>
              </a:graphicData>
            </a:graphic>
          </wp:anchor>
        </w:drawing>
      </w:r>
    </w:p>
    <w:p>
      <w:pPr>
        <w:spacing w:after="0" w:line="80" w:lineRule="exact"/>
        <w:rPr>
          <w:sz w:val="20"/>
          <w:szCs w:val="20"/>
          <w:color w:val="auto"/>
        </w:rPr>
      </w:pPr>
    </w:p>
    <w:p>
      <w:pPr>
        <w:jc w:val="both"/>
        <w:ind w:right="5860" w:firstLine="49"/>
        <w:spacing w:after="0" w:line="237" w:lineRule="auto"/>
        <w:rPr>
          <w:sz w:val="20"/>
          <w:szCs w:val="20"/>
          <w:color w:val="auto"/>
        </w:rPr>
      </w:pPr>
      <w:r>
        <w:rPr>
          <w:rFonts w:ascii="Calibri" w:cs="Calibri" w:eastAsia="Calibri" w:hAnsi="Calibri"/>
          <w:sz w:val="15"/>
          <w:szCs w:val="15"/>
          <w:color w:val="auto"/>
        </w:rPr>
        <w:t>QoQ, the balance of the structural NPL portolio rose 2.7%. Growth in the NPL volume was concentrated in (i) Wholesale Banking, due to an increase in overdue loans, partcularly in the Constructon sector (ii) Mibanco, atributable to the negatve impact of social protests and (iii) Consumer and Credit Card, which refects the impact of penetraton of higher-risk segments. In this context, the structural NLP rato stood at 5.12% (+17 bps) at the end of 1Q23.</w:t>
      </w:r>
    </w:p>
    <w:p>
      <w:pPr>
        <w:spacing w:after="0" w:line="209" w:lineRule="exact"/>
        <w:rPr>
          <w:sz w:val="20"/>
          <w:szCs w:val="20"/>
          <w:color w:val="auto"/>
        </w:rPr>
      </w:pPr>
    </w:p>
    <w:p>
      <w:pPr>
        <w:ind w:right="5860"/>
        <w:spacing w:after="0" w:line="236" w:lineRule="auto"/>
        <w:rPr>
          <w:sz w:val="20"/>
          <w:szCs w:val="20"/>
          <w:color w:val="auto"/>
        </w:rPr>
      </w:pPr>
      <w:r>
        <w:rPr>
          <w:rFonts w:ascii="Calibri" w:cs="Calibri" w:eastAsia="Calibri" w:hAnsi="Calibri"/>
          <w:sz w:val="15"/>
          <w:szCs w:val="15"/>
          <w:color w:val="auto"/>
        </w:rPr>
        <w:t>YoY, the structural NPL volume rose 7.8%, driven by Wholesale Banking, Consumer and Credit Cards.</w:t>
      </w:r>
    </w:p>
    <w:p>
      <w:pPr>
        <w:spacing w:after="0" w:line="116" w:lineRule="exact"/>
        <w:rPr>
          <w:sz w:val="20"/>
          <w:szCs w:val="20"/>
          <w:color w:val="auto"/>
        </w:rPr>
      </w:pPr>
    </w:p>
    <w:p>
      <w:pPr>
        <w:jc w:val="both"/>
        <w:ind w:right="5860" w:firstLine="40"/>
        <w:spacing w:after="0" w:line="237" w:lineRule="auto"/>
        <w:rPr>
          <w:sz w:val="20"/>
          <w:szCs w:val="20"/>
          <w:color w:val="auto"/>
        </w:rPr>
      </w:pPr>
      <w:r>
        <w:rPr>
          <w:rFonts w:ascii="Calibri" w:cs="Calibri" w:eastAsia="Calibri" w:hAnsi="Calibri"/>
          <w:sz w:val="15"/>
          <w:szCs w:val="15"/>
          <w:color w:val="auto"/>
        </w:rPr>
        <w:t>The structural CofR increased 4 bps QoQ, spurred by an uptck in provisions in (i) SME at BCP, due to a deterioraton in payment behavior afer the bank incurred in higher-risk segments (ii) Individuals, atributable to a deterioraton in payment behavior in Consumer and Credit Cards due to the reason outlined above. (iii) Mibanco, due to the negatve impact of social protests in the south and intense rains in the north. In this context, the structural CofR stood at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-186690</wp:posOffset>
            </wp:positionV>
            <wp:extent cx="2607945" cy="1671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7945" cy="1671320"/>
                    </a:xfrm>
                    <a:prstGeom prst="rect">
                      <a:avLst/>
                    </a:prstGeom>
                    <a:noFill/>
                  </pic:spPr>
                </pic:pic>
              </a:graphicData>
            </a:graphic>
          </wp:anchor>
        </w:drawing>
      </w:r>
    </w:p>
    <w:p>
      <w:pPr>
        <w:spacing w:after="0" w:line="109" w:lineRule="exact"/>
        <w:rPr>
          <w:sz w:val="20"/>
          <w:szCs w:val="20"/>
          <w:color w:val="auto"/>
        </w:rPr>
      </w:pPr>
    </w:p>
    <w:p>
      <w:pPr>
        <w:jc w:val="both"/>
        <w:ind w:right="5860"/>
        <w:spacing w:after="0" w:line="237" w:lineRule="auto"/>
        <w:rPr>
          <w:sz w:val="20"/>
          <w:szCs w:val="20"/>
          <w:color w:val="auto"/>
        </w:rPr>
      </w:pPr>
      <w:r>
        <w:rPr>
          <w:rFonts w:ascii="Calibri" w:cs="Calibri" w:eastAsia="Calibri" w:hAnsi="Calibri"/>
          <w:sz w:val="15"/>
          <w:szCs w:val="15"/>
          <w:color w:val="auto"/>
        </w:rPr>
        <w:t>YoY, the structural CofR rose signifcantly (+128 bps), in line with growth in provisions. This increase was led by Individuals and Mibanco Due to a deterioraton in payment behavior and a partcularly low provision base in 1Q22. Provisions for SMEs contnue at high levels, despite a YoY improvement, in line with portolio deterioraton.</w:t>
      </w:r>
    </w:p>
    <w:p>
      <w:pPr>
        <w:spacing w:after="0" w:line="128" w:lineRule="exact"/>
        <w:rPr>
          <w:sz w:val="20"/>
          <w:szCs w:val="20"/>
          <w:color w:val="auto"/>
        </w:rPr>
      </w:pPr>
    </w:p>
    <w:p>
      <w:pPr>
        <w:jc w:val="both"/>
        <w:ind w:right="5860"/>
        <w:spacing w:after="0" w:line="236" w:lineRule="auto"/>
        <w:rPr>
          <w:sz w:val="20"/>
          <w:szCs w:val="20"/>
          <w:color w:val="auto"/>
        </w:rPr>
      </w:pPr>
      <w:r>
        <w:rPr>
          <w:rFonts w:ascii="Calibri" w:cs="Calibri" w:eastAsia="Calibri" w:hAnsi="Calibri"/>
          <w:sz w:val="15"/>
          <w:szCs w:val="15"/>
          <w:color w:val="auto"/>
        </w:rPr>
        <w:t>The structural NPL coverage rato contnues to follow a downward trend and stood at 110.0% in 1Q23.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7" w:right="319" w:bottom="1440" w:gutter="0" w:footer="0" w:header="0"/>
        </w:sectPr>
      </w:pPr>
    </w:p>
    <w:bookmarkStart w:id="10" w:name="page11"/>
    <w:bookmarkEnd w:id="10"/>
    <w:p>
      <w:pPr>
        <w:ind w:left="2709"/>
        <w:spacing w:after="0"/>
        <w:tabs>
          <w:tab w:leader="none" w:pos="290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153910" cy="259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910" cy="259080"/>
                    </a:xfrm>
                    <a:prstGeom prst="rect">
                      <a:avLst/>
                    </a:prstGeom>
                    <a:noFill/>
                  </pic:spPr>
                </pic:pic>
              </a:graphicData>
            </a:graphic>
          </wp:anchor>
        </w:drawing>
      </w:r>
    </w:p>
    <w:p>
      <w:pPr>
        <w:spacing w:after="0" w:line="324"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Summary of Financial Performance and Outlook</w:t>
      </w:r>
    </w:p>
    <w:p>
      <w:pPr>
        <w:spacing w:after="0" w:line="217" w:lineRule="exact"/>
        <w:rPr>
          <w:sz w:val="20"/>
          <w:szCs w:val="20"/>
          <w:color w:val="auto"/>
        </w:rPr>
      </w:pPr>
    </w:p>
    <w:p>
      <w:pPr>
        <w:ind w:left="9"/>
        <w:spacing w:after="0"/>
        <w:rPr>
          <w:sz w:val="20"/>
          <w:szCs w:val="20"/>
          <w:color w:val="auto"/>
        </w:rPr>
      </w:pPr>
      <w:r>
        <w:rPr>
          <w:rFonts w:ascii="Calibri" w:cs="Calibri" w:eastAsia="Calibri" w:hAnsi="Calibri"/>
          <w:sz w:val="21"/>
          <w:szCs w:val="21"/>
          <w:b w:val="1"/>
          <w:bCs w:val="1"/>
          <w:color w:val="2AD2C9"/>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-17780</wp:posOffset>
            </wp:positionV>
            <wp:extent cx="2219325" cy="15995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19325" cy="1599565"/>
                    </a:xfrm>
                    <a:prstGeom prst="rect">
                      <a:avLst/>
                    </a:prstGeom>
                    <a:noFill/>
                  </pic:spPr>
                </pic:pic>
              </a:graphicData>
            </a:graphic>
          </wp:anchor>
        </w:drawing>
      </w:r>
    </w:p>
    <w:p>
      <w:pPr>
        <w:spacing w:after="0" w:line="102" w:lineRule="exact"/>
        <w:rPr>
          <w:sz w:val="20"/>
          <w:szCs w:val="20"/>
          <w:color w:val="auto"/>
        </w:rPr>
      </w:pPr>
    </w:p>
    <w:p>
      <w:pPr>
        <w:jc w:val="both"/>
        <w:ind w:left="9" w:right="5860"/>
        <w:spacing w:after="0" w:line="237" w:lineRule="auto"/>
        <w:rPr>
          <w:sz w:val="20"/>
          <w:szCs w:val="20"/>
          <w:color w:val="auto"/>
        </w:rPr>
      </w:pPr>
      <w:r>
        <w:rPr>
          <w:rFonts w:ascii="Calibri" w:cs="Calibri" w:eastAsia="Calibri" w:hAnsi="Calibri"/>
          <w:sz w:val="15"/>
          <w:szCs w:val="15"/>
          <w:color w:val="auto"/>
        </w:rPr>
        <w:t>Other Core Income (Commissions + Gains on FX transactons) fell 4.8% QoQ and 1.8% YoY due to a drop in the net gain on FX transactons. The aforementoned drop QoQ and YoY refects a seasonal efect on transacton volumes and income from the net gain on foreign exchange transactons at BCP Stand-alone. QoQ and YoY, fee income decreased due to the eliminaton of inter-plaza fees in Universal Banking.</w:t>
      </w:r>
    </w:p>
    <w:p>
      <w:pPr>
        <w:spacing w:after="0" w:line="128" w:lineRule="exact"/>
        <w:rPr>
          <w:sz w:val="20"/>
          <w:szCs w:val="20"/>
          <w:color w:val="auto"/>
        </w:rPr>
      </w:pPr>
    </w:p>
    <w:p>
      <w:pPr>
        <w:jc w:val="both"/>
        <w:ind w:left="9" w:right="5860"/>
        <w:spacing w:after="0" w:line="193" w:lineRule="auto"/>
        <w:rPr>
          <w:sz w:val="20"/>
          <w:szCs w:val="20"/>
          <w:color w:val="auto"/>
        </w:rPr>
      </w:pPr>
      <w:r>
        <w:rPr>
          <w:rFonts w:ascii="Calibri" w:cs="Calibri" w:eastAsia="Calibri" w:hAnsi="Calibri"/>
          <w:sz w:val="15"/>
          <w:szCs w:val="15"/>
          <w:color w:val="auto"/>
        </w:rPr>
        <w:t>Other Non-core income</w:t>
      </w:r>
      <w:r>
        <w:rPr>
          <w:rFonts w:ascii="Calibri" w:cs="Calibri" w:eastAsia="Calibri" w:hAnsi="Calibri"/>
          <w:sz w:val="25"/>
          <w:szCs w:val="25"/>
          <w:color w:val="auto"/>
          <w:vertAlign w:val="superscript"/>
        </w:rPr>
        <w:t>1</w:t>
      </w:r>
      <w:r>
        <w:rPr>
          <w:rFonts w:ascii="Calibri" w:cs="Calibri" w:eastAsia="Calibri" w:hAnsi="Calibri"/>
          <w:sz w:val="15"/>
          <w:szCs w:val="15"/>
          <w:color w:val="auto"/>
        </w:rPr>
        <w:t xml:space="preserve"> increased 31.4% QoQ, which refected the impact of a sale of a judicial portolio. YoY, growth of 124.6% was driven by an uptck in the Net gain on securites.</w:t>
      </w:r>
    </w:p>
    <w:p>
      <w:pPr>
        <w:spacing w:after="0" w:line="187" w:lineRule="exact"/>
        <w:rPr>
          <w:sz w:val="20"/>
          <w:szCs w:val="20"/>
          <w:color w:val="auto"/>
        </w:rPr>
      </w:pPr>
    </w:p>
    <w:p>
      <w:pPr>
        <w:ind w:left="9"/>
        <w:spacing w:after="0"/>
        <w:rPr>
          <w:sz w:val="20"/>
          <w:szCs w:val="20"/>
          <w:color w:val="auto"/>
        </w:rPr>
      </w:pPr>
      <w:r>
        <w:rPr>
          <w:rFonts w:ascii="Calibri" w:cs="Calibri" w:eastAsia="Calibri" w:hAnsi="Calibri"/>
          <w:sz w:val="11"/>
          <w:szCs w:val="11"/>
          <w:color w:val="auto"/>
        </w:rPr>
        <w:t>(1) For more details regarding the content of this grouping, please refer to Annex 12.1.8</w:t>
      </w:r>
    </w:p>
    <w:p>
      <w:pPr>
        <w:spacing w:after="0" w:line="360" w:lineRule="exact"/>
        <w:rPr>
          <w:sz w:val="20"/>
          <w:szCs w:val="20"/>
          <w:color w:val="auto"/>
        </w:rPr>
      </w:pPr>
    </w:p>
    <w:p>
      <w:pPr>
        <w:ind w:left="9"/>
        <w:spacing w:after="0"/>
        <w:rPr>
          <w:sz w:val="20"/>
          <w:szCs w:val="20"/>
          <w:color w:val="auto"/>
        </w:rPr>
      </w:pPr>
      <w:r>
        <w:rPr>
          <w:rFonts w:ascii="Calibri" w:cs="Calibri" w:eastAsia="Calibri" w:hAnsi="Calibri"/>
          <w:sz w:val="21"/>
          <w:szCs w:val="21"/>
          <w:b w:val="1"/>
          <w:bCs w:val="1"/>
          <w:color w:val="2AD2C9"/>
        </w:rPr>
        <w:t>Insurance Underwritng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38735</wp:posOffset>
            </wp:positionV>
            <wp:extent cx="2298065" cy="128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98065" cy="1282700"/>
                    </a:xfrm>
                    <a:prstGeom prst="rect">
                      <a:avLst/>
                    </a:prstGeom>
                    <a:noFill/>
                  </pic:spPr>
                </pic:pic>
              </a:graphicData>
            </a:graphic>
          </wp:anchor>
        </w:drawing>
      </w:r>
    </w:p>
    <w:p>
      <w:pPr>
        <w:spacing w:after="0" w:line="102" w:lineRule="exact"/>
        <w:rPr>
          <w:sz w:val="20"/>
          <w:szCs w:val="20"/>
          <w:color w:val="auto"/>
        </w:rPr>
      </w:pPr>
    </w:p>
    <w:p>
      <w:pPr>
        <w:jc w:val="both"/>
        <w:ind w:left="9" w:right="5860"/>
        <w:spacing w:after="0" w:line="203" w:lineRule="auto"/>
        <w:rPr>
          <w:sz w:val="20"/>
          <w:szCs w:val="20"/>
          <w:color w:val="auto"/>
        </w:rPr>
      </w:pPr>
      <w:r>
        <w:rPr>
          <w:rFonts w:ascii="Calibri" w:cs="Calibri" w:eastAsia="Calibri" w:hAnsi="Calibri"/>
          <w:sz w:val="15"/>
          <w:szCs w:val="15"/>
          <w:color w:val="auto"/>
        </w:rPr>
        <w:t>The Insurance Underwritng Result</w:t>
      </w:r>
      <w:r>
        <w:rPr>
          <w:rFonts w:ascii="Calibri" w:cs="Calibri" w:eastAsia="Calibri" w:hAnsi="Calibri"/>
          <w:sz w:val="25"/>
          <w:szCs w:val="25"/>
          <w:color w:val="auto"/>
          <w:vertAlign w:val="superscript"/>
        </w:rPr>
        <w:t>1</w:t>
      </w:r>
      <w:r>
        <w:rPr>
          <w:rFonts w:ascii="Calibri" w:cs="Calibri" w:eastAsia="Calibri" w:hAnsi="Calibri"/>
          <w:sz w:val="15"/>
          <w:szCs w:val="15"/>
          <w:color w:val="auto"/>
        </w:rPr>
        <w:t xml:space="preserve"> rose 43.4% YoY. This evoluton was mainly atributable to the Life business, which registered an improvement due to an uptck in writen premiums in D&amp;S and Credit Life. The P&amp;C business reported a drop in its result, which refects an uptck in claims, partcularly in P&amp;C Risks and Cars.</w:t>
      </w:r>
    </w:p>
    <w:p>
      <w:pPr>
        <w:spacing w:after="0" w:line="129" w:lineRule="exact"/>
        <w:rPr>
          <w:sz w:val="20"/>
          <w:szCs w:val="20"/>
          <w:color w:val="auto"/>
        </w:rPr>
      </w:pPr>
    </w:p>
    <w:p>
      <w:pPr>
        <w:ind w:left="149" w:hanging="149"/>
        <w:spacing w:after="0"/>
        <w:tabs>
          <w:tab w:leader="none" w:pos="149" w:val="left"/>
        </w:tabs>
        <w:numPr>
          <w:ilvl w:val="0"/>
          <w:numId w:val="3"/>
        </w:numPr>
        <w:rPr>
          <w:rFonts w:ascii="Calibri" w:cs="Calibri" w:eastAsia="Calibri" w:hAnsi="Calibri"/>
          <w:sz w:val="11"/>
          <w:szCs w:val="11"/>
          <w:color w:val="auto"/>
        </w:rPr>
      </w:pPr>
      <w:r>
        <w:rPr>
          <w:rFonts w:ascii="Calibri" w:cs="Calibri" w:eastAsia="Calibri" w:hAnsi="Calibri"/>
          <w:sz w:val="11"/>
          <w:szCs w:val="11"/>
          <w:color w:val="auto"/>
        </w:rPr>
        <w:t>For more details regarding the new compositon of Insurance Underwritng Result to refect IFRS17, please refer to Annex</w:t>
      </w:r>
    </w:p>
    <w:p>
      <w:pPr>
        <w:ind w:left="9"/>
        <w:spacing w:after="0" w:line="223" w:lineRule="auto"/>
        <w:rPr>
          <w:rFonts w:ascii="Calibri" w:cs="Calibri" w:eastAsia="Calibri" w:hAnsi="Calibri"/>
          <w:sz w:val="11"/>
          <w:szCs w:val="11"/>
          <w:color w:val="auto"/>
        </w:rPr>
      </w:pPr>
      <w:r>
        <w:rPr>
          <w:rFonts w:ascii="Calibri" w:cs="Calibri" w:eastAsia="Calibri" w:hAnsi="Calibri"/>
          <w:sz w:val="11"/>
          <w:szCs w:val="11"/>
          <w:color w:val="auto"/>
        </w:rPr>
        <w:t>12.1.8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67" w:right="319" w:bottom="1440" w:gutter="0" w:footer="0" w:header="0"/>
        </w:sectPr>
      </w:pPr>
    </w:p>
    <w:bookmarkStart w:id="11" w:name="page12"/>
    <w:bookmarkEnd w:id="11"/>
    <w:p>
      <w:pPr>
        <w:ind w:left="2709"/>
        <w:spacing w:after="0"/>
        <w:tabs>
          <w:tab w:leader="none" w:pos="290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153910" cy="259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910" cy="259080"/>
                    </a:xfrm>
                    <a:prstGeom prst="rect">
                      <a:avLst/>
                    </a:prstGeom>
                    <a:noFill/>
                  </pic:spPr>
                </pic:pic>
              </a:graphicData>
            </a:graphic>
          </wp:anchor>
        </w:drawing>
      </w:r>
    </w:p>
    <w:p>
      <w:pPr>
        <w:spacing w:after="0" w:line="324"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Summary of Financial Performance and Outlook</w:t>
      </w:r>
    </w:p>
    <w:p>
      <w:pPr>
        <w:spacing w:after="0" w:line="217" w:lineRule="exact"/>
        <w:rPr>
          <w:sz w:val="20"/>
          <w:szCs w:val="20"/>
          <w:color w:val="auto"/>
        </w:rPr>
      </w:pPr>
    </w:p>
    <w:p>
      <w:pPr>
        <w:ind w:left="9"/>
        <w:spacing w:after="0"/>
        <w:rPr>
          <w:sz w:val="20"/>
          <w:szCs w:val="20"/>
          <w:color w:val="auto"/>
        </w:rPr>
      </w:pPr>
      <w:r>
        <w:rPr>
          <w:rFonts w:ascii="Calibri" w:cs="Calibri" w:eastAsia="Calibri" w:hAnsi="Calibri"/>
          <w:sz w:val="21"/>
          <w:szCs w:val="21"/>
          <w:b w:val="1"/>
          <w:bCs w:val="1"/>
          <w:color w:val="2AD2C9"/>
        </w:rPr>
        <w:t>Efciency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-17780</wp:posOffset>
            </wp:positionV>
            <wp:extent cx="2694305" cy="3609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94305" cy="3609340"/>
                    </a:xfrm>
                    <a:prstGeom prst="rect">
                      <a:avLst/>
                    </a:prstGeom>
                    <a:noFill/>
                  </pic:spPr>
                </pic:pic>
              </a:graphicData>
            </a:graphic>
          </wp:anchor>
        </w:drawing>
      </w:r>
    </w:p>
    <w:p>
      <w:pPr>
        <w:spacing w:after="0" w:line="102" w:lineRule="exact"/>
        <w:rPr>
          <w:sz w:val="20"/>
          <w:szCs w:val="20"/>
          <w:color w:val="auto"/>
        </w:rPr>
      </w:pPr>
    </w:p>
    <w:p>
      <w:pPr>
        <w:jc w:val="both"/>
        <w:ind w:left="9" w:right="5860"/>
        <w:spacing w:after="0" w:line="193" w:lineRule="auto"/>
        <w:rPr>
          <w:sz w:val="20"/>
          <w:szCs w:val="20"/>
          <w:color w:val="auto"/>
        </w:rPr>
      </w:pPr>
      <w:r>
        <w:rPr>
          <w:rFonts w:ascii="Calibri" w:cs="Calibri" w:eastAsia="Calibri" w:hAnsi="Calibri"/>
          <w:sz w:val="15"/>
          <w:szCs w:val="15"/>
          <w:color w:val="auto"/>
        </w:rPr>
        <w:t>In 1Q23, the Efciency rato</w:t>
      </w:r>
      <w:r>
        <w:rPr>
          <w:rFonts w:ascii="Calibri" w:cs="Calibri" w:eastAsia="Calibri" w:hAnsi="Calibri"/>
          <w:sz w:val="25"/>
          <w:szCs w:val="25"/>
          <w:color w:val="auto"/>
          <w:vertAlign w:val="superscript"/>
        </w:rPr>
        <w:t>1</w:t>
      </w:r>
      <w:r>
        <w:rPr>
          <w:rFonts w:ascii="Calibri" w:cs="Calibri" w:eastAsia="Calibri" w:hAnsi="Calibri"/>
          <w:sz w:val="15"/>
          <w:szCs w:val="15"/>
          <w:color w:val="auto"/>
        </w:rPr>
        <w:t xml:space="preserve"> stood at 44.3%. This evoluton represented an improvement of 290 bps with regard to 1Q22 and refected an uptck in operatng income at BCP and Pacífco.</w:t>
      </w:r>
    </w:p>
    <w:p>
      <w:pPr>
        <w:spacing w:after="0" w:line="131" w:lineRule="exact"/>
        <w:rPr>
          <w:sz w:val="20"/>
          <w:szCs w:val="20"/>
          <w:color w:val="auto"/>
        </w:rPr>
      </w:pPr>
    </w:p>
    <w:p>
      <w:pPr>
        <w:ind w:left="9"/>
        <w:spacing w:after="0"/>
        <w:rPr>
          <w:sz w:val="20"/>
          <w:szCs w:val="20"/>
          <w:color w:val="auto"/>
        </w:rPr>
      </w:pPr>
      <w:r>
        <w:rPr>
          <w:rFonts w:ascii="Calibri" w:cs="Calibri" w:eastAsia="Calibri" w:hAnsi="Calibri"/>
          <w:sz w:val="11"/>
          <w:szCs w:val="11"/>
          <w:color w:val="auto"/>
        </w:rPr>
        <w:t>(1) For more details regarding the new calculaton of the Efciency rato due to IFRS17, please refer to Annex 12.1.8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
        <w:spacing w:after="0"/>
        <w:rPr>
          <w:sz w:val="20"/>
          <w:szCs w:val="20"/>
          <w:color w:val="auto"/>
        </w:rPr>
      </w:pPr>
      <w:r>
        <w:rPr>
          <w:rFonts w:ascii="Calibri" w:cs="Calibri" w:eastAsia="Calibri" w:hAnsi="Calibri"/>
          <w:sz w:val="21"/>
          <w:szCs w:val="21"/>
          <w:b w:val="1"/>
          <w:bCs w:val="1"/>
          <w:color w:val="2AD2C9"/>
        </w:rPr>
        <w:t>Net Income atributable to Credicorp</w:t>
      </w:r>
    </w:p>
    <w:p>
      <w:pPr>
        <w:spacing w:after="0" w:line="122" w:lineRule="exact"/>
        <w:rPr>
          <w:sz w:val="20"/>
          <w:szCs w:val="20"/>
          <w:color w:val="auto"/>
        </w:rPr>
      </w:pPr>
    </w:p>
    <w:p>
      <w:pPr>
        <w:jc w:val="both"/>
        <w:ind w:left="9" w:right="5860"/>
        <w:spacing w:after="0" w:line="237" w:lineRule="auto"/>
        <w:rPr>
          <w:sz w:val="20"/>
          <w:szCs w:val="20"/>
          <w:color w:val="auto"/>
        </w:rPr>
      </w:pPr>
      <w:r>
        <w:rPr>
          <w:rFonts w:ascii="Calibri" w:cs="Calibri" w:eastAsia="Calibri" w:hAnsi="Calibri"/>
          <w:sz w:val="15"/>
          <w:szCs w:val="15"/>
          <w:color w:val="auto"/>
        </w:rPr>
        <w:t>In 1Q23, net income atributable to Credicorp was S/1,384 million, up +31.3% QoQ and +18.1% YoY. With these results, net shareholders’ equity was S/30,360 million (+4.7% QoQ). In this scenario, ROE stood at 18.7%.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
        <w:spacing w:after="0"/>
        <w:rPr>
          <w:sz w:val="20"/>
          <w:szCs w:val="20"/>
          <w:color w:val="auto"/>
        </w:rPr>
      </w:pPr>
      <w:r>
        <w:rPr>
          <w:rFonts w:ascii="Calibri" w:cs="Calibri" w:eastAsia="Calibri" w:hAnsi="Calibri"/>
          <w:sz w:val="21"/>
          <w:szCs w:val="21"/>
          <w:b w:val="1"/>
          <w:bCs w:val="1"/>
          <w:color w:val="2AD2C9"/>
        </w:rPr>
        <w:t>Contributons</w:t>
      </w:r>
      <w:r>
        <w:rPr>
          <w:rFonts w:ascii="Calibri" w:cs="Calibri" w:eastAsia="Calibri" w:hAnsi="Calibri"/>
          <w:sz w:val="35"/>
          <w:szCs w:val="35"/>
          <w:b w:val="1"/>
          <w:bCs w:val="1"/>
          <w:color w:val="2AD2C9"/>
          <w:vertAlign w:val="superscript"/>
        </w:rPr>
        <w:t>*</w:t>
      </w:r>
      <w:r>
        <w:rPr>
          <w:rFonts w:ascii="Calibri" w:cs="Calibri" w:eastAsia="Calibri" w:hAnsi="Calibri"/>
          <w:sz w:val="21"/>
          <w:szCs w:val="21"/>
          <w:b w:val="1"/>
          <w:bCs w:val="1"/>
          <w:color w:val="2AD2C9"/>
        </w:rPr>
        <w:t xml:space="preserve"> and ROE by subsidiary in 1Q23</w:t>
      </w:r>
    </w:p>
    <w:p>
      <w:pPr>
        <w:jc w:val="center"/>
        <w:ind w:right="-8"/>
        <w:spacing w:after="0" w:line="204" w:lineRule="auto"/>
        <w:rPr>
          <w:sz w:val="20"/>
          <w:szCs w:val="20"/>
          <w:color w:val="auto"/>
        </w:rPr>
      </w:pPr>
      <w:r>
        <w:rPr>
          <w:rFonts w:ascii="Calibri" w:cs="Calibri" w:eastAsia="Calibri" w:hAnsi="Calibri"/>
          <w:sz w:val="18"/>
          <w:szCs w:val="18"/>
          <w:b w:val="1"/>
          <w:bCs w:val="1"/>
          <w:color w:val="2AD2C9"/>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15875</wp:posOffset>
            </wp:positionV>
            <wp:extent cx="4661535" cy="18878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61535" cy="188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
        <w:spacing w:after="0"/>
        <w:rPr>
          <w:sz w:val="20"/>
          <w:szCs w:val="20"/>
          <w:color w:val="auto"/>
        </w:rPr>
      </w:pPr>
      <w:r>
        <w:rPr>
          <w:rFonts w:ascii="Calibri" w:cs="Calibri" w:eastAsia="Calibri" w:hAnsi="Calibri"/>
          <w:sz w:val="11"/>
          <w:szCs w:val="11"/>
          <w:color w:val="auto"/>
        </w:rPr>
        <w:t>*Contributons to Credicorp refect eliminatons for consolidaton purposes (eliminatons for transactons among Credicorp’s subsidiaries or between Credicorp and its subsidiaries).</w:t>
      </w:r>
    </w:p>
    <w:p>
      <w:pPr>
        <w:ind w:left="49" w:hanging="49"/>
        <w:spacing w:after="0" w:line="223" w:lineRule="auto"/>
        <w:tabs>
          <w:tab w:leader="none" w:pos="49"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At BCP Stand Alone, the fgure is lower than net income because it does not include gains on investments in other Credicorp subsidiaries (Mibanco).</w:t>
      </w:r>
    </w:p>
    <w:p>
      <w:pPr>
        <w:ind w:left="49" w:hanging="49"/>
        <w:spacing w:after="0" w:line="223" w:lineRule="auto"/>
        <w:tabs>
          <w:tab w:leader="none" w:pos="49"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At Mibanco, the fgure is lower than net income because Credicorp owns 99.924% of Mibanco (directly and indirectly).</w:t>
      </w:r>
    </w:p>
    <w:p>
      <w:pPr>
        <w:ind w:left="49" w:hanging="49"/>
        <w:spacing w:after="0" w:line="223" w:lineRule="auto"/>
        <w:tabs>
          <w:tab w:leader="none" w:pos="49"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The contributon of Grupo Pacífco presented here is higher than the earnings reported for Pacífco Seguros because it includes 100% of Crediseguros (including 48% under Grupo Credito).</w:t>
      </w: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67" w:right="319" w:bottom="1440" w:gutter="0" w:footer="0" w:header="0"/>
        </w:sectPr>
      </w:pPr>
    </w:p>
    <w:bookmarkStart w:id="12" w:name="page13"/>
    <w:bookmarkEnd w:id="12"/>
    <w:p>
      <w:pPr>
        <w:ind w:left="2700"/>
        <w:spacing w:after="0"/>
        <w:tabs>
          <w:tab w:leader="none" w:pos="290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53910" cy="259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910" cy="25908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1233170</wp:posOffset>
            </wp:positionH>
            <wp:positionV relativeFrom="paragraph">
              <wp:posOffset>281940</wp:posOffset>
            </wp:positionV>
            <wp:extent cx="4675505" cy="61671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675505" cy="616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7" w:right="319" w:bottom="1440" w:gutter="0" w:footer="0" w:header="0"/>
        </w:sectPr>
      </w:pPr>
    </w:p>
    <w:bookmarkStart w:id="13" w:name="page14"/>
    <w:bookmarkEnd w:id="13"/>
    <w:p>
      <w:pPr>
        <w:ind w:left="2709"/>
        <w:spacing w:after="0"/>
        <w:tabs>
          <w:tab w:leader="none" w:pos="290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153910" cy="2590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910" cy="259080"/>
                    </a:xfrm>
                    <a:prstGeom prst="rect">
                      <a:avLst/>
                    </a:prstGeom>
                    <a:noFill/>
                  </pic:spPr>
                </pic:pic>
              </a:graphicData>
            </a:graphic>
          </wp:anchor>
        </w:drawing>
      </w:r>
    </w:p>
    <w:p>
      <w:pPr>
        <w:spacing w:after="0" w:line="324"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Financial Overview</w:t>
      </w:r>
    </w:p>
    <w:p>
      <w:pPr>
        <w:spacing w:after="0" w:line="299" w:lineRule="exact"/>
        <w:rPr>
          <w:sz w:val="20"/>
          <w:szCs w:val="20"/>
          <w:color w:val="auto"/>
        </w:rPr>
      </w:pPr>
    </w:p>
    <w:tbl>
      <w:tblPr>
        <w:tblLayout w:type="fixed"/>
        <w:tblInd w:w="19" w:type="dxa"/>
        <w:tblCellMar>
          <w:top w:w="0" w:type="dxa"/>
          <w:left w:w="0" w:type="dxa"/>
          <w:bottom w:w="0" w:type="dxa"/>
          <w:right w:w="0" w:type="dxa"/>
        </w:tblCellMar>
      </w:tblPr>
      <w:tr>
        <w:trPr>
          <w:trHeight w:val="182"/>
        </w:trPr>
        <w:tc>
          <w:tcPr>
            <w:tcW w:w="520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2"/>
                <w:szCs w:val="12"/>
                <w:b w:val="1"/>
                <w:bCs w:val="1"/>
                <w:color w:val="FFFFFF"/>
              </w:rPr>
              <w:t>Credicorp Ltd.</w:t>
            </w:r>
          </w:p>
        </w:tc>
        <w:tc>
          <w:tcPr>
            <w:tcW w:w="1540" w:type="dxa"/>
            <w:vAlign w:val="bottom"/>
            <w:tcBorders>
              <w:top w:val="single" w:sz="8" w:color="auto"/>
            </w:tcBorders>
            <w:shd w:val="clear" w:color="auto" w:fill="2AD2C9"/>
          </w:tcPr>
          <w:p>
            <w:pPr>
              <w:spacing w:after="0"/>
              <w:rPr>
                <w:sz w:val="15"/>
                <w:szCs w:val="15"/>
                <w:color w:val="auto"/>
              </w:rPr>
            </w:pPr>
          </w:p>
        </w:tc>
        <w:tc>
          <w:tcPr>
            <w:tcW w:w="1380" w:type="dxa"/>
            <w:vAlign w:val="bottom"/>
            <w:tcBorders>
              <w:top w:val="single" w:sz="8" w:color="auto"/>
            </w:tcBorders>
            <w:shd w:val="clear" w:color="auto" w:fill="2AD2C9"/>
          </w:tcPr>
          <w:p>
            <w:pPr>
              <w:jc w:val="right"/>
              <w:ind w:right="640"/>
              <w:spacing w:after="0"/>
              <w:rPr>
                <w:sz w:val="20"/>
                <w:szCs w:val="20"/>
                <w:color w:val="auto"/>
              </w:rPr>
            </w:pPr>
            <w:r>
              <w:rPr>
                <w:rFonts w:ascii="Arial" w:cs="Arial" w:eastAsia="Arial" w:hAnsi="Arial"/>
                <w:sz w:val="12"/>
                <w:szCs w:val="12"/>
                <w:b w:val="1"/>
                <w:bCs w:val="1"/>
                <w:color w:val="FFFFFF"/>
              </w:rPr>
              <w:t>Quarter</w:t>
            </w:r>
          </w:p>
        </w:tc>
        <w:tc>
          <w:tcPr>
            <w:tcW w:w="1100" w:type="dxa"/>
            <w:vAlign w:val="bottom"/>
            <w:tcBorders>
              <w:top w:val="single" w:sz="8" w:color="auto"/>
              <w:right w:val="single" w:sz="8" w:color="auto"/>
            </w:tcBorders>
            <w:shd w:val="clear" w:color="auto" w:fill="2AD2C9"/>
          </w:tcPr>
          <w:p>
            <w:pPr>
              <w:spacing w:after="0"/>
              <w:rPr>
                <w:sz w:val="15"/>
                <w:szCs w:val="15"/>
                <w:color w:val="auto"/>
              </w:rPr>
            </w:pPr>
          </w:p>
        </w:tc>
        <w:tc>
          <w:tcPr>
            <w:tcW w:w="1280" w:type="dxa"/>
            <w:vAlign w:val="bottom"/>
            <w:tcBorders>
              <w:top w:val="single" w:sz="8" w:color="auto"/>
            </w:tcBorders>
            <w:shd w:val="clear" w:color="auto" w:fill="2AD2C9"/>
          </w:tcPr>
          <w:p>
            <w:pPr>
              <w:ind w:left="720"/>
              <w:spacing w:after="0"/>
              <w:rPr>
                <w:sz w:val="20"/>
                <w:szCs w:val="20"/>
                <w:color w:val="auto"/>
              </w:rPr>
            </w:pPr>
            <w:r>
              <w:rPr>
                <w:rFonts w:ascii="Arial" w:cs="Arial" w:eastAsia="Arial" w:hAnsi="Arial"/>
                <w:sz w:val="12"/>
                <w:szCs w:val="12"/>
                <w:b w:val="1"/>
                <w:bCs w:val="1"/>
                <w:color w:val="FFFFFF"/>
                <w:w w:val="96"/>
              </w:rPr>
              <w:t>% change</w:t>
            </w:r>
          </w:p>
        </w:tc>
        <w:tc>
          <w:tcPr>
            <w:tcW w:w="760" w:type="dxa"/>
            <w:vAlign w:val="bottom"/>
            <w:tcBorders>
              <w:top w:val="single" w:sz="8" w:color="auto"/>
              <w:right w:val="single" w:sz="8" w:color="auto"/>
            </w:tcBorders>
            <w:shd w:val="clear" w:color="auto" w:fill="2AD2C9"/>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0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2"/>
                <w:szCs w:val="12"/>
                <w:b w:val="1"/>
                <w:bCs w:val="1"/>
                <w:color w:val="FFFFFF"/>
              </w:rPr>
              <w:t>S/ 000</w:t>
            </w:r>
          </w:p>
        </w:tc>
        <w:tc>
          <w:tcPr>
            <w:tcW w:w="1540" w:type="dxa"/>
            <w:vAlign w:val="bottom"/>
            <w:tcBorders>
              <w:bottom w:val="single" w:sz="8" w:color="auto"/>
            </w:tcBorders>
            <w:shd w:val="clear" w:color="auto" w:fill="2AD2C9"/>
          </w:tcPr>
          <w:p>
            <w:pPr>
              <w:jc w:val="right"/>
              <w:ind w:right="660"/>
              <w:spacing w:after="0"/>
              <w:rPr>
                <w:sz w:val="20"/>
                <w:szCs w:val="20"/>
                <w:color w:val="auto"/>
              </w:rPr>
            </w:pPr>
            <w:r>
              <w:rPr>
                <w:rFonts w:ascii="Arial" w:cs="Arial" w:eastAsia="Arial" w:hAnsi="Arial"/>
                <w:sz w:val="12"/>
                <w:szCs w:val="12"/>
                <w:b w:val="1"/>
                <w:bCs w:val="1"/>
                <w:color w:val="FFFFFF"/>
              </w:rPr>
              <w:t>1Q22</w:t>
            </w:r>
          </w:p>
        </w:tc>
        <w:tc>
          <w:tcPr>
            <w:tcW w:w="1380" w:type="dxa"/>
            <w:vAlign w:val="bottom"/>
            <w:tcBorders>
              <w:bottom w:val="single" w:sz="8" w:color="auto"/>
            </w:tcBorders>
            <w:shd w:val="clear" w:color="auto" w:fill="2AD2C9"/>
          </w:tcPr>
          <w:p>
            <w:pPr>
              <w:jc w:val="right"/>
              <w:ind w:right="720"/>
              <w:spacing w:after="0"/>
              <w:rPr>
                <w:sz w:val="20"/>
                <w:szCs w:val="20"/>
                <w:color w:val="auto"/>
              </w:rPr>
            </w:pPr>
            <w:r>
              <w:rPr>
                <w:rFonts w:ascii="Arial" w:cs="Arial" w:eastAsia="Arial" w:hAnsi="Arial"/>
                <w:sz w:val="12"/>
                <w:szCs w:val="12"/>
                <w:b w:val="1"/>
                <w:bCs w:val="1"/>
                <w:color w:val="FFFFFF"/>
              </w:rPr>
              <w:t>4Q22</w:t>
            </w:r>
          </w:p>
        </w:tc>
        <w:tc>
          <w:tcPr>
            <w:tcW w:w="1100" w:type="dxa"/>
            <w:vAlign w:val="bottom"/>
            <w:tcBorders>
              <w:bottom w:val="single" w:sz="8" w:color="auto"/>
              <w:right w:val="single" w:sz="8" w:color="auto"/>
            </w:tcBorders>
            <w:shd w:val="clear" w:color="auto" w:fill="2AD2C9"/>
          </w:tcPr>
          <w:p>
            <w:pPr>
              <w:jc w:val="right"/>
              <w:ind w:right="480"/>
              <w:spacing w:after="0"/>
              <w:rPr>
                <w:sz w:val="20"/>
                <w:szCs w:val="20"/>
                <w:color w:val="auto"/>
              </w:rPr>
            </w:pPr>
            <w:r>
              <w:rPr>
                <w:rFonts w:ascii="Arial" w:cs="Arial" w:eastAsia="Arial" w:hAnsi="Arial"/>
                <w:sz w:val="12"/>
                <w:szCs w:val="12"/>
                <w:b w:val="1"/>
                <w:bCs w:val="1"/>
                <w:color w:val="FFFFFF"/>
              </w:rPr>
              <w:t>1Q23</w:t>
            </w:r>
          </w:p>
        </w:tc>
        <w:tc>
          <w:tcPr>
            <w:tcW w:w="1280" w:type="dxa"/>
            <w:vAlign w:val="bottom"/>
            <w:tcBorders>
              <w:bottom w:val="single" w:sz="8" w:color="auto"/>
            </w:tcBorders>
            <w:shd w:val="clear" w:color="auto" w:fill="2AD2C9"/>
          </w:tcPr>
          <w:p>
            <w:pPr>
              <w:ind w:left="360"/>
              <w:spacing w:after="0"/>
              <w:rPr>
                <w:sz w:val="20"/>
                <w:szCs w:val="20"/>
                <w:color w:val="auto"/>
              </w:rPr>
            </w:pPr>
            <w:r>
              <w:rPr>
                <w:rFonts w:ascii="Arial" w:cs="Arial" w:eastAsia="Arial" w:hAnsi="Arial"/>
                <w:sz w:val="12"/>
                <w:szCs w:val="12"/>
                <w:b w:val="1"/>
                <w:bCs w:val="1"/>
                <w:color w:val="FFFFFF"/>
              </w:rPr>
              <w:t>QoQ</w:t>
            </w:r>
          </w:p>
        </w:tc>
        <w:tc>
          <w:tcPr>
            <w:tcW w:w="760" w:type="dxa"/>
            <w:vAlign w:val="bottom"/>
            <w:tcBorders>
              <w:bottom w:val="single" w:sz="8" w:color="auto"/>
              <w:right w:val="single" w:sz="8" w:color="auto"/>
            </w:tcBorders>
            <w:shd w:val="clear" w:color="auto" w:fill="2AD2C9"/>
          </w:tcPr>
          <w:p>
            <w:pPr>
              <w:jc w:val="center"/>
              <w:ind w:right="240"/>
              <w:spacing w:after="0"/>
              <w:rPr>
                <w:sz w:val="20"/>
                <w:szCs w:val="20"/>
                <w:color w:val="auto"/>
              </w:rPr>
            </w:pPr>
            <w:r>
              <w:rPr>
                <w:rFonts w:ascii="Arial" w:cs="Arial" w:eastAsia="Arial" w:hAnsi="Arial"/>
                <w:sz w:val="12"/>
                <w:szCs w:val="12"/>
                <w:b w:val="1"/>
                <w:bCs w:val="1"/>
                <w:color w:val="FFFFFF"/>
                <w:w w:val="94"/>
              </w:rPr>
              <w:t>YoY</w:t>
            </w:r>
          </w:p>
        </w:tc>
        <w:tc>
          <w:tcPr>
            <w:tcW w:w="0" w:type="dxa"/>
            <w:vAlign w:val="bottom"/>
          </w:tcPr>
          <w:p>
            <w:pPr>
              <w:spacing w:after="0"/>
              <w:rPr>
                <w:sz w:val="1"/>
                <w:szCs w:val="1"/>
                <w:color w:val="auto"/>
              </w:rPr>
            </w:pPr>
          </w:p>
        </w:tc>
      </w:tr>
      <w:tr>
        <w:trPr>
          <w:trHeight w:val="163"/>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Net interest, similar income and expenses</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2,431,707</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3,134,778</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3,132,089</w:t>
            </w:r>
          </w:p>
        </w:tc>
        <w:tc>
          <w:tcPr>
            <w:tcW w:w="1280" w:type="dxa"/>
            <w:vAlign w:val="bottom"/>
          </w:tcPr>
          <w:p>
            <w:pPr>
              <w:jc w:val="center"/>
              <w:ind w:right="220"/>
              <w:spacing w:after="0"/>
              <w:rPr>
                <w:sz w:val="20"/>
                <w:szCs w:val="20"/>
                <w:color w:val="auto"/>
              </w:rPr>
            </w:pPr>
            <w:r>
              <w:rPr>
                <w:rFonts w:ascii="Arial" w:cs="Arial" w:eastAsia="Arial" w:hAnsi="Arial"/>
                <w:sz w:val="12"/>
                <w:szCs w:val="12"/>
                <w:color w:val="auto"/>
              </w:rPr>
              <w:t>-0.1%</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9"/>
              </w:rPr>
              <w:t>28.8%</w:t>
            </w:r>
          </w:p>
        </w:tc>
        <w:tc>
          <w:tcPr>
            <w:tcW w:w="0" w:type="dxa"/>
            <w:vAlign w:val="bottom"/>
          </w:tcPr>
          <w:p>
            <w:pPr>
              <w:spacing w:after="0"/>
              <w:rPr>
                <w:sz w:val="1"/>
                <w:szCs w:val="1"/>
                <w:color w:val="auto"/>
              </w:rPr>
            </w:pPr>
          </w:p>
        </w:tc>
      </w:tr>
      <w:tr>
        <w:trPr>
          <w:trHeight w:val="340"/>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Provision for credit losses on loan portfolio, net of recoveries</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(257,590)</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(730,681)</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(726,998)</w:t>
            </w:r>
          </w:p>
        </w:tc>
        <w:tc>
          <w:tcPr>
            <w:tcW w:w="1280" w:type="dxa"/>
            <w:vAlign w:val="bottom"/>
          </w:tcPr>
          <w:p>
            <w:pPr>
              <w:jc w:val="center"/>
              <w:ind w:right="220"/>
              <w:spacing w:after="0"/>
              <w:rPr>
                <w:sz w:val="20"/>
                <w:szCs w:val="20"/>
                <w:color w:val="auto"/>
              </w:rPr>
            </w:pPr>
            <w:r>
              <w:rPr>
                <w:rFonts w:ascii="Arial" w:cs="Arial" w:eastAsia="Arial" w:hAnsi="Arial"/>
                <w:sz w:val="12"/>
                <w:szCs w:val="12"/>
                <w:color w:val="auto"/>
              </w:rPr>
              <w:t>-0.5%</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rPr>
              <w:t>182.2%</w:t>
            </w:r>
          </w:p>
        </w:tc>
        <w:tc>
          <w:tcPr>
            <w:tcW w:w="0" w:type="dxa"/>
            <w:vAlign w:val="bottom"/>
          </w:tcPr>
          <w:p>
            <w:pPr>
              <w:spacing w:after="0"/>
              <w:rPr>
                <w:sz w:val="1"/>
                <w:szCs w:val="1"/>
                <w:color w:val="auto"/>
              </w:rPr>
            </w:pPr>
          </w:p>
        </w:tc>
      </w:tr>
      <w:tr>
        <w:trPr>
          <w:trHeight w:val="317"/>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interest, similar income and expenses, after provision for credit losses on loan</w:t>
            </w:r>
          </w:p>
        </w:tc>
        <w:tc>
          <w:tcPr>
            <w:tcW w:w="154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rPr>
              <w:t>2,174,117</w:t>
            </w:r>
          </w:p>
        </w:tc>
        <w:tc>
          <w:tcPr>
            <w:tcW w:w="1380" w:type="dxa"/>
            <w:vAlign w:val="bottom"/>
            <w:vMerge w:val="restart"/>
          </w:tcPr>
          <w:p>
            <w:pPr>
              <w:jc w:val="right"/>
              <w:ind w:right="200"/>
              <w:spacing w:after="0"/>
              <w:rPr>
                <w:sz w:val="20"/>
                <w:szCs w:val="20"/>
                <w:color w:val="auto"/>
              </w:rPr>
            </w:pPr>
            <w:r>
              <w:rPr>
                <w:rFonts w:ascii="Arial" w:cs="Arial" w:eastAsia="Arial" w:hAnsi="Arial"/>
                <w:sz w:val="12"/>
                <w:szCs w:val="12"/>
                <w:b w:val="1"/>
                <w:bCs w:val="1"/>
                <w:color w:val="auto"/>
              </w:rPr>
              <w:t>2,404,097</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2,405,091</w:t>
            </w:r>
          </w:p>
        </w:tc>
        <w:tc>
          <w:tcPr>
            <w:tcW w:w="1280" w:type="dxa"/>
            <w:vAlign w:val="bottom"/>
            <w:vMerge w:val="restart"/>
          </w:tcPr>
          <w:p>
            <w:pPr>
              <w:jc w:val="center"/>
              <w:ind w:right="220"/>
              <w:spacing w:after="0"/>
              <w:rPr>
                <w:sz w:val="20"/>
                <w:szCs w:val="20"/>
                <w:color w:val="auto"/>
              </w:rPr>
            </w:pPr>
            <w:r>
              <w:rPr>
                <w:rFonts w:ascii="Arial" w:cs="Arial" w:eastAsia="Arial" w:hAnsi="Arial"/>
                <w:sz w:val="12"/>
                <w:szCs w:val="12"/>
                <w:b w:val="1"/>
                <w:bCs w:val="1"/>
                <w:color w:val="auto"/>
              </w:rPr>
              <w:t>0.0%</w:t>
            </w:r>
          </w:p>
        </w:tc>
        <w:tc>
          <w:tcPr>
            <w:tcW w:w="760" w:type="dxa"/>
            <w:vAlign w:val="bottom"/>
            <w:tcBorders>
              <w:right w:val="single" w:sz="8" w:color="auto"/>
            </w:tcBorders>
            <w:vMerge w:val="restart"/>
          </w:tcPr>
          <w:p>
            <w:pPr>
              <w:jc w:val="center"/>
              <w:ind w:right="240"/>
              <w:spacing w:after="0"/>
              <w:rPr>
                <w:sz w:val="20"/>
                <w:szCs w:val="20"/>
                <w:color w:val="auto"/>
              </w:rPr>
            </w:pPr>
            <w:r>
              <w:rPr>
                <w:rFonts w:ascii="Arial" w:cs="Arial" w:eastAsia="Arial" w:hAnsi="Arial"/>
                <w:sz w:val="12"/>
                <w:szCs w:val="12"/>
                <w:b w:val="1"/>
                <w:bCs w:val="1"/>
                <w:color w:val="auto"/>
                <w:w w:val="99"/>
              </w:rPr>
              <w:t>10.6%</w:t>
            </w:r>
          </w:p>
        </w:tc>
        <w:tc>
          <w:tcPr>
            <w:tcW w:w="0" w:type="dxa"/>
            <w:vAlign w:val="bottom"/>
          </w:tcPr>
          <w:p>
            <w:pPr>
              <w:spacing w:after="0"/>
              <w:rPr>
                <w:sz w:val="1"/>
                <w:szCs w:val="1"/>
                <w:color w:val="auto"/>
              </w:rPr>
            </w:pPr>
          </w:p>
        </w:tc>
      </w:tr>
      <w:tr>
        <w:trPr>
          <w:trHeight w:val="97"/>
        </w:trPr>
        <w:tc>
          <w:tcPr>
            <w:tcW w:w="52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portfolio</w:t>
            </w:r>
          </w:p>
        </w:tc>
        <w:tc>
          <w:tcPr>
            <w:tcW w:w="154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200" w:type="dxa"/>
            <w:vAlign w:val="bottom"/>
            <w:tcBorders>
              <w:left w:val="single" w:sz="8" w:color="auto"/>
              <w:right w:val="single" w:sz="8" w:color="auto"/>
            </w:tcBorders>
            <w:vMerge w:val="continue"/>
          </w:tcPr>
          <w:p>
            <w:pPr>
              <w:spacing w:after="0"/>
              <w:rPr>
                <w:sz w:val="5"/>
                <w:szCs w:val="5"/>
                <w:color w:val="auto"/>
              </w:rPr>
            </w:pPr>
          </w:p>
        </w:tc>
        <w:tc>
          <w:tcPr>
            <w:tcW w:w="15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4"/>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Total other income</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1,239,398</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1,338,227</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1,328,064</w:t>
            </w:r>
          </w:p>
        </w:tc>
        <w:tc>
          <w:tcPr>
            <w:tcW w:w="1280" w:type="dxa"/>
            <w:vAlign w:val="bottom"/>
          </w:tcPr>
          <w:p>
            <w:pPr>
              <w:jc w:val="center"/>
              <w:ind w:right="220"/>
              <w:spacing w:after="0"/>
              <w:rPr>
                <w:sz w:val="20"/>
                <w:szCs w:val="20"/>
                <w:color w:val="auto"/>
              </w:rPr>
            </w:pPr>
            <w:r>
              <w:rPr>
                <w:rFonts w:ascii="Arial" w:cs="Arial" w:eastAsia="Arial" w:hAnsi="Arial"/>
                <w:sz w:val="12"/>
                <w:szCs w:val="12"/>
                <w:color w:val="auto"/>
              </w:rPr>
              <w:t>-0.8%</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4"/>
              </w:rPr>
              <w:t>7.2%</w:t>
            </w:r>
          </w:p>
        </w:tc>
        <w:tc>
          <w:tcPr>
            <w:tcW w:w="0" w:type="dxa"/>
            <w:vAlign w:val="bottom"/>
          </w:tcPr>
          <w:p>
            <w:pPr>
              <w:spacing w:after="0"/>
              <w:rPr>
                <w:sz w:val="1"/>
                <w:szCs w:val="1"/>
                <w:color w:val="auto"/>
              </w:rPr>
            </w:pPr>
          </w:p>
        </w:tc>
      </w:tr>
      <w:tr>
        <w:trPr>
          <w:trHeight w:val="159"/>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Insurance underwriting result</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206,667</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211,594</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296,341</w:t>
            </w:r>
          </w:p>
        </w:tc>
        <w:tc>
          <w:tcPr>
            <w:tcW w:w="1280" w:type="dxa"/>
            <w:vAlign w:val="bottom"/>
          </w:tcPr>
          <w:p>
            <w:pPr>
              <w:jc w:val="center"/>
              <w:ind w:right="220"/>
              <w:spacing w:after="0"/>
              <w:rPr>
                <w:sz w:val="20"/>
                <w:szCs w:val="20"/>
                <w:color w:val="auto"/>
              </w:rPr>
            </w:pPr>
            <w:r>
              <w:rPr>
                <w:rFonts w:ascii="Arial" w:cs="Arial" w:eastAsia="Arial" w:hAnsi="Arial"/>
                <w:sz w:val="12"/>
                <w:szCs w:val="12"/>
                <w:color w:val="auto"/>
              </w:rPr>
              <w:t>40.1%</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9"/>
              </w:rPr>
              <w:t>43.4%</w:t>
            </w:r>
          </w:p>
        </w:tc>
        <w:tc>
          <w:tcPr>
            <w:tcW w:w="0" w:type="dxa"/>
            <w:vAlign w:val="bottom"/>
          </w:tcPr>
          <w:p>
            <w:pPr>
              <w:spacing w:after="0"/>
              <w:rPr>
                <w:sz w:val="1"/>
                <w:szCs w:val="1"/>
                <w:color w:val="auto"/>
              </w:rPr>
            </w:pPr>
          </w:p>
        </w:tc>
      </w:tr>
      <w:tr>
        <w:trPr>
          <w:trHeight w:val="159"/>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Total other expenses</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(1,874,519)</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(2,398,955)</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(2,121,697)</w:t>
            </w:r>
          </w:p>
        </w:tc>
        <w:tc>
          <w:tcPr>
            <w:tcW w:w="1280" w:type="dxa"/>
            <w:vAlign w:val="bottom"/>
          </w:tcPr>
          <w:p>
            <w:pPr>
              <w:jc w:val="center"/>
              <w:ind w:right="220"/>
              <w:spacing w:after="0"/>
              <w:rPr>
                <w:sz w:val="20"/>
                <w:szCs w:val="20"/>
                <w:color w:val="auto"/>
              </w:rPr>
            </w:pPr>
            <w:r>
              <w:rPr>
                <w:rFonts w:ascii="Arial" w:cs="Arial" w:eastAsia="Arial" w:hAnsi="Arial"/>
                <w:sz w:val="12"/>
                <w:szCs w:val="12"/>
                <w:color w:val="auto"/>
                <w:w w:val="94"/>
              </w:rPr>
              <w:t>-11.6%</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9"/>
              </w:rPr>
              <w:t>13.2%</w:t>
            </w:r>
          </w:p>
        </w:tc>
        <w:tc>
          <w:tcPr>
            <w:tcW w:w="0" w:type="dxa"/>
            <w:vAlign w:val="bottom"/>
          </w:tcPr>
          <w:p>
            <w:pPr>
              <w:spacing w:after="0"/>
              <w:rPr>
                <w:sz w:val="1"/>
                <w:szCs w:val="1"/>
                <w:color w:val="auto"/>
              </w:rPr>
            </w:pPr>
          </w:p>
        </w:tc>
      </w:tr>
      <w:tr>
        <w:trPr>
          <w:trHeight w:val="159"/>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Profit (loss) before income tax</w:t>
            </w:r>
          </w:p>
        </w:tc>
        <w:tc>
          <w:tcPr>
            <w:tcW w:w="1540" w:type="dxa"/>
            <w:vAlign w:val="bottom"/>
          </w:tcPr>
          <w:p>
            <w:pPr>
              <w:jc w:val="right"/>
              <w:ind w:right="160"/>
              <w:spacing w:after="0"/>
              <w:rPr>
                <w:sz w:val="20"/>
                <w:szCs w:val="20"/>
                <w:color w:val="auto"/>
              </w:rPr>
            </w:pPr>
            <w:r>
              <w:rPr>
                <w:rFonts w:ascii="Arial" w:cs="Arial" w:eastAsia="Arial" w:hAnsi="Arial"/>
                <w:sz w:val="12"/>
                <w:szCs w:val="12"/>
                <w:b w:val="1"/>
                <w:bCs w:val="1"/>
                <w:color w:val="auto"/>
              </w:rPr>
              <w:t>1,745,663</w:t>
            </w:r>
          </w:p>
        </w:tc>
        <w:tc>
          <w:tcPr>
            <w:tcW w:w="1380" w:type="dxa"/>
            <w:vAlign w:val="bottom"/>
          </w:tcPr>
          <w:p>
            <w:pPr>
              <w:jc w:val="right"/>
              <w:ind w:right="200"/>
              <w:spacing w:after="0"/>
              <w:rPr>
                <w:sz w:val="20"/>
                <w:szCs w:val="20"/>
                <w:color w:val="auto"/>
              </w:rPr>
            </w:pPr>
            <w:r>
              <w:rPr>
                <w:rFonts w:ascii="Arial" w:cs="Arial" w:eastAsia="Arial" w:hAnsi="Arial"/>
                <w:sz w:val="12"/>
                <w:szCs w:val="12"/>
                <w:b w:val="1"/>
                <w:bCs w:val="1"/>
                <w:color w:val="auto"/>
              </w:rPr>
              <w:t>1,554,963</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1,907,799</w:t>
            </w:r>
          </w:p>
        </w:tc>
        <w:tc>
          <w:tcPr>
            <w:tcW w:w="1280" w:type="dxa"/>
            <w:vAlign w:val="bottom"/>
          </w:tcPr>
          <w:p>
            <w:pPr>
              <w:jc w:val="center"/>
              <w:ind w:right="220"/>
              <w:spacing w:after="0"/>
              <w:rPr>
                <w:sz w:val="20"/>
                <w:szCs w:val="20"/>
                <w:color w:val="auto"/>
              </w:rPr>
            </w:pPr>
            <w:r>
              <w:rPr>
                <w:rFonts w:ascii="Arial" w:cs="Arial" w:eastAsia="Arial" w:hAnsi="Arial"/>
                <w:sz w:val="12"/>
                <w:szCs w:val="12"/>
                <w:b w:val="1"/>
                <w:bCs w:val="1"/>
                <w:color w:val="auto"/>
              </w:rPr>
              <w:t>22.7%</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w w:val="94"/>
              </w:rPr>
              <w:t>9.3%</w:t>
            </w:r>
          </w:p>
        </w:tc>
        <w:tc>
          <w:tcPr>
            <w:tcW w:w="0" w:type="dxa"/>
            <w:vAlign w:val="bottom"/>
          </w:tcPr>
          <w:p>
            <w:pPr>
              <w:spacing w:after="0"/>
              <w:rPr>
                <w:sz w:val="1"/>
                <w:szCs w:val="1"/>
                <w:color w:val="auto"/>
              </w:rPr>
            </w:pPr>
          </w:p>
        </w:tc>
      </w:tr>
      <w:tr>
        <w:trPr>
          <w:trHeight w:val="159"/>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Income tax</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(546,000)</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(476,236)</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(493,466)</w:t>
            </w:r>
          </w:p>
        </w:tc>
        <w:tc>
          <w:tcPr>
            <w:tcW w:w="1280" w:type="dxa"/>
            <w:vAlign w:val="bottom"/>
          </w:tcPr>
          <w:p>
            <w:pPr>
              <w:jc w:val="center"/>
              <w:ind w:right="220"/>
              <w:spacing w:after="0"/>
              <w:rPr>
                <w:sz w:val="20"/>
                <w:szCs w:val="20"/>
                <w:color w:val="auto"/>
              </w:rPr>
            </w:pPr>
            <w:r>
              <w:rPr>
                <w:rFonts w:ascii="Arial" w:cs="Arial" w:eastAsia="Arial" w:hAnsi="Arial"/>
                <w:sz w:val="12"/>
                <w:szCs w:val="12"/>
                <w:color w:val="auto"/>
              </w:rPr>
              <w:t>3.6%</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5"/>
              </w:rPr>
              <w:t>-9.6%</w:t>
            </w:r>
          </w:p>
        </w:tc>
        <w:tc>
          <w:tcPr>
            <w:tcW w:w="0" w:type="dxa"/>
            <w:vAlign w:val="bottom"/>
          </w:tcPr>
          <w:p>
            <w:pPr>
              <w:spacing w:after="0"/>
              <w:rPr>
                <w:sz w:val="1"/>
                <w:szCs w:val="1"/>
                <w:color w:val="auto"/>
              </w:rPr>
            </w:pPr>
          </w:p>
        </w:tc>
      </w:tr>
      <w:tr>
        <w:trPr>
          <w:trHeight w:val="159"/>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profit (loss)</w:t>
            </w:r>
          </w:p>
        </w:tc>
        <w:tc>
          <w:tcPr>
            <w:tcW w:w="1540" w:type="dxa"/>
            <w:vAlign w:val="bottom"/>
          </w:tcPr>
          <w:p>
            <w:pPr>
              <w:jc w:val="right"/>
              <w:ind w:right="160"/>
              <w:spacing w:after="0"/>
              <w:rPr>
                <w:sz w:val="20"/>
                <w:szCs w:val="20"/>
                <w:color w:val="auto"/>
              </w:rPr>
            </w:pPr>
            <w:r>
              <w:rPr>
                <w:rFonts w:ascii="Arial" w:cs="Arial" w:eastAsia="Arial" w:hAnsi="Arial"/>
                <w:sz w:val="12"/>
                <w:szCs w:val="12"/>
                <w:b w:val="1"/>
                <w:bCs w:val="1"/>
                <w:color w:val="auto"/>
              </w:rPr>
              <w:t>1,199,663</w:t>
            </w:r>
          </w:p>
        </w:tc>
        <w:tc>
          <w:tcPr>
            <w:tcW w:w="1380" w:type="dxa"/>
            <w:vAlign w:val="bottom"/>
          </w:tcPr>
          <w:p>
            <w:pPr>
              <w:jc w:val="right"/>
              <w:ind w:right="200"/>
              <w:spacing w:after="0"/>
              <w:rPr>
                <w:sz w:val="20"/>
                <w:szCs w:val="20"/>
                <w:color w:val="auto"/>
              </w:rPr>
            </w:pPr>
            <w:r>
              <w:rPr>
                <w:rFonts w:ascii="Arial" w:cs="Arial" w:eastAsia="Arial" w:hAnsi="Arial"/>
                <w:sz w:val="12"/>
                <w:szCs w:val="12"/>
                <w:b w:val="1"/>
                <w:bCs w:val="1"/>
                <w:color w:val="auto"/>
              </w:rPr>
              <w:t>1,078,727</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1,414,333</w:t>
            </w:r>
          </w:p>
        </w:tc>
        <w:tc>
          <w:tcPr>
            <w:tcW w:w="1280" w:type="dxa"/>
            <w:vAlign w:val="bottom"/>
          </w:tcPr>
          <w:p>
            <w:pPr>
              <w:jc w:val="center"/>
              <w:ind w:right="220"/>
              <w:spacing w:after="0"/>
              <w:rPr>
                <w:sz w:val="20"/>
                <w:szCs w:val="20"/>
                <w:color w:val="auto"/>
              </w:rPr>
            </w:pPr>
            <w:r>
              <w:rPr>
                <w:rFonts w:ascii="Arial" w:cs="Arial" w:eastAsia="Arial" w:hAnsi="Arial"/>
                <w:sz w:val="12"/>
                <w:szCs w:val="12"/>
                <w:b w:val="1"/>
                <w:bCs w:val="1"/>
                <w:color w:val="auto"/>
              </w:rPr>
              <w:t>31.1%</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w w:val="99"/>
              </w:rPr>
              <w:t>17.9%</w:t>
            </w:r>
          </w:p>
        </w:tc>
        <w:tc>
          <w:tcPr>
            <w:tcW w:w="0" w:type="dxa"/>
            <w:vAlign w:val="bottom"/>
          </w:tcPr>
          <w:p>
            <w:pPr>
              <w:spacing w:after="0"/>
              <w:rPr>
                <w:sz w:val="1"/>
                <w:szCs w:val="1"/>
                <w:color w:val="auto"/>
              </w:rPr>
            </w:pPr>
          </w:p>
        </w:tc>
      </w:tr>
      <w:tr>
        <w:trPr>
          <w:trHeight w:val="159"/>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Non-controlling interest</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27,786</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24,231</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30,060</w:t>
            </w:r>
          </w:p>
        </w:tc>
        <w:tc>
          <w:tcPr>
            <w:tcW w:w="1280" w:type="dxa"/>
            <w:vAlign w:val="bottom"/>
          </w:tcPr>
          <w:p>
            <w:pPr>
              <w:jc w:val="center"/>
              <w:ind w:right="220"/>
              <w:spacing w:after="0"/>
              <w:rPr>
                <w:sz w:val="20"/>
                <w:szCs w:val="20"/>
                <w:color w:val="auto"/>
              </w:rPr>
            </w:pPr>
            <w:r>
              <w:rPr>
                <w:rFonts w:ascii="Arial" w:cs="Arial" w:eastAsia="Arial" w:hAnsi="Arial"/>
                <w:sz w:val="12"/>
                <w:szCs w:val="12"/>
                <w:color w:val="auto"/>
              </w:rPr>
              <w:t>24.1%</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4"/>
              </w:rPr>
              <w:t>8.2%</w:t>
            </w:r>
          </w:p>
        </w:tc>
        <w:tc>
          <w:tcPr>
            <w:tcW w:w="0" w:type="dxa"/>
            <w:vAlign w:val="bottom"/>
          </w:tcPr>
          <w:p>
            <w:pPr>
              <w:spacing w:after="0"/>
              <w:rPr>
                <w:sz w:val="1"/>
                <w:szCs w:val="1"/>
                <w:color w:val="auto"/>
              </w:rPr>
            </w:pPr>
          </w:p>
        </w:tc>
      </w:tr>
      <w:tr>
        <w:trPr>
          <w:trHeight w:val="159"/>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profit (loss) attributable to Credicorp</w:t>
            </w:r>
          </w:p>
        </w:tc>
        <w:tc>
          <w:tcPr>
            <w:tcW w:w="1540" w:type="dxa"/>
            <w:vAlign w:val="bottom"/>
          </w:tcPr>
          <w:p>
            <w:pPr>
              <w:jc w:val="right"/>
              <w:ind w:right="160"/>
              <w:spacing w:after="0"/>
              <w:rPr>
                <w:sz w:val="20"/>
                <w:szCs w:val="20"/>
                <w:color w:val="auto"/>
              </w:rPr>
            </w:pPr>
            <w:r>
              <w:rPr>
                <w:rFonts w:ascii="Arial" w:cs="Arial" w:eastAsia="Arial" w:hAnsi="Arial"/>
                <w:sz w:val="12"/>
                <w:szCs w:val="12"/>
                <w:b w:val="1"/>
                <w:bCs w:val="1"/>
                <w:color w:val="auto"/>
              </w:rPr>
              <w:t>1,171,877</w:t>
            </w:r>
          </w:p>
        </w:tc>
        <w:tc>
          <w:tcPr>
            <w:tcW w:w="1380" w:type="dxa"/>
            <w:vAlign w:val="bottom"/>
          </w:tcPr>
          <w:p>
            <w:pPr>
              <w:jc w:val="right"/>
              <w:ind w:right="200"/>
              <w:spacing w:after="0"/>
              <w:rPr>
                <w:sz w:val="20"/>
                <w:szCs w:val="20"/>
                <w:color w:val="auto"/>
              </w:rPr>
            </w:pPr>
            <w:r>
              <w:rPr>
                <w:rFonts w:ascii="Arial" w:cs="Arial" w:eastAsia="Arial" w:hAnsi="Arial"/>
                <w:sz w:val="12"/>
                <w:szCs w:val="12"/>
                <w:b w:val="1"/>
                <w:bCs w:val="1"/>
                <w:color w:val="auto"/>
              </w:rPr>
              <w:t>1,054,496</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1,384,273</w:t>
            </w:r>
          </w:p>
        </w:tc>
        <w:tc>
          <w:tcPr>
            <w:tcW w:w="1280" w:type="dxa"/>
            <w:vAlign w:val="bottom"/>
          </w:tcPr>
          <w:p>
            <w:pPr>
              <w:jc w:val="center"/>
              <w:ind w:right="220"/>
              <w:spacing w:after="0"/>
              <w:rPr>
                <w:sz w:val="20"/>
                <w:szCs w:val="20"/>
                <w:color w:val="auto"/>
              </w:rPr>
            </w:pPr>
            <w:r>
              <w:rPr>
                <w:rFonts w:ascii="Arial" w:cs="Arial" w:eastAsia="Arial" w:hAnsi="Arial"/>
                <w:sz w:val="12"/>
                <w:szCs w:val="12"/>
                <w:b w:val="1"/>
                <w:bCs w:val="1"/>
                <w:color w:val="auto"/>
              </w:rPr>
              <w:t>31.3%</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w w:val="99"/>
              </w:rPr>
              <w:t>18.1%</w:t>
            </w:r>
          </w:p>
        </w:tc>
        <w:tc>
          <w:tcPr>
            <w:tcW w:w="0" w:type="dxa"/>
            <w:vAlign w:val="bottom"/>
          </w:tcPr>
          <w:p>
            <w:pPr>
              <w:spacing w:after="0"/>
              <w:rPr>
                <w:sz w:val="1"/>
                <w:szCs w:val="1"/>
                <w:color w:val="auto"/>
              </w:rPr>
            </w:pPr>
          </w:p>
        </w:tc>
      </w:tr>
      <w:tr>
        <w:trPr>
          <w:trHeight w:val="158"/>
        </w:trPr>
        <w:tc>
          <w:tcPr>
            <w:tcW w:w="5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Net profit (loss) / share (S/)</w:t>
            </w:r>
          </w:p>
        </w:tc>
        <w:tc>
          <w:tcPr>
            <w:tcW w:w="1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14.69</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13.22</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17.36</w:t>
            </w:r>
          </w:p>
        </w:tc>
        <w:tc>
          <w:tcPr>
            <w:tcW w:w="128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color w:val="auto"/>
              </w:rPr>
              <w:t>31.3%</w:t>
            </w:r>
          </w:p>
        </w:tc>
        <w:tc>
          <w:tcPr>
            <w:tcW w:w="760" w:type="dxa"/>
            <w:vAlign w:val="bottom"/>
            <w:tcBorders>
              <w:bottom w:val="single" w:sz="8" w:color="auto"/>
              <w:right w:val="single" w:sz="8" w:color="auto"/>
            </w:tcBorders>
          </w:tcPr>
          <w:p>
            <w:pPr>
              <w:jc w:val="center"/>
              <w:ind w:right="240"/>
              <w:spacing w:after="0"/>
              <w:rPr>
                <w:sz w:val="20"/>
                <w:szCs w:val="20"/>
                <w:color w:val="auto"/>
              </w:rPr>
            </w:pPr>
            <w:r>
              <w:rPr>
                <w:rFonts w:ascii="Arial" w:cs="Arial" w:eastAsia="Arial" w:hAnsi="Arial"/>
                <w:sz w:val="12"/>
                <w:szCs w:val="12"/>
                <w:color w:val="auto"/>
                <w:w w:val="99"/>
              </w:rPr>
              <w:t>18.1%</w:t>
            </w:r>
          </w:p>
        </w:tc>
        <w:tc>
          <w:tcPr>
            <w:tcW w:w="0" w:type="dxa"/>
            <w:vAlign w:val="bottom"/>
          </w:tcPr>
          <w:p>
            <w:pPr>
              <w:spacing w:after="0"/>
              <w:rPr>
                <w:sz w:val="1"/>
                <w:szCs w:val="1"/>
                <w:color w:val="auto"/>
              </w:rPr>
            </w:pPr>
          </w:p>
        </w:tc>
      </w:tr>
      <w:tr>
        <w:trPr>
          <w:trHeight w:val="162"/>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Loans</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144,621,513</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148,626,374</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145,165,713</w:t>
            </w:r>
          </w:p>
        </w:tc>
        <w:tc>
          <w:tcPr>
            <w:tcW w:w="1280" w:type="dxa"/>
            <w:vAlign w:val="bottom"/>
          </w:tcPr>
          <w:p>
            <w:pPr>
              <w:jc w:val="center"/>
              <w:ind w:right="220"/>
              <w:spacing w:after="0"/>
              <w:rPr>
                <w:sz w:val="20"/>
                <w:szCs w:val="20"/>
                <w:color w:val="auto"/>
              </w:rPr>
            </w:pPr>
            <w:r>
              <w:rPr>
                <w:rFonts w:ascii="Arial" w:cs="Arial" w:eastAsia="Arial" w:hAnsi="Arial"/>
                <w:sz w:val="12"/>
                <w:szCs w:val="12"/>
                <w:color w:val="auto"/>
              </w:rPr>
              <w:t>-2.3%</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4"/>
              </w:rPr>
              <w:t>0.4%</w:t>
            </w:r>
          </w:p>
        </w:tc>
        <w:tc>
          <w:tcPr>
            <w:tcW w:w="0" w:type="dxa"/>
            <w:vAlign w:val="bottom"/>
          </w:tcPr>
          <w:p>
            <w:pPr>
              <w:spacing w:after="0"/>
              <w:rPr>
                <w:sz w:val="1"/>
                <w:szCs w:val="1"/>
                <w:color w:val="auto"/>
              </w:rPr>
            </w:pPr>
          </w:p>
        </w:tc>
      </w:tr>
      <w:tr>
        <w:trPr>
          <w:trHeight w:val="159"/>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Deposits and obligations</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147,915,964</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147,020,787</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148,623,300</w:t>
            </w:r>
          </w:p>
        </w:tc>
        <w:tc>
          <w:tcPr>
            <w:tcW w:w="1280" w:type="dxa"/>
            <w:vAlign w:val="bottom"/>
          </w:tcPr>
          <w:p>
            <w:pPr>
              <w:jc w:val="center"/>
              <w:ind w:right="220"/>
              <w:spacing w:after="0"/>
              <w:rPr>
                <w:sz w:val="20"/>
                <w:szCs w:val="20"/>
                <w:color w:val="auto"/>
              </w:rPr>
            </w:pPr>
            <w:r>
              <w:rPr>
                <w:rFonts w:ascii="Arial" w:cs="Arial" w:eastAsia="Arial" w:hAnsi="Arial"/>
                <w:sz w:val="12"/>
                <w:szCs w:val="12"/>
                <w:color w:val="auto"/>
              </w:rPr>
              <w:t>1.1%</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4"/>
              </w:rPr>
              <w:t>0.5%</w:t>
            </w:r>
          </w:p>
        </w:tc>
        <w:tc>
          <w:tcPr>
            <w:tcW w:w="0" w:type="dxa"/>
            <w:vAlign w:val="bottom"/>
          </w:tcPr>
          <w:p>
            <w:pPr>
              <w:spacing w:after="0"/>
              <w:rPr>
                <w:sz w:val="1"/>
                <w:szCs w:val="1"/>
                <w:color w:val="auto"/>
              </w:rPr>
            </w:pPr>
          </w:p>
        </w:tc>
      </w:tr>
      <w:tr>
        <w:trPr>
          <w:trHeight w:val="158"/>
        </w:trPr>
        <w:tc>
          <w:tcPr>
            <w:tcW w:w="5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Net equity</w:t>
            </w:r>
          </w:p>
        </w:tc>
        <w:tc>
          <w:tcPr>
            <w:tcW w:w="1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26,818,054</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28,997,731</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30,359,898</w:t>
            </w:r>
          </w:p>
        </w:tc>
        <w:tc>
          <w:tcPr>
            <w:tcW w:w="128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color w:val="auto"/>
              </w:rPr>
              <w:t>4.7%</w:t>
            </w:r>
          </w:p>
        </w:tc>
        <w:tc>
          <w:tcPr>
            <w:tcW w:w="760" w:type="dxa"/>
            <w:vAlign w:val="bottom"/>
            <w:tcBorders>
              <w:bottom w:val="single" w:sz="8" w:color="auto"/>
              <w:right w:val="single" w:sz="8" w:color="auto"/>
            </w:tcBorders>
          </w:tcPr>
          <w:p>
            <w:pPr>
              <w:jc w:val="center"/>
              <w:ind w:right="240"/>
              <w:spacing w:after="0"/>
              <w:rPr>
                <w:sz w:val="20"/>
                <w:szCs w:val="20"/>
                <w:color w:val="auto"/>
              </w:rPr>
            </w:pPr>
            <w:r>
              <w:rPr>
                <w:rFonts w:ascii="Arial" w:cs="Arial" w:eastAsia="Arial" w:hAnsi="Arial"/>
                <w:sz w:val="12"/>
                <w:szCs w:val="12"/>
                <w:color w:val="auto"/>
                <w:w w:val="99"/>
              </w:rPr>
              <w:t>13.2%</w:t>
            </w:r>
          </w:p>
        </w:tc>
        <w:tc>
          <w:tcPr>
            <w:tcW w:w="0" w:type="dxa"/>
            <w:vAlign w:val="bottom"/>
          </w:tcPr>
          <w:p>
            <w:pPr>
              <w:spacing w:after="0"/>
              <w:rPr>
                <w:sz w:val="1"/>
                <w:szCs w:val="1"/>
                <w:color w:val="auto"/>
              </w:rPr>
            </w:pPr>
          </w:p>
        </w:tc>
      </w:tr>
      <w:tr>
        <w:trPr>
          <w:trHeight w:val="171"/>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Profitability</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0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2"/>
                <w:szCs w:val="12"/>
                <w:color w:val="auto"/>
              </w:rPr>
              <w:t xml:space="preserve">Net interest margin </w:t>
            </w:r>
            <w:r>
              <w:rPr>
                <w:rFonts w:ascii="Arial" w:cs="Arial" w:eastAsia="Arial" w:hAnsi="Arial"/>
                <w:sz w:val="20"/>
                <w:szCs w:val="20"/>
                <w:color w:val="auto"/>
                <w:vertAlign w:val="superscript"/>
              </w:rPr>
              <w:t>(1)</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4.46%</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5.75%</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5.84%</w:t>
            </w:r>
          </w:p>
        </w:tc>
        <w:tc>
          <w:tcPr>
            <w:tcW w:w="1280" w:type="dxa"/>
            <w:vAlign w:val="bottom"/>
          </w:tcPr>
          <w:p>
            <w:pPr>
              <w:jc w:val="center"/>
              <w:ind w:right="200"/>
              <w:spacing w:after="0"/>
              <w:rPr>
                <w:sz w:val="20"/>
                <w:szCs w:val="20"/>
                <w:color w:val="auto"/>
              </w:rPr>
            </w:pPr>
            <w:r>
              <w:rPr>
                <w:rFonts w:ascii="Arial" w:cs="Arial" w:eastAsia="Arial" w:hAnsi="Arial"/>
                <w:sz w:val="12"/>
                <w:szCs w:val="12"/>
                <w:color w:val="auto"/>
              </w:rPr>
              <w:t>9 bps</w:t>
            </w:r>
          </w:p>
        </w:tc>
        <w:tc>
          <w:tcPr>
            <w:tcW w:w="76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w w:val="98"/>
              </w:rPr>
              <w:t>138 bps</w:t>
            </w:r>
          </w:p>
        </w:tc>
        <w:tc>
          <w:tcPr>
            <w:tcW w:w="0" w:type="dxa"/>
            <w:vAlign w:val="bottom"/>
          </w:tcPr>
          <w:p>
            <w:pPr>
              <w:spacing w:after="0"/>
              <w:rPr>
                <w:sz w:val="1"/>
                <w:szCs w:val="1"/>
                <w:color w:val="auto"/>
              </w:rPr>
            </w:pPr>
          </w:p>
        </w:tc>
      </w:tr>
      <w:tr>
        <w:trPr>
          <w:trHeight w:val="145"/>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Risk-adjusted Net interest margin</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4.01%</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4.45%</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4.54%</w:t>
            </w:r>
          </w:p>
        </w:tc>
        <w:tc>
          <w:tcPr>
            <w:tcW w:w="1280" w:type="dxa"/>
            <w:vAlign w:val="bottom"/>
          </w:tcPr>
          <w:p>
            <w:pPr>
              <w:jc w:val="center"/>
              <w:ind w:right="200"/>
              <w:spacing w:after="0"/>
              <w:rPr>
                <w:sz w:val="20"/>
                <w:szCs w:val="20"/>
                <w:color w:val="auto"/>
              </w:rPr>
            </w:pPr>
            <w:r>
              <w:rPr>
                <w:rFonts w:ascii="Arial" w:cs="Arial" w:eastAsia="Arial" w:hAnsi="Arial"/>
                <w:sz w:val="12"/>
                <w:szCs w:val="12"/>
                <w:color w:val="auto"/>
              </w:rPr>
              <w:t>9 bps</w:t>
            </w:r>
          </w:p>
        </w:tc>
        <w:tc>
          <w:tcPr>
            <w:tcW w:w="7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53 bps</w:t>
            </w:r>
          </w:p>
        </w:tc>
        <w:tc>
          <w:tcPr>
            <w:tcW w:w="0" w:type="dxa"/>
            <w:vAlign w:val="bottom"/>
          </w:tcPr>
          <w:p>
            <w:pPr>
              <w:spacing w:after="0"/>
              <w:rPr>
                <w:sz w:val="1"/>
                <w:szCs w:val="1"/>
                <w:color w:val="auto"/>
              </w:rPr>
            </w:pPr>
          </w:p>
        </w:tc>
      </w:tr>
      <w:tr>
        <w:trPr>
          <w:trHeight w:val="173"/>
        </w:trPr>
        <w:tc>
          <w:tcPr>
            <w:tcW w:w="520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2"/>
                <w:szCs w:val="12"/>
                <w:color w:val="auto"/>
              </w:rPr>
              <w:t xml:space="preserve">Funding cost </w:t>
            </w:r>
            <w:r>
              <w:rPr>
                <w:rFonts w:ascii="Arial" w:cs="Arial" w:eastAsia="Arial" w:hAnsi="Arial"/>
                <w:sz w:val="20"/>
                <w:szCs w:val="20"/>
                <w:color w:val="auto"/>
                <w:vertAlign w:val="superscript"/>
              </w:rPr>
              <w:t>(2)</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1.32%</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2.35%</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2.61%</w:t>
            </w:r>
          </w:p>
        </w:tc>
        <w:tc>
          <w:tcPr>
            <w:tcW w:w="1280" w:type="dxa"/>
            <w:vAlign w:val="bottom"/>
          </w:tcPr>
          <w:p>
            <w:pPr>
              <w:jc w:val="center"/>
              <w:ind w:right="180"/>
              <w:spacing w:after="0"/>
              <w:rPr>
                <w:sz w:val="20"/>
                <w:szCs w:val="20"/>
                <w:color w:val="auto"/>
              </w:rPr>
            </w:pPr>
            <w:r>
              <w:rPr>
                <w:rFonts w:ascii="Arial" w:cs="Arial" w:eastAsia="Arial" w:hAnsi="Arial"/>
                <w:sz w:val="12"/>
                <w:szCs w:val="12"/>
                <w:color w:val="auto"/>
                <w:w w:val="99"/>
              </w:rPr>
              <w:t>26 bps</w:t>
            </w:r>
          </w:p>
        </w:tc>
        <w:tc>
          <w:tcPr>
            <w:tcW w:w="76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w w:val="98"/>
              </w:rPr>
              <w:t>129 bps</w:t>
            </w:r>
          </w:p>
        </w:tc>
        <w:tc>
          <w:tcPr>
            <w:tcW w:w="0" w:type="dxa"/>
            <w:vAlign w:val="bottom"/>
          </w:tcPr>
          <w:p>
            <w:pPr>
              <w:spacing w:after="0"/>
              <w:rPr>
                <w:sz w:val="1"/>
                <w:szCs w:val="1"/>
                <w:color w:val="auto"/>
              </w:rPr>
            </w:pPr>
          </w:p>
        </w:tc>
      </w:tr>
      <w:tr>
        <w:trPr>
          <w:trHeight w:val="159"/>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ROAE</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17.0%</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15.3%</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18.7%</w:t>
            </w:r>
          </w:p>
        </w:tc>
        <w:tc>
          <w:tcPr>
            <w:tcW w:w="1280" w:type="dxa"/>
            <w:vAlign w:val="bottom"/>
          </w:tcPr>
          <w:p>
            <w:pPr>
              <w:jc w:val="center"/>
              <w:ind w:right="180"/>
              <w:spacing w:after="0"/>
              <w:rPr>
                <w:sz w:val="20"/>
                <w:szCs w:val="20"/>
                <w:color w:val="auto"/>
              </w:rPr>
            </w:pPr>
            <w:r>
              <w:rPr>
                <w:rFonts w:ascii="Arial" w:cs="Arial" w:eastAsia="Arial" w:hAnsi="Arial"/>
                <w:sz w:val="12"/>
                <w:szCs w:val="12"/>
                <w:color w:val="auto"/>
              </w:rPr>
              <w:t>340 bps</w:t>
            </w:r>
          </w:p>
        </w:tc>
        <w:tc>
          <w:tcPr>
            <w:tcW w:w="76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w w:val="98"/>
              </w:rPr>
              <w:t>170 bps</w:t>
            </w:r>
          </w:p>
        </w:tc>
        <w:tc>
          <w:tcPr>
            <w:tcW w:w="0" w:type="dxa"/>
            <w:vAlign w:val="bottom"/>
          </w:tcPr>
          <w:p>
            <w:pPr>
              <w:spacing w:after="0"/>
              <w:rPr>
                <w:sz w:val="1"/>
                <w:szCs w:val="1"/>
                <w:color w:val="auto"/>
              </w:rPr>
            </w:pPr>
          </w:p>
        </w:tc>
      </w:tr>
      <w:tr>
        <w:trPr>
          <w:trHeight w:val="158"/>
        </w:trPr>
        <w:tc>
          <w:tcPr>
            <w:tcW w:w="5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ROAA</w:t>
            </w:r>
          </w:p>
        </w:tc>
        <w:tc>
          <w:tcPr>
            <w:tcW w:w="1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1.9%</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1.9%</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color w:val="auto"/>
                <w:w w:val="99"/>
              </w:rPr>
              <w:t>40 bps</w:t>
            </w:r>
          </w:p>
        </w:tc>
        <w:tc>
          <w:tcPr>
            <w:tcW w:w="760" w:type="dxa"/>
            <w:vAlign w:val="bottom"/>
            <w:tcBorders>
              <w:bottom w:val="single" w:sz="8" w:color="auto"/>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40 bps</w:t>
            </w:r>
          </w:p>
        </w:tc>
        <w:tc>
          <w:tcPr>
            <w:tcW w:w="0" w:type="dxa"/>
            <w:vAlign w:val="bottom"/>
          </w:tcPr>
          <w:p>
            <w:pPr>
              <w:spacing w:after="0"/>
              <w:rPr>
                <w:sz w:val="1"/>
                <w:szCs w:val="1"/>
                <w:color w:val="auto"/>
              </w:rPr>
            </w:pPr>
          </w:p>
        </w:tc>
      </w:tr>
      <w:tr>
        <w:trPr>
          <w:trHeight w:val="171"/>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Loan portfolio quality</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0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2"/>
                <w:szCs w:val="12"/>
                <w:color w:val="auto"/>
              </w:rPr>
              <w:t xml:space="preserve">Internal overdue ratio </w:t>
            </w:r>
            <w:r>
              <w:rPr>
                <w:rFonts w:ascii="Arial" w:cs="Arial" w:eastAsia="Arial" w:hAnsi="Arial"/>
                <w:sz w:val="20"/>
                <w:szCs w:val="20"/>
                <w:color w:val="auto"/>
                <w:vertAlign w:val="superscript"/>
              </w:rPr>
              <w:t>(3)</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4.06%</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4.00%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3.99%</w:t>
            </w:r>
          </w:p>
        </w:tc>
        <w:tc>
          <w:tcPr>
            <w:tcW w:w="1280" w:type="dxa"/>
            <w:vAlign w:val="bottom"/>
          </w:tcPr>
          <w:p>
            <w:pPr>
              <w:jc w:val="center"/>
              <w:ind w:right="200"/>
              <w:spacing w:after="0"/>
              <w:rPr>
                <w:sz w:val="20"/>
                <w:szCs w:val="20"/>
                <w:color w:val="auto"/>
              </w:rPr>
            </w:pPr>
            <w:r>
              <w:rPr>
                <w:rFonts w:ascii="Arial" w:cs="Arial" w:eastAsia="Arial" w:hAnsi="Arial"/>
                <w:sz w:val="12"/>
                <w:szCs w:val="12"/>
                <w:color w:val="auto"/>
              </w:rPr>
              <w:t>-1 bps</w:t>
            </w:r>
          </w:p>
        </w:tc>
        <w:tc>
          <w:tcPr>
            <w:tcW w:w="76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rPr>
              <w:t>-7 bps</w:t>
            </w:r>
          </w:p>
        </w:tc>
        <w:tc>
          <w:tcPr>
            <w:tcW w:w="0" w:type="dxa"/>
            <w:vAlign w:val="bottom"/>
          </w:tcPr>
          <w:p>
            <w:pPr>
              <w:spacing w:after="0"/>
              <w:rPr>
                <w:sz w:val="1"/>
                <w:szCs w:val="1"/>
                <w:color w:val="auto"/>
              </w:rPr>
            </w:pPr>
          </w:p>
        </w:tc>
      </w:tr>
      <w:tr>
        <w:trPr>
          <w:trHeight w:val="145"/>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Internal overdue ratio over 90 days</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3.06%</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3.11%</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3.02%</w:t>
            </w:r>
          </w:p>
        </w:tc>
        <w:tc>
          <w:tcPr>
            <w:tcW w:w="1280" w:type="dxa"/>
            <w:vAlign w:val="bottom"/>
          </w:tcPr>
          <w:p>
            <w:pPr>
              <w:jc w:val="center"/>
              <w:ind w:right="200"/>
              <w:spacing w:after="0"/>
              <w:rPr>
                <w:sz w:val="20"/>
                <w:szCs w:val="20"/>
                <w:color w:val="auto"/>
              </w:rPr>
            </w:pPr>
            <w:r>
              <w:rPr>
                <w:rFonts w:ascii="Arial" w:cs="Arial" w:eastAsia="Arial" w:hAnsi="Arial"/>
                <w:sz w:val="12"/>
                <w:szCs w:val="12"/>
                <w:color w:val="auto"/>
              </w:rPr>
              <w:t>-9 bps</w:t>
            </w:r>
          </w:p>
        </w:tc>
        <w:tc>
          <w:tcPr>
            <w:tcW w:w="76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rPr>
              <w:t>-4 bps</w:t>
            </w:r>
          </w:p>
        </w:tc>
        <w:tc>
          <w:tcPr>
            <w:tcW w:w="0" w:type="dxa"/>
            <w:vAlign w:val="bottom"/>
          </w:tcPr>
          <w:p>
            <w:pPr>
              <w:spacing w:after="0"/>
              <w:rPr>
                <w:sz w:val="1"/>
                <w:szCs w:val="1"/>
                <w:color w:val="auto"/>
              </w:rPr>
            </w:pPr>
          </w:p>
        </w:tc>
      </w:tr>
      <w:tr>
        <w:trPr>
          <w:trHeight w:val="159"/>
        </w:trPr>
        <w:tc>
          <w:tcPr>
            <w:tcW w:w="5200" w:type="dxa"/>
            <w:vAlign w:val="bottom"/>
            <w:tcBorders>
              <w:left w:val="single" w:sz="8" w:color="auto"/>
              <w:right w:val="single" w:sz="8" w:color="auto"/>
            </w:tcBorders>
          </w:tcPr>
          <w:p>
            <w:pPr>
              <w:ind w:left="20"/>
              <w:spacing w:after="0" w:line="159" w:lineRule="exact"/>
              <w:rPr>
                <w:sz w:val="20"/>
                <w:szCs w:val="20"/>
                <w:color w:val="auto"/>
              </w:rPr>
            </w:pPr>
            <w:r>
              <w:rPr>
                <w:rFonts w:ascii="Arial" w:cs="Arial" w:eastAsia="Arial" w:hAnsi="Arial"/>
                <w:sz w:val="11"/>
                <w:szCs w:val="11"/>
                <w:color w:val="auto"/>
              </w:rPr>
              <w:t xml:space="preserve">NPL ratio </w:t>
            </w:r>
            <w:r>
              <w:rPr>
                <w:rFonts w:ascii="Arial" w:cs="Arial" w:eastAsia="Arial" w:hAnsi="Arial"/>
                <w:sz w:val="18"/>
                <w:szCs w:val="18"/>
                <w:color w:val="auto"/>
                <w:vertAlign w:val="superscript"/>
              </w:rPr>
              <w:t>(4)</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5.25%</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5.41%</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5.45%</w:t>
            </w:r>
          </w:p>
        </w:tc>
        <w:tc>
          <w:tcPr>
            <w:tcW w:w="1280" w:type="dxa"/>
            <w:vAlign w:val="bottom"/>
          </w:tcPr>
          <w:p>
            <w:pPr>
              <w:jc w:val="center"/>
              <w:ind w:right="200"/>
              <w:spacing w:after="0"/>
              <w:rPr>
                <w:sz w:val="20"/>
                <w:szCs w:val="20"/>
                <w:color w:val="auto"/>
              </w:rPr>
            </w:pPr>
            <w:r>
              <w:rPr>
                <w:rFonts w:ascii="Arial" w:cs="Arial" w:eastAsia="Arial" w:hAnsi="Arial"/>
                <w:sz w:val="12"/>
                <w:szCs w:val="12"/>
                <w:color w:val="auto"/>
              </w:rPr>
              <w:t>4 bps</w:t>
            </w:r>
          </w:p>
        </w:tc>
        <w:tc>
          <w:tcPr>
            <w:tcW w:w="7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20 bps</w:t>
            </w:r>
          </w:p>
        </w:tc>
        <w:tc>
          <w:tcPr>
            <w:tcW w:w="0" w:type="dxa"/>
            <w:vAlign w:val="bottom"/>
          </w:tcPr>
          <w:p>
            <w:pPr>
              <w:spacing w:after="0"/>
              <w:rPr>
                <w:sz w:val="1"/>
                <w:szCs w:val="1"/>
                <w:color w:val="auto"/>
              </w:rPr>
            </w:pPr>
          </w:p>
        </w:tc>
      </w:tr>
      <w:tr>
        <w:trPr>
          <w:trHeight w:val="173"/>
        </w:trPr>
        <w:tc>
          <w:tcPr>
            <w:tcW w:w="520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2"/>
                <w:szCs w:val="12"/>
                <w:color w:val="auto"/>
              </w:rPr>
              <w:t xml:space="preserve">Cost of risk </w:t>
            </w:r>
            <w:r>
              <w:rPr>
                <w:rFonts w:ascii="Arial" w:cs="Arial" w:eastAsia="Arial" w:hAnsi="Arial"/>
                <w:sz w:val="20"/>
                <w:szCs w:val="20"/>
                <w:color w:val="auto"/>
                <w:vertAlign w:val="superscript"/>
              </w:rPr>
              <w:t>(5)</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0.71%</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1.97%</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2.00%</w:t>
            </w:r>
          </w:p>
        </w:tc>
        <w:tc>
          <w:tcPr>
            <w:tcW w:w="1280" w:type="dxa"/>
            <w:vAlign w:val="bottom"/>
          </w:tcPr>
          <w:p>
            <w:pPr>
              <w:jc w:val="center"/>
              <w:ind w:right="200"/>
              <w:spacing w:after="0"/>
              <w:rPr>
                <w:sz w:val="20"/>
                <w:szCs w:val="20"/>
                <w:color w:val="auto"/>
              </w:rPr>
            </w:pPr>
            <w:r>
              <w:rPr>
                <w:rFonts w:ascii="Arial" w:cs="Arial" w:eastAsia="Arial" w:hAnsi="Arial"/>
                <w:sz w:val="12"/>
                <w:szCs w:val="12"/>
                <w:color w:val="auto"/>
              </w:rPr>
              <w:t>3 bps</w:t>
            </w:r>
          </w:p>
        </w:tc>
        <w:tc>
          <w:tcPr>
            <w:tcW w:w="76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w w:val="98"/>
              </w:rPr>
              <w:t>129 bps</w:t>
            </w:r>
          </w:p>
        </w:tc>
        <w:tc>
          <w:tcPr>
            <w:tcW w:w="0" w:type="dxa"/>
            <w:vAlign w:val="bottom"/>
          </w:tcPr>
          <w:p>
            <w:pPr>
              <w:spacing w:after="0"/>
              <w:rPr>
                <w:sz w:val="1"/>
                <w:szCs w:val="1"/>
                <w:color w:val="auto"/>
              </w:rPr>
            </w:pPr>
          </w:p>
        </w:tc>
      </w:tr>
      <w:tr>
        <w:trPr>
          <w:trHeight w:val="159"/>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Coverage ratio of IOLs</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140.7%</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132.5%</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136.7%</w:t>
            </w:r>
          </w:p>
        </w:tc>
        <w:tc>
          <w:tcPr>
            <w:tcW w:w="1280" w:type="dxa"/>
            <w:vAlign w:val="bottom"/>
          </w:tcPr>
          <w:p>
            <w:pPr>
              <w:jc w:val="center"/>
              <w:ind w:right="180"/>
              <w:spacing w:after="0"/>
              <w:rPr>
                <w:sz w:val="20"/>
                <w:szCs w:val="20"/>
                <w:color w:val="auto"/>
              </w:rPr>
            </w:pPr>
            <w:r>
              <w:rPr>
                <w:rFonts w:ascii="Arial" w:cs="Arial" w:eastAsia="Arial" w:hAnsi="Arial"/>
                <w:sz w:val="12"/>
                <w:szCs w:val="12"/>
                <w:color w:val="auto"/>
              </w:rPr>
              <w:t>420 bps</w:t>
            </w:r>
          </w:p>
        </w:tc>
        <w:tc>
          <w:tcPr>
            <w:tcW w:w="76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w w:val="98"/>
              </w:rPr>
              <w:t>-400 bps</w:t>
            </w:r>
          </w:p>
        </w:tc>
        <w:tc>
          <w:tcPr>
            <w:tcW w:w="0" w:type="dxa"/>
            <w:vAlign w:val="bottom"/>
          </w:tcPr>
          <w:p>
            <w:pPr>
              <w:spacing w:after="0"/>
              <w:rPr>
                <w:sz w:val="1"/>
                <w:szCs w:val="1"/>
                <w:color w:val="auto"/>
              </w:rPr>
            </w:pPr>
          </w:p>
        </w:tc>
      </w:tr>
      <w:tr>
        <w:trPr>
          <w:trHeight w:val="158"/>
        </w:trPr>
        <w:tc>
          <w:tcPr>
            <w:tcW w:w="5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Coverage ratio of NPLs</w:t>
            </w:r>
          </w:p>
        </w:tc>
        <w:tc>
          <w:tcPr>
            <w:tcW w:w="1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108.9%</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97.9%</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100.1%</w:t>
            </w: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color w:val="auto"/>
              </w:rPr>
              <w:t>220 bps</w:t>
            </w:r>
          </w:p>
        </w:tc>
        <w:tc>
          <w:tcPr>
            <w:tcW w:w="760" w:type="dxa"/>
            <w:vAlign w:val="bottom"/>
            <w:tcBorders>
              <w:bottom w:val="single" w:sz="8" w:color="auto"/>
              <w:right w:val="single" w:sz="8" w:color="auto"/>
            </w:tcBorders>
          </w:tcPr>
          <w:p>
            <w:pPr>
              <w:jc w:val="center"/>
              <w:ind w:right="200"/>
              <w:spacing w:after="0"/>
              <w:rPr>
                <w:sz w:val="20"/>
                <w:szCs w:val="20"/>
                <w:color w:val="auto"/>
              </w:rPr>
            </w:pPr>
            <w:r>
              <w:rPr>
                <w:rFonts w:ascii="Arial" w:cs="Arial" w:eastAsia="Arial" w:hAnsi="Arial"/>
                <w:sz w:val="12"/>
                <w:szCs w:val="12"/>
                <w:color w:val="auto"/>
                <w:w w:val="98"/>
              </w:rPr>
              <w:t>-880 bps</w:t>
            </w:r>
          </w:p>
        </w:tc>
        <w:tc>
          <w:tcPr>
            <w:tcW w:w="0" w:type="dxa"/>
            <w:vAlign w:val="bottom"/>
          </w:tcPr>
          <w:p>
            <w:pPr>
              <w:spacing w:after="0"/>
              <w:rPr>
                <w:sz w:val="1"/>
                <w:szCs w:val="1"/>
                <w:color w:val="auto"/>
              </w:rPr>
            </w:pPr>
          </w:p>
        </w:tc>
      </w:tr>
      <w:tr>
        <w:trPr>
          <w:trHeight w:val="171"/>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Operating efficiency</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0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2"/>
                <w:szCs w:val="12"/>
                <w:color w:val="auto"/>
              </w:rPr>
              <w:t xml:space="preserve">Efficiency ratio </w:t>
            </w:r>
            <w:r>
              <w:rPr>
                <w:rFonts w:ascii="Arial" w:cs="Arial" w:eastAsia="Arial" w:hAnsi="Arial"/>
                <w:sz w:val="20"/>
                <w:szCs w:val="20"/>
                <w:color w:val="auto"/>
                <w:vertAlign w:val="superscript"/>
              </w:rPr>
              <w:t>(6)</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47.2%</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49.3%</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44.3%</w:t>
            </w:r>
          </w:p>
        </w:tc>
        <w:tc>
          <w:tcPr>
            <w:tcW w:w="1280" w:type="dxa"/>
            <w:vAlign w:val="bottom"/>
          </w:tcPr>
          <w:p>
            <w:pPr>
              <w:jc w:val="center"/>
              <w:ind w:right="180"/>
              <w:spacing w:after="0"/>
              <w:rPr>
                <w:sz w:val="20"/>
                <w:szCs w:val="20"/>
                <w:color w:val="auto"/>
              </w:rPr>
            </w:pPr>
            <w:r>
              <w:rPr>
                <w:rFonts w:ascii="Arial" w:cs="Arial" w:eastAsia="Arial" w:hAnsi="Arial"/>
                <w:sz w:val="12"/>
                <w:szCs w:val="12"/>
                <w:color w:val="auto"/>
              </w:rPr>
              <w:t>-500 bps</w:t>
            </w:r>
          </w:p>
        </w:tc>
        <w:tc>
          <w:tcPr>
            <w:tcW w:w="760" w:type="dxa"/>
            <w:vAlign w:val="bottom"/>
            <w:tcBorders>
              <w:right w:val="single" w:sz="8" w:color="auto"/>
            </w:tcBorders>
          </w:tcPr>
          <w:p>
            <w:pPr>
              <w:jc w:val="center"/>
              <w:ind w:right="200"/>
              <w:spacing w:after="0"/>
              <w:rPr>
                <w:sz w:val="20"/>
                <w:szCs w:val="20"/>
                <w:color w:val="auto"/>
              </w:rPr>
            </w:pPr>
            <w:r>
              <w:rPr>
                <w:rFonts w:ascii="Arial" w:cs="Arial" w:eastAsia="Arial" w:hAnsi="Arial"/>
                <w:sz w:val="12"/>
                <w:szCs w:val="12"/>
                <w:color w:val="auto"/>
                <w:w w:val="98"/>
              </w:rPr>
              <w:t>-290 bps</w:t>
            </w:r>
          </w:p>
        </w:tc>
        <w:tc>
          <w:tcPr>
            <w:tcW w:w="0" w:type="dxa"/>
            <w:vAlign w:val="bottom"/>
          </w:tcPr>
          <w:p>
            <w:pPr>
              <w:spacing w:after="0"/>
              <w:rPr>
                <w:sz w:val="1"/>
                <w:szCs w:val="1"/>
                <w:color w:val="auto"/>
              </w:rPr>
            </w:pPr>
          </w:p>
        </w:tc>
      </w:tr>
      <w:tr>
        <w:trPr>
          <w:trHeight w:val="158"/>
        </w:trPr>
        <w:tc>
          <w:tcPr>
            <w:tcW w:w="5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Operating expenses / Total average assets</w:t>
            </w:r>
          </w:p>
        </w:tc>
        <w:tc>
          <w:tcPr>
            <w:tcW w:w="1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2.98%</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3.76%</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3.43%</w:t>
            </w: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color w:val="auto"/>
                <w:w w:val="99"/>
              </w:rPr>
              <w:t>-33 bps</w:t>
            </w:r>
          </w:p>
        </w:tc>
        <w:tc>
          <w:tcPr>
            <w:tcW w:w="760" w:type="dxa"/>
            <w:vAlign w:val="bottom"/>
            <w:tcBorders>
              <w:bottom w:val="single" w:sz="8" w:color="auto"/>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45 bps</w:t>
            </w:r>
          </w:p>
        </w:tc>
        <w:tc>
          <w:tcPr>
            <w:tcW w:w="0" w:type="dxa"/>
            <w:vAlign w:val="bottom"/>
          </w:tcPr>
          <w:p>
            <w:pPr>
              <w:spacing w:after="0"/>
              <w:rPr>
                <w:sz w:val="1"/>
                <w:szCs w:val="1"/>
                <w:color w:val="auto"/>
              </w:rPr>
            </w:pPr>
          </w:p>
        </w:tc>
      </w:tr>
      <w:tr>
        <w:trPr>
          <w:trHeight w:val="171"/>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Capital adequacy - BCP Stand-alone</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200" w:type="dxa"/>
            <w:vAlign w:val="bottom"/>
            <w:tcBorders>
              <w:left w:val="single" w:sz="8" w:color="auto"/>
              <w:right w:val="single" w:sz="8" w:color="auto"/>
            </w:tcBorders>
          </w:tcPr>
          <w:p>
            <w:pPr>
              <w:ind w:left="20"/>
              <w:spacing w:after="0" w:line="159" w:lineRule="exact"/>
              <w:rPr>
                <w:sz w:val="20"/>
                <w:szCs w:val="20"/>
                <w:color w:val="auto"/>
              </w:rPr>
            </w:pPr>
            <w:r>
              <w:rPr>
                <w:rFonts w:ascii="Arial" w:cs="Arial" w:eastAsia="Arial" w:hAnsi="Arial"/>
                <w:sz w:val="11"/>
                <w:szCs w:val="11"/>
                <w:color w:val="auto"/>
              </w:rPr>
              <w:t xml:space="preserve">Global Capital ratio </w:t>
            </w:r>
            <w:r>
              <w:rPr>
                <w:rFonts w:ascii="Arial" w:cs="Arial" w:eastAsia="Arial" w:hAnsi="Arial"/>
                <w:sz w:val="18"/>
                <w:szCs w:val="18"/>
                <w:color w:val="auto"/>
                <w:vertAlign w:val="superscript"/>
              </w:rPr>
              <w:t>(7)</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15.79%</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14.43%</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14.93%</w:t>
            </w:r>
          </w:p>
        </w:tc>
        <w:tc>
          <w:tcPr>
            <w:tcW w:w="1280" w:type="dxa"/>
            <w:vAlign w:val="bottom"/>
          </w:tcPr>
          <w:p>
            <w:pPr>
              <w:jc w:val="center"/>
              <w:ind w:right="180"/>
              <w:spacing w:after="0"/>
              <w:rPr>
                <w:sz w:val="20"/>
                <w:szCs w:val="20"/>
                <w:color w:val="auto"/>
              </w:rPr>
            </w:pPr>
            <w:r>
              <w:rPr>
                <w:rFonts w:ascii="Arial" w:cs="Arial" w:eastAsia="Arial" w:hAnsi="Arial"/>
                <w:sz w:val="12"/>
                <w:szCs w:val="12"/>
                <w:color w:val="auto"/>
                <w:w w:val="99"/>
              </w:rPr>
              <w:t>50 bps</w:t>
            </w:r>
          </w:p>
        </w:tc>
        <w:tc>
          <w:tcPr>
            <w:tcW w:w="7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-86 bps</w:t>
            </w:r>
          </w:p>
        </w:tc>
        <w:tc>
          <w:tcPr>
            <w:tcW w:w="0" w:type="dxa"/>
            <w:vAlign w:val="bottom"/>
          </w:tcPr>
          <w:p>
            <w:pPr>
              <w:spacing w:after="0"/>
              <w:rPr>
                <w:sz w:val="1"/>
                <w:szCs w:val="1"/>
                <w:color w:val="auto"/>
              </w:rPr>
            </w:pPr>
          </w:p>
        </w:tc>
      </w:tr>
      <w:tr>
        <w:trPr>
          <w:trHeight w:val="159"/>
        </w:trPr>
        <w:tc>
          <w:tcPr>
            <w:tcW w:w="5200" w:type="dxa"/>
            <w:vAlign w:val="bottom"/>
            <w:tcBorders>
              <w:left w:val="single" w:sz="8" w:color="auto"/>
              <w:right w:val="single" w:sz="8" w:color="auto"/>
            </w:tcBorders>
          </w:tcPr>
          <w:p>
            <w:pPr>
              <w:ind w:left="20"/>
              <w:spacing w:after="0" w:line="159" w:lineRule="exact"/>
              <w:rPr>
                <w:sz w:val="20"/>
                <w:szCs w:val="20"/>
                <w:color w:val="auto"/>
              </w:rPr>
            </w:pPr>
            <w:r>
              <w:rPr>
                <w:rFonts w:ascii="Arial" w:cs="Arial" w:eastAsia="Arial" w:hAnsi="Arial"/>
                <w:sz w:val="11"/>
                <w:szCs w:val="11"/>
                <w:color w:val="auto"/>
              </w:rPr>
              <w:t xml:space="preserve">Tier 1 ratio </w:t>
            </w:r>
            <w:r>
              <w:rPr>
                <w:rFonts w:ascii="Arial" w:cs="Arial" w:eastAsia="Arial" w:hAnsi="Arial"/>
                <w:sz w:val="18"/>
                <w:szCs w:val="18"/>
                <w:color w:val="auto"/>
                <w:vertAlign w:val="superscript"/>
              </w:rPr>
              <w:t>(8)</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10.74%</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10.02%</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10.74%</w:t>
            </w:r>
          </w:p>
        </w:tc>
        <w:tc>
          <w:tcPr>
            <w:tcW w:w="1280" w:type="dxa"/>
            <w:vAlign w:val="bottom"/>
          </w:tcPr>
          <w:p>
            <w:pPr>
              <w:jc w:val="center"/>
              <w:ind w:right="220"/>
              <w:spacing w:after="0"/>
              <w:rPr>
                <w:sz w:val="20"/>
                <w:szCs w:val="20"/>
                <w:color w:val="auto"/>
              </w:rPr>
            </w:pPr>
            <w:r>
              <w:rPr>
                <w:rFonts w:ascii="Arial" w:cs="Arial" w:eastAsia="Arial" w:hAnsi="Arial"/>
                <w:sz w:val="12"/>
                <w:szCs w:val="12"/>
                <w:color w:val="auto"/>
                <w:w w:val="99"/>
              </w:rPr>
              <w:t>72 bps</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rPr>
              <w:t>0 bps</w:t>
            </w:r>
          </w:p>
        </w:tc>
        <w:tc>
          <w:tcPr>
            <w:tcW w:w="0" w:type="dxa"/>
            <w:vAlign w:val="bottom"/>
          </w:tcPr>
          <w:p>
            <w:pPr>
              <w:spacing w:after="0"/>
              <w:rPr>
                <w:sz w:val="1"/>
                <w:szCs w:val="1"/>
                <w:color w:val="auto"/>
              </w:rPr>
            </w:pPr>
          </w:p>
        </w:tc>
      </w:tr>
      <w:tr>
        <w:trPr>
          <w:trHeight w:val="172"/>
        </w:trPr>
        <w:tc>
          <w:tcPr>
            <w:tcW w:w="5200" w:type="dxa"/>
            <w:vAlign w:val="bottom"/>
            <w:tcBorders>
              <w:left w:val="single" w:sz="8" w:color="auto"/>
              <w:bottom w:val="single" w:sz="8" w:color="auto"/>
              <w:right w:val="single" w:sz="8" w:color="auto"/>
            </w:tcBorders>
          </w:tcPr>
          <w:p>
            <w:pPr>
              <w:ind w:left="20"/>
              <w:spacing w:after="0" w:line="169" w:lineRule="exact"/>
              <w:rPr>
                <w:sz w:val="20"/>
                <w:szCs w:val="20"/>
                <w:color w:val="auto"/>
              </w:rPr>
            </w:pPr>
            <w:r>
              <w:rPr>
                <w:rFonts w:ascii="Arial" w:cs="Arial" w:eastAsia="Arial" w:hAnsi="Arial"/>
                <w:sz w:val="12"/>
                <w:szCs w:val="12"/>
                <w:color w:val="auto"/>
              </w:rPr>
              <w:t xml:space="preserve">Common equity tier 1 ratio </w:t>
            </w:r>
            <w:r>
              <w:rPr>
                <w:rFonts w:ascii="Arial" w:cs="Arial" w:eastAsia="Arial" w:hAnsi="Arial"/>
                <w:sz w:val="19"/>
                <w:szCs w:val="19"/>
                <w:color w:val="auto"/>
                <w:vertAlign w:val="superscript"/>
              </w:rPr>
              <w:t>(9) (11)</w:t>
            </w:r>
          </w:p>
        </w:tc>
        <w:tc>
          <w:tcPr>
            <w:tcW w:w="1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11.63%</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12.59%</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11.93%</w:t>
            </w: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color w:val="auto"/>
                <w:w w:val="99"/>
              </w:rPr>
              <w:t>-66 bps</w:t>
            </w:r>
          </w:p>
        </w:tc>
        <w:tc>
          <w:tcPr>
            <w:tcW w:w="760" w:type="dxa"/>
            <w:vAlign w:val="bottom"/>
            <w:tcBorders>
              <w:bottom w:val="single" w:sz="8" w:color="auto"/>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30 bps</w:t>
            </w:r>
          </w:p>
        </w:tc>
        <w:tc>
          <w:tcPr>
            <w:tcW w:w="0" w:type="dxa"/>
            <w:vAlign w:val="bottom"/>
          </w:tcPr>
          <w:p>
            <w:pPr>
              <w:spacing w:after="0"/>
              <w:rPr>
                <w:sz w:val="1"/>
                <w:szCs w:val="1"/>
                <w:color w:val="auto"/>
              </w:rPr>
            </w:pPr>
          </w:p>
        </w:tc>
      </w:tr>
      <w:tr>
        <w:trPr>
          <w:trHeight w:val="171"/>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Capital adequacy - Mibanco</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200" w:type="dxa"/>
            <w:vAlign w:val="bottom"/>
            <w:tcBorders>
              <w:left w:val="single" w:sz="8" w:color="auto"/>
              <w:right w:val="single" w:sz="8" w:color="auto"/>
            </w:tcBorders>
          </w:tcPr>
          <w:p>
            <w:pPr>
              <w:ind w:left="20"/>
              <w:spacing w:after="0" w:line="159" w:lineRule="exact"/>
              <w:rPr>
                <w:sz w:val="20"/>
                <w:szCs w:val="20"/>
                <w:color w:val="auto"/>
              </w:rPr>
            </w:pPr>
            <w:r>
              <w:rPr>
                <w:rFonts w:ascii="Arial" w:cs="Arial" w:eastAsia="Arial" w:hAnsi="Arial"/>
                <w:sz w:val="11"/>
                <w:szCs w:val="11"/>
                <w:color w:val="auto"/>
              </w:rPr>
              <w:t xml:space="preserve">Global Capital ratio </w:t>
            </w:r>
            <w:r>
              <w:rPr>
                <w:rFonts w:ascii="Arial" w:cs="Arial" w:eastAsia="Arial" w:hAnsi="Arial"/>
                <w:sz w:val="18"/>
                <w:szCs w:val="18"/>
                <w:color w:val="auto"/>
                <w:vertAlign w:val="superscript"/>
              </w:rPr>
              <w:t>(7)</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15.61%</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14.69%</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14.79%</w:t>
            </w:r>
          </w:p>
        </w:tc>
        <w:tc>
          <w:tcPr>
            <w:tcW w:w="1280" w:type="dxa"/>
            <w:vAlign w:val="bottom"/>
          </w:tcPr>
          <w:p>
            <w:pPr>
              <w:jc w:val="center"/>
              <w:ind w:right="180"/>
              <w:spacing w:after="0"/>
              <w:rPr>
                <w:sz w:val="20"/>
                <w:szCs w:val="20"/>
                <w:color w:val="auto"/>
              </w:rPr>
            </w:pPr>
            <w:r>
              <w:rPr>
                <w:rFonts w:ascii="Arial" w:cs="Arial" w:eastAsia="Arial" w:hAnsi="Arial"/>
                <w:sz w:val="12"/>
                <w:szCs w:val="12"/>
                <w:color w:val="auto"/>
                <w:w w:val="99"/>
              </w:rPr>
              <w:t>10 bps</w:t>
            </w:r>
          </w:p>
        </w:tc>
        <w:tc>
          <w:tcPr>
            <w:tcW w:w="760" w:type="dxa"/>
            <w:vAlign w:val="bottom"/>
            <w:tcBorders>
              <w:right w:val="single" w:sz="8" w:color="auto"/>
            </w:tcBorders>
          </w:tcPr>
          <w:p>
            <w:pPr>
              <w:jc w:val="center"/>
              <w:ind w:right="220"/>
              <w:spacing w:after="0"/>
              <w:rPr>
                <w:sz w:val="20"/>
                <w:szCs w:val="20"/>
                <w:color w:val="auto"/>
              </w:rPr>
            </w:pPr>
            <w:r>
              <w:rPr>
                <w:rFonts w:ascii="Arial" w:cs="Arial" w:eastAsia="Arial" w:hAnsi="Arial"/>
                <w:sz w:val="12"/>
                <w:szCs w:val="12"/>
                <w:color w:val="auto"/>
                <w:w w:val="99"/>
              </w:rPr>
              <w:t>-82 bps</w:t>
            </w:r>
          </w:p>
        </w:tc>
        <w:tc>
          <w:tcPr>
            <w:tcW w:w="0" w:type="dxa"/>
            <w:vAlign w:val="bottom"/>
          </w:tcPr>
          <w:p>
            <w:pPr>
              <w:spacing w:after="0"/>
              <w:rPr>
                <w:sz w:val="1"/>
                <w:szCs w:val="1"/>
                <w:color w:val="auto"/>
              </w:rPr>
            </w:pPr>
          </w:p>
        </w:tc>
      </w:tr>
      <w:tr>
        <w:trPr>
          <w:trHeight w:val="159"/>
        </w:trPr>
        <w:tc>
          <w:tcPr>
            <w:tcW w:w="5200" w:type="dxa"/>
            <w:vAlign w:val="bottom"/>
            <w:tcBorders>
              <w:left w:val="single" w:sz="8" w:color="auto"/>
              <w:right w:val="single" w:sz="8" w:color="auto"/>
            </w:tcBorders>
          </w:tcPr>
          <w:p>
            <w:pPr>
              <w:ind w:left="20"/>
              <w:spacing w:after="0" w:line="159" w:lineRule="exact"/>
              <w:rPr>
                <w:sz w:val="20"/>
                <w:szCs w:val="20"/>
                <w:color w:val="auto"/>
              </w:rPr>
            </w:pPr>
            <w:r>
              <w:rPr>
                <w:rFonts w:ascii="Arial" w:cs="Arial" w:eastAsia="Arial" w:hAnsi="Arial"/>
                <w:sz w:val="11"/>
                <w:szCs w:val="11"/>
                <w:color w:val="auto"/>
              </w:rPr>
              <w:t xml:space="preserve">Tier 1 ratio </w:t>
            </w:r>
            <w:r>
              <w:rPr>
                <w:rFonts w:ascii="Arial" w:cs="Arial" w:eastAsia="Arial" w:hAnsi="Arial"/>
                <w:sz w:val="18"/>
                <w:szCs w:val="18"/>
                <w:color w:val="auto"/>
                <w:vertAlign w:val="superscript"/>
              </w:rPr>
              <w:t>(8)</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13.24%</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12.38%</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12.48%</w:t>
            </w:r>
          </w:p>
        </w:tc>
        <w:tc>
          <w:tcPr>
            <w:tcW w:w="1280" w:type="dxa"/>
            <w:vAlign w:val="bottom"/>
          </w:tcPr>
          <w:p>
            <w:pPr>
              <w:jc w:val="center"/>
              <w:ind w:right="220"/>
              <w:spacing w:after="0"/>
              <w:rPr>
                <w:sz w:val="20"/>
                <w:szCs w:val="20"/>
                <w:color w:val="auto"/>
              </w:rPr>
            </w:pPr>
            <w:r>
              <w:rPr>
                <w:rFonts w:ascii="Arial" w:cs="Arial" w:eastAsia="Arial" w:hAnsi="Arial"/>
                <w:sz w:val="12"/>
                <w:szCs w:val="12"/>
                <w:color w:val="auto"/>
                <w:w w:val="99"/>
              </w:rPr>
              <w:t>10 bps</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rPr>
              <w:t>-76 bps</w:t>
            </w:r>
          </w:p>
        </w:tc>
        <w:tc>
          <w:tcPr>
            <w:tcW w:w="0" w:type="dxa"/>
            <w:vAlign w:val="bottom"/>
          </w:tcPr>
          <w:p>
            <w:pPr>
              <w:spacing w:after="0"/>
              <w:rPr>
                <w:sz w:val="1"/>
                <w:szCs w:val="1"/>
                <w:color w:val="auto"/>
              </w:rPr>
            </w:pPr>
          </w:p>
        </w:tc>
      </w:tr>
      <w:tr>
        <w:trPr>
          <w:trHeight w:val="172"/>
        </w:trPr>
        <w:tc>
          <w:tcPr>
            <w:tcW w:w="5200" w:type="dxa"/>
            <w:vAlign w:val="bottom"/>
            <w:tcBorders>
              <w:left w:val="single" w:sz="8" w:color="auto"/>
              <w:bottom w:val="single" w:sz="8" w:color="auto"/>
              <w:right w:val="single" w:sz="8" w:color="auto"/>
            </w:tcBorders>
          </w:tcPr>
          <w:p>
            <w:pPr>
              <w:ind w:left="20"/>
              <w:spacing w:after="0" w:line="169" w:lineRule="exact"/>
              <w:rPr>
                <w:sz w:val="20"/>
                <w:szCs w:val="20"/>
                <w:color w:val="auto"/>
              </w:rPr>
            </w:pPr>
            <w:r>
              <w:rPr>
                <w:rFonts w:ascii="Arial" w:cs="Arial" w:eastAsia="Arial" w:hAnsi="Arial"/>
                <w:sz w:val="12"/>
                <w:szCs w:val="12"/>
                <w:color w:val="auto"/>
              </w:rPr>
              <w:t xml:space="preserve">Common equity tier 1 ratio </w:t>
            </w:r>
            <w:r>
              <w:rPr>
                <w:rFonts w:ascii="Arial" w:cs="Arial" w:eastAsia="Arial" w:hAnsi="Arial"/>
                <w:sz w:val="19"/>
                <w:szCs w:val="19"/>
                <w:color w:val="auto"/>
                <w:vertAlign w:val="superscript"/>
              </w:rPr>
              <w:t>(9) (11)</w:t>
            </w:r>
          </w:p>
        </w:tc>
        <w:tc>
          <w:tcPr>
            <w:tcW w:w="1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14.91%</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16.10%</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16.25%</w:t>
            </w: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color w:val="auto"/>
                <w:w w:val="99"/>
              </w:rPr>
              <w:t>15 bps</w:t>
            </w:r>
          </w:p>
        </w:tc>
        <w:tc>
          <w:tcPr>
            <w:tcW w:w="760" w:type="dxa"/>
            <w:vAlign w:val="bottom"/>
            <w:tcBorders>
              <w:bottom w:val="single" w:sz="8" w:color="auto"/>
              <w:right w:val="single" w:sz="8" w:color="auto"/>
            </w:tcBorders>
          </w:tcPr>
          <w:p>
            <w:pPr>
              <w:jc w:val="center"/>
              <w:ind w:right="200"/>
              <w:spacing w:after="0"/>
              <w:rPr>
                <w:sz w:val="20"/>
                <w:szCs w:val="20"/>
                <w:color w:val="auto"/>
              </w:rPr>
            </w:pPr>
            <w:r>
              <w:rPr>
                <w:rFonts w:ascii="Arial" w:cs="Arial" w:eastAsia="Arial" w:hAnsi="Arial"/>
                <w:sz w:val="12"/>
                <w:szCs w:val="12"/>
                <w:color w:val="auto"/>
                <w:w w:val="98"/>
              </w:rPr>
              <w:t>134 bps</w:t>
            </w:r>
          </w:p>
        </w:tc>
        <w:tc>
          <w:tcPr>
            <w:tcW w:w="0" w:type="dxa"/>
            <w:vAlign w:val="bottom"/>
          </w:tcPr>
          <w:p>
            <w:pPr>
              <w:spacing w:after="0"/>
              <w:rPr>
                <w:sz w:val="1"/>
                <w:szCs w:val="1"/>
                <w:color w:val="auto"/>
              </w:rPr>
            </w:pPr>
          </w:p>
        </w:tc>
      </w:tr>
      <w:tr>
        <w:trPr>
          <w:trHeight w:val="162"/>
        </w:trPr>
        <w:tc>
          <w:tcPr>
            <w:tcW w:w="5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Employees</w:t>
            </w:r>
          </w:p>
        </w:tc>
        <w:tc>
          <w:tcPr>
            <w:tcW w:w="1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36,202</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36,970</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37,166</w:t>
            </w:r>
          </w:p>
        </w:tc>
        <w:tc>
          <w:tcPr>
            <w:tcW w:w="128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color w:val="auto"/>
              </w:rPr>
              <w:t>0.5%</w:t>
            </w:r>
          </w:p>
        </w:tc>
        <w:tc>
          <w:tcPr>
            <w:tcW w:w="760" w:type="dxa"/>
            <w:vAlign w:val="bottom"/>
            <w:tcBorders>
              <w:bottom w:val="single" w:sz="8" w:color="auto"/>
              <w:right w:val="single" w:sz="8" w:color="auto"/>
            </w:tcBorders>
          </w:tcPr>
          <w:p>
            <w:pPr>
              <w:jc w:val="center"/>
              <w:ind w:right="240"/>
              <w:spacing w:after="0"/>
              <w:rPr>
                <w:sz w:val="20"/>
                <w:szCs w:val="20"/>
                <w:color w:val="auto"/>
              </w:rPr>
            </w:pPr>
            <w:r>
              <w:rPr>
                <w:rFonts w:ascii="Arial" w:cs="Arial" w:eastAsia="Arial" w:hAnsi="Arial"/>
                <w:sz w:val="12"/>
                <w:szCs w:val="12"/>
                <w:color w:val="auto"/>
                <w:w w:val="94"/>
              </w:rPr>
              <w:t>2.7%</w:t>
            </w:r>
          </w:p>
        </w:tc>
        <w:tc>
          <w:tcPr>
            <w:tcW w:w="0" w:type="dxa"/>
            <w:vAlign w:val="bottom"/>
          </w:tcPr>
          <w:p>
            <w:pPr>
              <w:spacing w:after="0"/>
              <w:rPr>
                <w:sz w:val="1"/>
                <w:szCs w:val="1"/>
                <w:color w:val="auto"/>
              </w:rPr>
            </w:pPr>
          </w:p>
        </w:tc>
      </w:tr>
      <w:tr>
        <w:trPr>
          <w:trHeight w:val="185"/>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Share Information</w:t>
            </w: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Issued Shares</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94,382</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94,382</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94,382</w:t>
            </w:r>
          </w:p>
        </w:tc>
        <w:tc>
          <w:tcPr>
            <w:tcW w:w="1280" w:type="dxa"/>
            <w:vAlign w:val="bottom"/>
          </w:tcPr>
          <w:p>
            <w:pPr>
              <w:jc w:val="center"/>
              <w:ind w:right="220"/>
              <w:spacing w:after="0"/>
              <w:rPr>
                <w:sz w:val="20"/>
                <w:szCs w:val="20"/>
                <w:color w:val="auto"/>
              </w:rPr>
            </w:pPr>
            <w:r>
              <w:rPr>
                <w:rFonts w:ascii="Arial" w:cs="Arial" w:eastAsia="Arial" w:hAnsi="Arial"/>
                <w:sz w:val="12"/>
                <w:szCs w:val="12"/>
                <w:color w:val="auto"/>
              </w:rPr>
              <w:t>0.0%</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4"/>
              </w:rPr>
              <w:t>0.0%</w:t>
            </w:r>
          </w:p>
        </w:tc>
        <w:tc>
          <w:tcPr>
            <w:tcW w:w="0" w:type="dxa"/>
            <w:vAlign w:val="bottom"/>
          </w:tcPr>
          <w:p>
            <w:pPr>
              <w:spacing w:after="0"/>
              <w:rPr>
                <w:sz w:val="1"/>
                <w:szCs w:val="1"/>
                <w:color w:val="auto"/>
              </w:rPr>
            </w:pPr>
          </w:p>
        </w:tc>
      </w:tr>
      <w:tr>
        <w:trPr>
          <w:trHeight w:val="173"/>
        </w:trPr>
        <w:tc>
          <w:tcPr>
            <w:tcW w:w="520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2"/>
                <w:szCs w:val="12"/>
                <w:color w:val="auto"/>
              </w:rPr>
              <w:t xml:space="preserve">Treasury Shares </w:t>
            </w:r>
            <w:r>
              <w:rPr>
                <w:rFonts w:ascii="Arial" w:cs="Arial" w:eastAsia="Arial" w:hAnsi="Arial"/>
                <w:sz w:val="20"/>
                <w:szCs w:val="20"/>
                <w:color w:val="auto"/>
                <w:vertAlign w:val="superscript"/>
              </w:rPr>
              <w:t>(10)</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14,862</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14,849</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14,887</w:t>
            </w:r>
          </w:p>
        </w:tc>
        <w:tc>
          <w:tcPr>
            <w:tcW w:w="1280" w:type="dxa"/>
            <w:vAlign w:val="bottom"/>
          </w:tcPr>
          <w:p>
            <w:pPr>
              <w:jc w:val="center"/>
              <w:ind w:right="220"/>
              <w:spacing w:after="0"/>
              <w:rPr>
                <w:sz w:val="20"/>
                <w:szCs w:val="20"/>
                <w:color w:val="auto"/>
              </w:rPr>
            </w:pPr>
            <w:r>
              <w:rPr>
                <w:rFonts w:ascii="Arial" w:cs="Arial" w:eastAsia="Arial" w:hAnsi="Arial"/>
                <w:sz w:val="12"/>
                <w:szCs w:val="12"/>
                <w:color w:val="auto"/>
              </w:rPr>
              <w:t>0.3%</w:t>
            </w:r>
          </w:p>
        </w:tc>
        <w:tc>
          <w:tcPr>
            <w:tcW w:w="760" w:type="dxa"/>
            <w:vAlign w:val="bottom"/>
            <w:tcBorders>
              <w:right w:val="single" w:sz="8" w:color="auto"/>
            </w:tcBorders>
          </w:tcPr>
          <w:p>
            <w:pPr>
              <w:jc w:val="center"/>
              <w:ind w:right="240"/>
              <w:spacing w:after="0"/>
              <w:rPr>
                <w:sz w:val="20"/>
                <w:szCs w:val="20"/>
                <w:color w:val="auto"/>
              </w:rPr>
            </w:pPr>
            <w:r>
              <w:rPr>
                <w:rFonts w:ascii="Arial" w:cs="Arial" w:eastAsia="Arial" w:hAnsi="Arial"/>
                <w:sz w:val="12"/>
                <w:szCs w:val="12"/>
                <w:color w:val="auto"/>
                <w:w w:val="94"/>
              </w:rPr>
              <w:t>0.2%</w:t>
            </w:r>
          </w:p>
        </w:tc>
        <w:tc>
          <w:tcPr>
            <w:tcW w:w="0" w:type="dxa"/>
            <w:vAlign w:val="bottom"/>
          </w:tcPr>
          <w:p>
            <w:pPr>
              <w:spacing w:after="0"/>
              <w:rPr>
                <w:sz w:val="1"/>
                <w:szCs w:val="1"/>
                <w:color w:val="auto"/>
              </w:rPr>
            </w:pPr>
          </w:p>
        </w:tc>
      </w:tr>
      <w:tr>
        <w:trPr>
          <w:trHeight w:val="158"/>
        </w:trPr>
        <w:tc>
          <w:tcPr>
            <w:tcW w:w="5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Outstanding Shares</w:t>
            </w:r>
          </w:p>
        </w:tc>
        <w:tc>
          <w:tcPr>
            <w:tcW w:w="1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79,520</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79,533</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79,495</w:t>
            </w:r>
          </w:p>
        </w:tc>
        <w:tc>
          <w:tcPr>
            <w:tcW w:w="128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color w:val="auto"/>
              </w:rPr>
              <w:t>0.0%</w:t>
            </w:r>
          </w:p>
        </w:tc>
        <w:tc>
          <w:tcPr>
            <w:tcW w:w="760" w:type="dxa"/>
            <w:vAlign w:val="bottom"/>
            <w:tcBorders>
              <w:bottom w:val="single" w:sz="8" w:color="auto"/>
              <w:right w:val="single" w:sz="8" w:color="auto"/>
            </w:tcBorders>
          </w:tcPr>
          <w:p>
            <w:pPr>
              <w:jc w:val="center"/>
              <w:ind w:right="240"/>
              <w:spacing w:after="0"/>
              <w:rPr>
                <w:sz w:val="20"/>
                <w:szCs w:val="20"/>
                <w:color w:val="auto"/>
              </w:rPr>
            </w:pPr>
            <w:r>
              <w:rPr>
                <w:rFonts w:ascii="Arial" w:cs="Arial" w:eastAsia="Arial" w:hAnsi="Arial"/>
                <w:sz w:val="12"/>
                <w:szCs w:val="12"/>
                <w:color w:val="auto"/>
                <w:w w:val="94"/>
              </w:rPr>
              <w:t>0.0%</w:t>
            </w:r>
          </w:p>
        </w:tc>
        <w:tc>
          <w:tcPr>
            <w:tcW w:w="0" w:type="dxa"/>
            <w:vAlign w:val="bottom"/>
          </w:tcPr>
          <w:p>
            <w:pPr>
              <w:spacing w:after="0"/>
              <w:rPr>
                <w:sz w:val="1"/>
                <w:szCs w:val="1"/>
                <w:color w:val="auto"/>
              </w:rPr>
            </w:pPr>
          </w:p>
        </w:tc>
      </w:tr>
    </w:tbl>
    <w:p>
      <w:pPr>
        <w:ind w:left="129" w:hanging="129"/>
        <w:spacing w:after="0" w:line="203" w:lineRule="auto"/>
        <w:tabs>
          <w:tab w:leader="none" w:pos="129" w:val="left"/>
        </w:tabs>
        <w:numPr>
          <w:ilvl w:val="0"/>
          <w:numId w:val="5"/>
        </w:numPr>
        <w:rPr>
          <w:rFonts w:ascii="Calibri" w:cs="Calibri" w:eastAsia="Calibri" w:hAnsi="Calibri"/>
          <w:sz w:val="10"/>
          <w:szCs w:val="10"/>
          <w:color w:val="auto"/>
        </w:rPr>
      </w:pPr>
      <w:r>
        <w:rPr>
          <w:rFonts w:ascii="Calibri" w:cs="Calibri" w:eastAsia="Calibri" w:hAnsi="Calibri"/>
          <w:sz w:val="10"/>
          <w:szCs w:val="10"/>
          <w:color w:val="auto"/>
        </w:rPr>
        <w:t>Net Interest Margin = Net Interest Income (Excluding Net Insurance Financial Expenses) / Average Interest Earning Assets</w:t>
      </w:r>
    </w:p>
    <w:p>
      <w:pPr>
        <w:ind w:left="129" w:hanging="129"/>
        <w:spacing w:after="0" w:line="223" w:lineRule="auto"/>
        <w:tabs>
          <w:tab w:leader="none" w:pos="129" w:val="left"/>
        </w:tabs>
        <w:numPr>
          <w:ilvl w:val="0"/>
          <w:numId w:val="5"/>
        </w:numPr>
        <w:rPr>
          <w:rFonts w:ascii="Calibri" w:cs="Calibri" w:eastAsia="Calibri" w:hAnsi="Calibri"/>
          <w:sz w:val="10"/>
          <w:szCs w:val="10"/>
          <w:color w:val="auto"/>
        </w:rPr>
      </w:pPr>
      <w:r>
        <w:rPr>
          <w:rFonts w:ascii="Calibri" w:cs="Calibri" w:eastAsia="Calibri" w:hAnsi="Calibri"/>
          <w:sz w:val="10"/>
          <w:szCs w:val="10"/>
          <w:color w:val="auto"/>
        </w:rPr>
        <w:t>Funding Cost = Interest Expense (Does not include Net Insurance Financial Expenses) / Average Funding</w:t>
      </w:r>
    </w:p>
    <w:p>
      <w:pPr>
        <w:ind w:left="129" w:hanging="129"/>
        <w:spacing w:after="0" w:line="223" w:lineRule="auto"/>
        <w:tabs>
          <w:tab w:leader="none" w:pos="129" w:val="left"/>
        </w:tabs>
        <w:numPr>
          <w:ilvl w:val="0"/>
          <w:numId w:val="5"/>
        </w:numPr>
        <w:rPr>
          <w:rFonts w:ascii="Calibri" w:cs="Calibri" w:eastAsia="Calibri" w:hAnsi="Calibri"/>
          <w:sz w:val="10"/>
          <w:szCs w:val="10"/>
          <w:color w:val="auto"/>
        </w:rPr>
      </w:pPr>
      <w:r>
        <w:rPr>
          <w:rFonts w:ascii="Calibri" w:cs="Calibri" w:eastAsia="Calibri" w:hAnsi="Calibri"/>
          <w:sz w:val="10"/>
          <w:szCs w:val="10"/>
          <w:color w:val="auto"/>
        </w:rPr>
        <w:t>Internal Overdue Loans: includes overdue loans and loans under legal collecton, according to our internal policy for overdue loans. Internal Overdue Rato: Internal overdue loans / Total loans</w:t>
      </w:r>
    </w:p>
    <w:p>
      <w:pPr>
        <w:ind w:left="129" w:hanging="129"/>
        <w:spacing w:after="0" w:line="223" w:lineRule="auto"/>
        <w:tabs>
          <w:tab w:leader="none" w:pos="129" w:val="left"/>
        </w:tabs>
        <w:numPr>
          <w:ilvl w:val="0"/>
          <w:numId w:val="5"/>
        </w:numPr>
        <w:rPr>
          <w:rFonts w:ascii="Calibri" w:cs="Calibri" w:eastAsia="Calibri" w:hAnsi="Calibri"/>
          <w:sz w:val="10"/>
          <w:szCs w:val="10"/>
          <w:color w:val="auto"/>
        </w:rPr>
      </w:pPr>
      <w:r>
        <w:rPr>
          <w:rFonts w:ascii="Calibri" w:cs="Calibri" w:eastAsia="Calibri" w:hAnsi="Calibri"/>
          <w:sz w:val="10"/>
          <w:szCs w:val="10"/>
          <w:color w:val="auto"/>
        </w:rPr>
        <w:t>Non-performing loans (NPL): Internal overdue loans + Refnanced loans. NPL rato: NPL / Total loans.</w:t>
      </w:r>
    </w:p>
    <w:p>
      <w:pPr>
        <w:ind w:left="129" w:hanging="129"/>
        <w:spacing w:after="0" w:line="223" w:lineRule="auto"/>
        <w:tabs>
          <w:tab w:leader="none" w:pos="129" w:val="left"/>
        </w:tabs>
        <w:numPr>
          <w:ilvl w:val="0"/>
          <w:numId w:val="5"/>
        </w:numPr>
        <w:rPr>
          <w:rFonts w:ascii="Calibri" w:cs="Calibri" w:eastAsia="Calibri" w:hAnsi="Calibri"/>
          <w:sz w:val="10"/>
          <w:szCs w:val="10"/>
          <w:color w:val="auto"/>
        </w:rPr>
      </w:pPr>
      <w:r>
        <w:rPr>
          <w:rFonts w:ascii="Calibri" w:cs="Calibri" w:eastAsia="Calibri" w:hAnsi="Calibri"/>
          <w:sz w:val="10"/>
          <w:szCs w:val="10"/>
          <w:color w:val="auto"/>
        </w:rPr>
        <w:t>Cost of risk = Annualized provision for loan losses, net of recoveries / Total loans.</w:t>
      </w:r>
    </w:p>
    <w:p>
      <w:pPr>
        <w:ind w:left="9" w:right="180" w:hanging="9"/>
        <w:spacing w:after="0" w:line="223" w:lineRule="auto"/>
        <w:tabs>
          <w:tab w:leader="none" w:pos="141" w:val="left"/>
        </w:tabs>
        <w:numPr>
          <w:ilvl w:val="0"/>
          <w:numId w:val="5"/>
        </w:numPr>
        <w:rPr>
          <w:rFonts w:ascii="Calibri" w:cs="Calibri" w:eastAsia="Calibri" w:hAnsi="Calibri"/>
          <w:sz w:val="10"/>
          <w:szCs w:val="10"/>
          <w:color w:val="auto"/>
        </w:rPr>
      </w:pPr>
      <w:r>
        <w:rPr>
          <w:rFonts w:ascii="Calibri" w:cs="Calibri" w:eastAsia="Calibri" w:hAnsi="Calibri"/>
          <w:sz w:val="10"/>
          <w:szCs w:val="10"/>
          <w:color w:val="auto"/>
        </w:rPr>
        <w:t>Efciency Rato = (Salaries and employee benefts + Administratve expenses + Depreciaton and amortzaton + Associaton in partcipaton) / (Net interest, similar income and expenses + Fee Income + Net gain on foreign exchange transactons + Net Gain From associates + Net gain on derivatves held for trading + Result on exchange diferences + Insurance Underwritng Result)</w:t>
      </w:r>
    </w:p>
    <w:p>
      <w:pPr>
        <w:ind w:left="129" w:hanging="129"/>
        <w:spacing w:after="0" w:line="223" w:lineRule="auto"/>
        <w:tabs>
          <w:tab w:leader="none" w:pos="129" w:val="left"/>
        </w:tabs>
        <w:numPr>
          <w:ilvl w:val="0"/>
          <w:numId w:val="5"/>
        </w:numPr>
        <w:rPr>
          <w:rFonts w:ascii="Calibri" w:cs="Calibri" w:eastAsia="Calibri" w:hAnsi="Calibri"/>
          <w:sz w:val="10"/>
          <w:szCs w:val="10"/>
          <w:color w:val="auto"/>
        </w:rPr>
      </w:pPr>
      <w:r>
        <w:rPr>
          <w:rFonts w:ascii="Calibri" w:cs="Calibri" w:eastAsia="Calibri" w:hAnsi="Calibri"/>
          <w:sz w:val="10"/>
          <w:szCs w:val="10"/>
          <w:color w:val="auto"/>
        </w:rPr>
        <w:t>Regulatory Capital / Risk-weighted assets (legal minimum = 10% since July 2011).</w:t>
      </w:r>
    </w:p>
    <w:p>
      <w:pPr>
        <w:ind w:left="9" w:right="80" w:hanging="9"/>
        <w:spacing w:after="0" w:line="223" w:lineRule="auto"/>
        <w:tabs>
          <w:tab w:leader="none" w:pos="141" w:val="left"/>
        </w:tabs>
        <w:numPr>
          <w:ilvl w:val="0"/>
          <w:numId w:val="5"/>
        </w:numPr>
        <w:rPr>
          <w:rFonts w:ascii="Calibri" w:cs="Calibri" w:eastAsia="Calibri" w:hAnsi="Calibri"/>
          <w:sz w:val="10"/>
          <w:szCs w:val="10"/>
          <w:color w:val="auto"/>
        </w:rPr>
      </w:pPr>
      <w:r>
        <w:rPr>
          <w:rFonts w:ascii="Calibri" w:cs="Calibri" w:eastAsia="Calibri" w:hAnsi="Calibri"/>
          <w:sz w:val="10"/>
          <w:szCs w:val="10"/>
          <w:color w:val="auto"/>
        </w:rPr>
        <w:t>Tier 1 = Capital + Legal and other capital reserves + Accumulated earnings with capitalizaton agreement + (0.5 x Unrealized proft and net income in subsidiaries) - Goodwill - (0.5 x Investment in subsidiaries) + Perpetual subordinated debt (maximum amount that can be included is 17.65% of Capital + Reserves + Accumulated earnings with capitalizaton agreement + Unrealized proft and net income in subsidiaries - Goodwill).</w:t>
      </w:r>
    </w:p>
    <w:p>
      <w:pPr>
        <w:ind w:left="129" w:hanging="129"/>
        <w:spacing w:after="0" w:line="223" w:lineRule="auto"/>
        <w:tabs>
          <w:tab w:leader="none" w:pos="129" w:val="left"/>
        </w:tabs>
        <w:numPr>
          <w:ilvl w:val="0"/>
          <w:numId w:val="5"/>
        </w:numPr>
        <w:rPr>
          <w:rFonts w:ascii="Calibri" w:cs="Calibri" w:eastAsia="Calibri" w:hAnsi="Calibri"/>
          <w:sz w:val="10"/>
          <w:szCs w:val="10"/>
          <w:color w:val="auto"/>
        </w:rPr>
      </w:pPr>
      <w:r>
        <w:rPr>
          <w:rFonts w:ascii="Calibri" w:cs="Calibri" w:eastAsia="Calibri" w:hAnsi="Calibri"/>
          <w:sz w:val="10"/>
          <w:szCs w:val="10"/>
          <w:color w:val="auto"/>
        </w:rPr>
        <w:t>Common Equity Tier I = Capital + Reserves – 100% of applicable deductons (investment in subsidiaries, goodwill, intangibles and net deferred taxes that rely on future proftability) + retained earnings + unrealized gains.</w:t>
      </w:r>
    </w:p>
    <w:p>
      <w:pPr>
        <w:ind w:left="9"/>
        <w:spacing w:after="0"/>
        <w:rPr>
          <w:sz w:val="20"/>
          <w:szCs w:val="20"/>
          <w:color w:val="auto"/>
        </w:rPr>
      </w:pPr>
      <w:r>
        <w:rPr>
          <w:rFonts w:ascii="Calibri" w:cs="Calibri" w:eastAsia="Calibri" w:hAnsi="Calibri"/>
          <w:sz w:val="9"/>
          <w:szCs w:val="9"/>
          <w:color w:val="auto"/>
        </w:rPr>
        <w:t>Adjusted Risk-Weighted Assets = Risk-weighted assets - (RWA Intangible assets, excluding goodwill, + RWA Deferred tax assets generated as a result of temporary diferences in income tax, in excess of 10% of CET1, + RWA Deferred tax assets generated as a result of past losses).”</w:t>
      </w:r>
    </w:p>
    <w:p>
      <w:pPr>
        <w:ind w:left="189" w:hanging="189"/>
        <w:spacing w:after="0" w:line="230" w:lineRule="auto"/>
        <w:tabs>
          <w:tab w:leader="none" w:pos="189" w:val="left"/>
        </w:tabs>
        <w:numPr>
          <w:ilvl w:val="0"/>
          <w:numId w:val="6"/>
        </w:numPr>
        <w:rPr>
          <w:rFonts w:ascii="Calibri" w:cs="Calibri" w:eastAsia="Calibri" w:hAnsi="Calibri"/>
          <w:sz w:val="10"/>
          <w:szCs w:val="10"/>
          <w:color w:val="auto"/>
        </w:rPr>
      </w:pPr>
      <w:r>
        <w:rPr>
          <w:rFonts w:ascii="Calibri" w:cs="Calibri" w:eastAsia="Calibri" w:hAnsi="Calibri"/>
          <w:sz w:val="10"/>
          <w:szCs w:val="10"/>
          <w:color w:val="auto"/>
        </w:rPr>
        <w:t>Consider shares held by Atlantc Security Holding Corporaton (ASHC) and stock awards.</w:t>
      </w:r>
    </w:p>
    <w:p>
      <w:pPr>
        <w:ind w:left="189" w:hanging="189"/>
        <w:spacing w:after="0" w:line="223" w:lineRule="auto"/>
        <w:tabs>
          <w:tab w:leader="none" w:pos="189" w:val="left"/>
        </w:tabs>
        <w:numPr>
          <w:ilvl w:val="0"/>
          <w:numId w:val="6"/>
        </w:numPr>
        <w:rPr>
          <w:rFonts w:ascii="Calibri" w:cs="Calibri" w:eastAsia="Calibri" w:hAnsi="Calibri"/>
          <w:sz w:val="10"/>
          <w:szCs w:val="10"/>
          <w:color w:val="auto"/>
        </w:rPr>
      </w:pPr>
      <w:r>
        <w:rPr>
          <w:rFonts w:ascii="Calibri" w:cs="Calibri" w:eastAsia="Calibri" w:hAnsi="Calibri"/>
          <w:sz w:val="10"/>
          <w:szCs w:val="10"/>
          <w:color w:val="auto"/>
        </w:rPr>
        <w:t>Common Equity Tier I calculated based on IFRS Accountng.</w:t>
      </w:r>
    </w:p>
    <w:p>
      <w:pPr>
        <w:spacing w:after="0" w:line="240"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67" w:right="319" w:bottom="1440" w:gutter="0" w:footer="0" w:header="0"/>
        </w:sectPr>
      </w:pPr>
    </w:p>
    <w:bookmarkStart w:id="14" w:name="page15"/>
    <w:bookmarkEnd w:id="14"/>
    <w:p>
      <w:pPr>
        <w:ind w:left="2709"/>
        <w:spacing w:after="0"/>
        <w:tabs>
          <w:tab w:leader="none" w:pos="290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153910" cy="2590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910" cy="259080"/>
                    </a:xfrm>
                    <a:prstGeom prst="rect">
                      <a:avLst/>
                    </a:prstGeom>
                    <a:noFill/>
                  </pic:spPr>
                </pic:pic>
              </a:graphicData>
            </a:graphic>
          </wp:anchor>
        </w:drawing>
      </w:r>
    </w:p>
    <w:p>
      <w:pPr>
        <w:spacing w:after="0" w:line="324"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Credicorp’s Strategy Update</w:t>
      </w:r>
    </w:p>
    <w:p>
      <w:pPr>
        <w:spacing w:after="0" w:line="284" w:lineRule="exact"/>
        <w:rPr>
          <w:sz w:val="20"/>
          <w:szCs w:val="20"/>
          <w:color w:val="auto"/>
        </w:rPr>
      </w:pPr>
    </w:p>
    <w:p>
      <w:pPr>
        <w:ind w:left="9"/>
        <w:spacing w:after="0"/>
        <w:rPr>
          <w:sz w:val="20"/>
          <w:szCs w:val="20"/>
          <w:color w:val="auto"/>
        </w:rPr>
      </w:pPr>
      <w:r>
        <w:rPr>
          <w:rFonts w:ascii="Calibri" w:cs="Calibri" w:eastAsia="Calibri" w:hAnsi="Calibri"/>
          <w:sz w:val="27"/>
          <w:szCs w:val="27"/>
          <w:color w:val="E93CAC"/>
        </w:rPr>
        <w:t>Credicorp Strategy</w:t>
      </w:r>
    </w:p>
    <w:p>
      <w:pPr>
        <w:spacing w:after="0" w:line="140" w:lineRule="exact"/>
        <w:rPr>
          <w:sz w:val="20"/>
          <w:szCs w:val="20"/>
          <w:color w:val="auto"/>
        </w:rPr>
      </w:pPr>
    </w:p>
    <w:p>
      <w:pPr>
        <w:ind w:left="9"/>
        <w:spacing w:after="0" w:line="236" w:lineRule="auto"/>
        <w:rPr>
          <w:sz w:val="20"/>
          <w:szCs w:val="20"/>
          <w:color w:val="auto"/>
        </w:rPr>
      </w:pPr>
      <w:r>
        <w:rPr>
          <w:rFonts w:ascii="Calibri" w:cs="Calibri" w:eastAsia="Calibri" w:hAnsi="Calibri"/>
          <w:sz w:val="15"/>
          <w:szCs w:val="15"/>
          <w:color w:val="auto"/>
        </w:rPr>
        <w:t>Credicorp is advancing in its executon of a long-term strategy that focuses on three priorites: acceleratng digital transformaton and innovaton; ensuring with have the best talent in place; and integratng sustainability at the core of our businesses.</w:t>
      </w:r>
    </w:p>
    <w:p>
      <w:pPr>
        <w:spacing w:after="0" w:line="116" w:lineRule="exact"/>
        <w:rPr>
          <w:sz w:val="20"/>
          <w:szCs w:val="20"/>
          <w:color w:val="auto"/>
        </w:rPr>
      </w:pPr>
    </w:p>
    <w:p>
      <w:pPr>
        <w:ind w:left="9"/>
        <w:spacing w:after="0" w:line="236" w:lineRule="auto"/>
        <w:rPr>
          <w:sz w:val="20"/>
          <w:szCs w:val="20"/>
          <w:color w:val="auto"/>
        </w:rPr>
      </w:pPr>
      <w:r>
        <w:rPr>
          <w:rFonts w:ascii="Calibri" w:cs="Calibri" w:eastAsia="Calibri" w:hAnsi="Calibri"/>
          <w:sz w:val="15"/>
          <w:szCs w:val="15"/>
          <w:color w:val="auto"/>
        </w:rPr>
        <w:t>On June 20, 2023, we will hold Credicorp’s Investor Day in New York through a hybrid format. Senior Management will present relevant advances and provide details on how each business leverages its synergies and Credicorp’s new capacites to strengthen the Group’s sustainable growth.</w:t>
      </w:r>
    </w:p>
    <w:p>
      <w:pPr>
        <w:spacing w:after="0" w:line="124"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The following link contains details on this event htps://www.credicorpday.com/</w:t>
      </w:r>
    </w:p>
    <w:p>
      <w:pPr>
        <w:spacing w:after="0" w:line="114" w:lineRule="exact"/>
        <w:rPr>
          <w:sz w:val="20"/>
          <w:szCs w:val="20"/>
          <w:color w:val="auto"/>
        </w:rPr>
      </w:pPr>
    </w:p>
    <w:p>
      <w:pPr>
        <w:ind w:left="9"/>
        <w:spacing w:after="0"/>
        <w:rPr>
          <w:sz w:val="20"/>
          <w:szCs w:val="20"/>
          <w:color w:val="auto"/>
        </w:rPr>
      </w:pPr>
      <w:r>
        <w:rPr>
          <w:rFonts w:ascii="Calibri" w:cs="Calibri" w:eastAsia="Calibri" w:hAnsi="Calibri"/>
          <w:sz w:val="17"/>
          <w:szCs w:val="17"/>
          <w:b w:val="1"/>
          <w:bCs w:val="1"/>
          <w:color w:val="auto"/>
        </w:rPr>
        <w:t>Main KPIs of Credicorp’s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147320</wp:posOffset>
            </wp:positionV>
            <wp:extent cx="144145" cy="1295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4145" cy="129540"/>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147320</wp:posOffset>
            </wp:positionV>
            <wp:extent cx="158750" cy="1295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8750" cy="129540"/>
                    </a:xfrm>
                    <a:prstGeom prst="rect">
                      <a:avLst/>
                    </a:prstGeom>
                    <a:noFill/>
                  </pic:spPr>
                </pic:pic>
              </a:graphicData>
            </a:graphic>
          </wp:anchor>
        </w:drawing>
        <w:drawing>
          <wp:anchor simplePos="0" relativeHeight="251657728" behindDoc="1" locked="0" layoutInCell="0" allowOverlap="1">
            <wp:simplePos x="0" y="0"/>
            <wp:positionH relativeFrom="column">
              <wp:posOffset>5461000</wp:posOffset>
            </wp:positionH>
            <wp:positionV relativeFrom="paragraph">
              <wp:posOffset>147320</wp:posOffset>
            </wp:positionV>
            <wp:extent cx="122555" cy="1155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2555" cy="115570"/>
                    </a:xfrm>
                    <a:prstGeom prst="rect">
                      <a:avLst/>
                    </a:prstGeom>
                    <a:noFill/>
                  </pic:spPr>
                </pic:pic>
              </a:graphicData>
            </a:graphic>
          </wp:anchor>
        </w:drawing>
      </w:r>
    </w:p>
    <w:p>
      <w:pPr>
        <w:spacing w:after="0" w:line="212" w:lineRule="exact"/>
        <w:rPr>
          <w:sz w:val="20"/>
          <w:szCs w:val="20"/>
          <w:color w:val="auto"/>
        </w:rPr>
      </w:pPr>
    </w:p>
    <w:tbl>
      <w:tblPr>
        <w:tblLayout w:type="fixed"/>
        <w:tblInd w:w="19" w:type="dxa"/>
        <w:tblCellMar>
          <w:top w:w="0" w:type="dxa"/>
          <w:left w:w="0" w:type="dxa"/>
          <w:bottom w:w="0" w:type="dxa"/>
          <w:right w:w="0" w:type="dxa"/>
        </w:tblCellMar>
      </w:tblPr>
      <w:tr>
        <w:trPr>
          <w:trHeight w:val="240"/>
        </w:trPr>
        <w:tc>
          <w:tcPr>
            <w:tcW w:w="3320" w:type="dxa"/>
            <w:vAlign w:val="bottom"/>
            <w:tcBorders>
              <w:left w:val="single" w:sz="8" w:color="2AD2C9"/>
            </w:tcBorders>
            <w:shd w:val="clear" w:color="auto" w:fill="2AD2C9"/>
          </w:tcPr>
          <w:p>
            <w:pPr>
              <w:ind w:left="940"/>
              <w:spacing w:after="0"/>
              <w:rPr>
                <w:sz w:val="20"/>
                <w:szCs w:val="20"/>
                <w:color w:val="auto"/>
              </w:rPr>
            </w:pPr>
            <w:r>
              <w:rPr>
                <w:rFonts w:ascii="Calibri" w:cs="Calibri" w:eastAsia="Calibri" w:hAnsi="Calibri"/>
                <w:sz w:val="15"/>
                <w:szCs w:val="15"/>
                <w:b w:val="1"/>
                <w:bCs w:val="1"/>
                <w:color w:val="FFFFFF"/>
              </w:rPr>
              <w:t>Experience</w:t>
            </w:r>
          </w:p>
        </w:tc>
        <w:tc>
          <w:tcPr>
            <w:tcW w:w="2340" w:type="dxa"/>
            <w:vAlign w:val="bottom"/>
            <w:tcBorders>
              <w:right w:val="single" w:sz="8" w:color="2AD2C9"/>
            </w:tcBorders>
            <w:shd w:val="clear" w:color="auto" w:fill="2AD2C9"/>
          </w:tcPr>
          <w:p>
            <w:pPr>
              <w:ind w:left="480"/>
              <w:spacing w:after="0"/>
              <w:rPr>
                <w:sz w:val="20"/>
                <w:szCs w:val="20"/>
                <w:color w:val="auto"/>
              </w:rPr>
            </w:pPr>
            <w:r>
              <w:rPr>
                <w:rFonts w:ascii="Calibri" w:cs="Calibri" w:eastAsia="Calibri" w:hAnsi="Calibri"/>
                <w:sz w:val="15"/>
                <w:szCs w:val="15"/>
                <w:b w:val="1"/>
                <w:bCs w:val="1"/>
                <w:color w:val="FFFFFF"/>
              </w:rPr>
              <w:t>Efciency</w:t>
            </w:r>
          </w:p>
        </w:tc>
        <w:tc>
          <w:tcPr>
            <w:tcW w:w="1580" w:type="dxa"/>
            <w:vAlign w:val="bottom"/>
            <w:tcBorders>
              <w:right w:val="single" w:sz="8" w:color="2AD2C9"/>
            </w:tcBorders>
            <w:shd w:val="clear" w:color="auto" w:fill="2AD2C9"/>
          </w:tcPr>
          <w:p>
            <w:pPr>
              <w:spacing w:after="0"/>
              <w:rPr>
                <w:sz w:val="20"/>
                <w:szCs w:val="20"/>
                <w:color w:val="auto"/>
              </w:rPr>
            </w:pPr>
          </w:p>
        </w:tc>
        <w:tc>
          <w:tcPr>
            <w:tcW w:w="840" w:type="dxa"/>
            <w:vAlign w:val="bottom"/>
            <w:shd w:val="clear" w:color="auto" w:fill="2AD2C9"/>
          </w:tcPr>
          <w:p>
            <w:pPr>
              <w:spacing w:after="0"/>
              <w:rPr>
                <w:sz w:val="20"/>
                <w:szCs w:val="20"/>
                <w:color w:val="auto"/>
              </w:rPr>
            </w:pPr>
          </w:p>
        </w:tc>
        <w:tc>
          <w:tcPr>
            <w:tcW w:w="1860" w:type="dxa"/>
            <w:vAlign w:val="bottom"/>
            <w:shd w:val="clear" w:color="auto" w:fill="2AD2C9"/>
          </w:tcPr>
          <w:p>
            <w:pPr>
              <w:ind w:left="20"/>
              <w:spacing w:after="0"/>
              <w:rPr>
                <w:sz w:val="20"/>
                <w:szCs w:val="20"/>
                <w:color w:val="auto"/>
              </w:rPr>
            </w:pPr>
            <w:r>
              <w:rPr>
                <w:rFonts w:ascii="Calibri" w:cs="Calibri" w:eastAsia="Calibri" w:hAnsi="Calibri"/>
                <w:sz w:val="15"/>
                <w:szCs w:val="15"/>
                <w:b w:val="1"/>
                <w:bCs w:val="1"/>
                <w:color w:val="FFFFFF"/>
              </w:rPr>
              <w:t>Growth</w:t>
            </w:r>
          </w:p>
        </w:tc>
        <w:tc>
          <w:tcPr>
            <w:tcW w:w="1320" w:type="dxa"/>
            <w:vAlign w:val="bottom"/>
            <w:tcBorders>
              <w:right w:val="single" w:sz="8" w:color="2AD2C9"/>
            </w:tcBorders>
            <w:shd w:val="clear" w:color="auto" w:fill="2AD2C9"/>
          </w:tcPr>
          <w:p>
            <w:pPr>
              <w:spacing w:after="0"/>
              <w:rPr>
                <w:sz w:val="20"/>
                <w:szCs w:val="20"/>
                <w:color w:val="auto"/>
              </w:rPr>
            </w:pPr>
          </w:p>
        </w:tc>
      </w:tr>
      <w:tr>
        <w:trPr>
          <w:trHeight w:val="146"/>
        </w:trPr>
        <w:tc>
          <w:tcPr>
            <w:tcW w:w="3320" w:type="dxa"/>
            <w:vAlign w:val="bottom"/>
            <w:tcBorders>
              <w:left w:val="single" w:sz="8" w:color="2AD2C9"/>
            </w:tcBorders>
            <w:shd w:val="clear" w:color="auto" w:fill="2AD2C9"/>
          </w:tcPr>
          <w:p>
            <w:pPr>
              <w:spacing w:after="0"/>
              <w:rPr>
                <w:sz w:val="12"/>
                <w:szCs w:val="12"/>
                <w:color w:val="auto"/>
              </w:rPr>
            </w:pPr>
          </w:p>
        </w:tc>
        <w:tc>
          <w:tcPr>
            <w:tcW w:w="2340" w:type="dxa"/>
            <w:vAlign w:val="bottom"/>
            <w:tcBorders>
              <w:right w:val="single" w:sz="8" w:color="2AD2C9"/>
            </w:tcBorders>
            <w:shd w:val="clear" w:color="auto" w:fill="2AD2C9"/>
          </w:tcPr>
          <w:p>
            <w:pPr>
              <w:spacing w:after="0"/>
              <w:rPr>
                <w:sz w:val="12"/>
                <w:szCs w:val="12"/>
                <w:color w:val="auto"/>
              </w:rPr>
            </w:pPr>
          </w:p>
        </w:tc>
        <w:tc>
          <w:tcPr>
            <w:tcW w:w="1580" w:type="dxa"/>
            <w:vAlign w:val="bottom"/>
            <w:tcBorders>
              <w:right w:val="single" w:sz="8" w:color="2AD2C9"/>
            </w:tcBorders>
            <w:shd w:val="clear" w:color="auto" w:fill="2AD2C9"/>
          </w:tcPr>
          <w:p>
            <w:pPr>
              <w:spacing w:after="0"/>
              <w:rPr>
                <w:sz w:val="12"/>
                <w:szCs w:val="12"/>
                <w:color w:val="auto"/>
              </w:rPr>
            </w:pPr>
          </w:p>
        </w:tc>
        <w:tc>
          <w:tcPr>
            <w:tcW w:w="840" w:type="dxa"/>
            <w:vAlign w:val="bottom"/>
            <w:shd w:val="clear" w:color="auto" w:fill="2AD2C9"/>
          </w:tcPr>
          <w:p>
            <w:pPr>
              <w:spacing w:after="0"/>
              <w:rPr>
                <w:sz w:val="12"/>
                <w:szCs w:val="12"/>
                <w:color w:val="auto"/>
              </w:rPr>
            </w:pPr>
          </w:p>
        </w:tc>
        <w:tc>
          <w:tcPr>
            <w:tcW w:w="1860" w:type="dxa"/>
            <w:vAlign w:val="bottom"/>
            <w:shd w:val="clear" w:color="auto" w:fill="2AD2C9"/>
          </w:tcPr>
          <w:p>
            <w:pPr>
              <w:spacing w:after="0"/>
              <w:rPr>
                <w:sz w:val="12"/>
                <w:szCs w:val="12"/>
                <w:color w:val="auto"/>
              </w:rPr>
            </w:pPr>
          </w:p>
        </w:tc>
        <w:tc>
          <w:tcPr>
            <w:tcW w:w="1320" w:type="dxa"/>
            <w:vAlign w:val="bottom"/>
            <w:tcBorders>
              <w:right w:val="single" w:sz="8" w:color="2AD2C9"/>
            </w:tcBorders>
            <w:shd w:val="clear" w:color="auto" w:fill="2AD2C9"/>
          </w:tcPr>
          <w:p>
            <w:pPr>
              <w:spacing w:after="0"/>
              <w:rPr>
                <w:sz w:val="12"/>
                <w:szCs w:val="12"/>
                <w:color w:val="auto"/>
              </w:rPr>
            </w:pPr>
          </w:p>
        </w:tc>
      </w:tr>
      <w:tr>
        <w:trPr>
          <w:trHeight w:val="207"/>
        </w:trPr>
        <w:tc>
          <w:tcPr>
            <w:tcW w:w="33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07"/>
        </w:trPr>
        <w:tc>
          <w:tcPr>
            <w:tcW w:w="3320" w:type="dxa"/>
            <w:vAlign w:val="bottom"/>
            <w:tcBorders>
              <w:left w:val="single" w:sz="8" w:color="auto"/>
              <w:bottom w:val="single" w:sz="8" w:color="auto"/>
            </w:tcBorders>
            <w:shd w:val="clear" w:color="auto" w:fill="2AD2C9"/>
          </w:tcPr>
          <w:p>
            <w:pPr>
              <w:ind w:left="20"/>
              <w:spacing w:after="0" w:line="204" w:lineRule="exact"/>
              <w:rPr>
                <w:sz w:val="20"/>
                <w:szCs w:val="20"/>
                <w:color w:val="auto"/>
              </w:rPr>
            </w:pPr>
            <w:r>
              <w:rPr>
                <w:rFonts w:ascii="Calibri" w:cs="Calibri" w:eastAsia="Calibri" w:hAnsi="Calibri"/>
                <w:sz w:val="14"/>
                <w:szCs w:val="14"/>
                <w:b w:val="1"/>
                <w:bCs w:val="1"/>
                <w:i w:val="1"/>
                <w:iCs w:val="1"/>
                <w:color w:val="auto"/>
              </w:rPr>
              <w:t xml:space="preserve">Traditonal Business Transformaton </w:t>
            </w:r>
            <w:r>
              <w:rPr>
                <w:rFonts w:ascii="Calibri" w:cs="Calibri" w:eastAsia="Calibri" w:hAnsi="Calibri"/>
                <w:sz w:val="22"/>
                <w:szCs w:val="22"/>
                <w:b w:val="1"/>
                <w:bCs w:val="1"/>
                <w:i w:val="1"/>
                <w:iCs w:val="1"/>
                <w:color w:val="auto"/>
                <w:vertAlign w:val="superscript"/>
              </w:rPr>
              <w:t>(1)</w:t>
            </w:r>
          </w:p>
        </w:tc>
        <w:tc>
          <w:tcPr>
            <w:tcW w:w="2340" w:type="dxa"/>
            <w:vAlign w:val="bottom"/>
            <w:tcBorders>
              <w:bottom w:val="single" w:sz="8" w:color="auto"/>
              <w:right w:val="single" w:sz="8" w:color="auto"/>
            </w:tcBorders>
            <w:shd w:val="clear" w:color="auto" w:fill="2AD2C9"/>
          </w:tcPr>
          <w:p>
            <w:pPr>
              <w:spacing w:after="0"/>
              <w:rPr>
                <w:sz w:val="17"/>
                <w:szCs w:val="17"/>
                <w:color w:val="auto"/>
              </w:rPr>
            </w:pPr>
          </w:p>
        </w:tc>
        <w:tc>
          <w:tcPr>
            <w:tcW w:w="1580" w:type="dxa"/>
            <w:vAlign w:val="bottom"/>
            <w:tcBorders>
              <w:bottom w:val="single" w:sz="8" w:color="auto"/>
              <w:right w:val="single" w:sz="8" w:color="auto"/>
            </w:tcBorders>
            <w:shd w:val="clear" w:color="auto" w:fill="2AD2C9"/>
          </w:tcPr>
          <w:p>
            <w:pPr>
              <w:spacing w:after="0" w:line="180" w:lineRule="exact"/>
              <w:rPr>
                <w:sz w:val="20"/>
                <w:szCs w:val="20"/>
                <w:color w:val="auto"/>
              </w:rPr>
            </w:pPr>
            <w:r>
              <w:rPr>
                <w:rFonts w:ascii="Calibri" w:cs="Calibri" w:eastAsia="Calibri" w:hAnsi="Calibri"/>
                <w:sz w:val="15"/>
                <w:szCs w:val="15"/>
                <w:b w:val="1"/>
                <w:bCs w:val="1"/>
                <w:i w:val="1"/>
                <w:iCs w:val="1"/>
                <w:color w:val="auto"/>
              </w:rPr>
              <w:t>Subsidiary</w:t>
            </w:r>
          </w:p>
        </w:tc>
        <w:tc>
          <w:tcPr>
            <w:tcW w:w="840" w:type="dxa"/>
            <w:vAlign w:val="bottom"/>
            <w:tcBorders>
              <w:bottom w:val="single" w:sz="8" w:color="auto"/>
            </w:tcBorders>
            <w:shd w:val="clear" w:color="auto" w:fill="2AD2C9"/>
          </w:tcPr>
          <w:p>
            <w:pPr>
              <w:jc w:val="center"/>
              <w:ind w:left="444"/>
              <w:spacing w:after="0" w:line="180" w:lineRule="exact"/>
              <w:rPr>
                <w:sz w:val="20"/>
                <w:szCs w:val="20"/>
                <w:color w:val="auto"/>
              </w:rPr>
            </w:pPr>
            <w:r>
              <w:rPr>
                <w:rFonts w:ascii="Calibri" w:cs="Calibri" w:eastAsia="Calibri" w:hAnsi="Calibri"/>
                <w:sz w:val="15"/>
                <w:szCs w:val="15"/>
                <w:b w:val="1"/>
                <w:bCs w:val="1"/>
                <w:i w:val="1"/>
                <w:iCs w:val="1"/>
                <w:color w:val="auto"/>
                <w:w w:val="96"/>
              </w:rPr>
              <w:t>1Q22</w:t>
            </w:r>
          </w:p>
        </w:tc>
        <w:tc>
          <w:tcPr>
            <w:tcW w:w="1860" w:type="dxa"/>
            <w:vAlign w:val="bottom"/>
            <w:tcBorders>
              <w:bottom w:val="single" w:sz="8" w:color="auto"/>
            </w:tcBorders>
            <w:shd w:val="clear" w:color="auto" w:fill="2AD2C9"/>
          </w:tcPr>
          <w:p>
            <w:pPr>
              <w:jc w:val="center"/>
              <w:ind w:left="444"/>
              <w:spacing w:after="0" w:line="180" w:lineRule="exact"/>
              <w:rPr>
                <w:sz w:val="20"/>
                <w:szCs w:val="20"/>
                <w:color w:val="auto"/>
              </w:rPr>
            </w:pPr>
            <w:r>
              <w:rPr>
                <w:rFonts w:ascii="Calibri" w:cs="Calibri" w:eastAsia="Calibri" w:hAnsi="Calibri"/>
                <w:sz w:val="15"/>
                <w:szCs w:val="15"/>
                <w:b w:val="1"/>
                <w:bCs w:val="1"/>
                <w:i w:val="1"/>
                <w:iCs w:val="1"/>
                <w:color w:val="auto"/>
              </w:rPr>
              <w:t>4Q22</w:t>
            </w:r>
          </w:p>
        </w:tc>
        <w:tc>
          <w:tcPr>
            <w:tcW w:w="1320" w:type="dxa"/>
            <w:vAlign w:val="bottom"/>
            <w:tcBorders>
              <w:bottom w:val="single" w:sz="8" w:color="auto"/>
              <w:right w:val="single" w:sz="8" w:color="auto"/>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i w:val="1"/>
                <w:iCs w:val="1"/>
                <w:color w:val="auto"/>
                <w:w w:val="96"/>
              </w:rPr>
              <w:t>1Q23</w:t>
            </w:r>
          </w:p>
        </w:tc>
      </w:tr>
      <w:tr>
        <w:trPr>
          <w:trHeight w:val="179"/>
        </w:trPr>
        <w:tc>
          <w:tcPr>
            <w:tcW w:w="3320" w:type="dxa"/>
            <w:vAlign w:val="bottom"/>
            <w:tcBorders>
              <w:lef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i w:val="1"/>
                <w:iCs w:val="1"/>
                <w:color w:val="auto"/>
              </w:rPr>
              <w:t>Day to Day</w:t>
            </w:r>
          </w:p>
        </w:tc>
        <w:tc>
          <w:tcPr>
            <w:tcW w:w="2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313"/>
        </w:trPr>
        <w:tc>
          <w:tcPr>
            <w:tcW w:w="3320" w:type="dxa"/>
            <w:vAlign w:val="bottom"/>
            <w:tcBorders>
              <w:left w:val="single" w:sz="8" w:color="auto"/>
            </w:tcBorders>
          </w:tcPr>
          <w:p>
            <w:pPr>
              <w:ind w:left="20"/>
              <w:spacing w:after="0"/>
              <w:rPr>
                <w:sz w:val="20"/>
                <w:szCs w:val="20"/>
                <w:color w:val="auto"/>
              </w:rPr>
            </w:pPr>
            <w:r>
              <w:rPr>
                <w:rFonts w:ascii="Calibri" w:cs="Calibri" w:eastAsia="Calibri" w:hAnsi="Calibri"/>
                <w:sz w:val="15"/>
                <w:szCs w:val="15"/>
                <w:color w:val="auto"/>
              </w:rPr>
              <w:t xml:space="preserve">Digital monetary transactons </w:t>
            </w:r>
            <w:r>
              <w:rPr>
                <w:rFonts w:ascii="Calibri" w:cs="Calibri" w:eastAsia="Calibri" w:hAnsi="Calibri"/>
                <w:sz w:val="25"/>
                <w:szCs w:val="25"/>
                <w:color w:val="auto"/>
                <w:vertAlign w:val="superscript"/>
              </w:rPr>
              <w:t>(2)</w:t>
            </w:r>
          </w:p>
        </w:tc>
        <w:tc>
          <w:tcPr>
            <w:tcW w:w="234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0"/>
                <w:szCs w:val="20"/>
                <w:color w:val="auto"/>
              </w:rPr>
            </w:pPr>
            <w:r>
              <w:rPr>
                <w:rFonts w:ascii="Calibri" w:cs="Calibri" w:eastAsia="Calibri" w:hAnsi="Calibri"/>
                <w:sz w:val="15"/>
                <w:szCs w:val="15"/>
                <w:i w:val="1"/>
                <w:iCs w:val="1"/>
                <w:color w:val="auto"/>
              </w:rPr>
              <w:t>BCP</w:t>
            </w: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9"/>
              </w:rPr>
              <w:t>52%</w:t>
            </w:r>
          </w:p>
        </w:tc>
        <w:tc>
          <w:tcPr>
            <w:tcW w:w="1860" w:type="dxa"/>
            <w:vAlign w:val="bottom"/>
          </w:tcPr>
          <w:p>
            <w:pPr>
              <w:jc w:val="center"/>
              <w:ind w:left="444"/>
              <w:spacing w:after="0"/>
              <w:rPr>
                <w:sz w:val="20"/>
                <w:szCs w:val="20"/>
                <w:color w:val="auto"/>
              </w:rPr>
            </w:pPr>
            <w:r>
              <w:rPr>
                <w:rFonts w:ascii="Arial" w:cs="Arial" w:eastAsia="Arial" w:hAnsi="Arial"/>
                <w:sz w:val="15"/>
                <w:szCs w:val="15"/>
                <w:color w:val="auto"/>
                <w:w w:val="99"/>
              </w:rPr>
              <w:t>65%</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69%</w:t>
            </w:r>
          </w:p>
        </w:tc>
      </w:tr>
      <w:tr>
        <w:trPr>
          <w:trHeight w:val="214"/>
        </w:trPr>
        <w:tc>
          <w:tcPr>
            <w:tcW w:w="3320" w:type="dxa"/>
            <w:vAlign w:val="bottom"/>
            <w:tcBorders>
              <w:lef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Transactonal cost by unit</w:t>
            </w:r>
          </w:p>
        </w:tc>
        <w:tc>
          <w:tcPr>
            <w:tcW w:w="23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line="180" w:lineRule="exact"/>
              <w:rPr>
                <w:sz w:val="20"/>
                <w:szCs w:val="20"/>
                <w:color w:val="auto"/>
              </w:rPr>
            </w:pPr>
            <w:r>
              <w:rPr>
                <w:rFonts w:ascii="Calibri" w:cs="Calibri" w:eastAsia="Calibri" w:hAnsi="Calibri"/>
                <w:sz w:val="15"/>
                <w:szCs w:val="15"/>
                <w:i w:val="1"/>
                <w:iCs w:val="1"/>
                <w:color w:val="auto"/>
              </w:rPr>
              <w:t>BCP</w:t>
            </w:r>
          </w:p>
        </w:tc>
        <w:tc>
          <w:tcPr>
            <w:tcW w:w="840" w:type="dxa"/>
            <w:vAlign w:val="bottom"/>
          </w:tcPr>
          <w:p>
            <w:pPr>
              <w:jc w:val="center"/>
              <w:ind w:left="424"/>
              <w:spacing w:after="0"/>
              <w:rPr>
                <w:sz w:val="20"/>
                <w:szCs w:val="20"/>
                <w:color w:val="auto"/>
              </w:rPr>
            </w:pPr>
            <w:r>
              <w:rPr>
                <w:rFonts w:ascii="Arial" w:cs="Arial" w:eastAsia="Arial" w:hAnsi="Arial"/>
                <w:sz w:val="15"/>
                <w:szCs w:val="15"/>
                <w:color w:val="auto"/>
              </w:rPr>
              <w:t>0.15</w:t>
            </w:r>
          </w:p>
        </w:tc>
        <w:tc>
          <w:tcPr>
            <w:tcW w:w="1860" w:type="dxa"/>
            <w:vAlign w:val="bottom"/>
          </w:tcPr>
          <w:p>
            <w:pPr>
              <w:jc w:val="center"/>
              <w:ind w:left="444"/>
              <w:spacing w:after="0"/>
              <w:rPr>
                <w:sz w:val="20"/>
                <w:szCs w:val="20"/>
                <w:color w:val="auto"/>
              </w:rPr>
            </w:pPr>
            <w:r>
              <w:rPr>
                <w:rFonts w:ascii="Arial" w:cs="Arial" w:eastAsia="Arial" w:hAnsi="Arial"/>
                <w:sz w:val="15"/>
                <w:szCs w:val="15"/>
                <w:color w:val="auto"/>
              </w:rPr>
              <w:t>0.08</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0.08</w:t>
            </w:r>
          </w:p>
        </w:tc>
      </w:tr>
      <w:tr>
        <w:trPr>
          <w:trHeight w:val="285"/>
        </w:trPr>
        <w:tc>
          <w:tcPr>
            <w:tcW w:w="3320" w:type="dxa"/>
            <w:vAlign w:val="bottom"/>
            <w:tcBorders>
              <w:left w:val="single" w:sz="8" w:color="auto"/>
            </w:tcBorders>
          </w:tcPr>
          <w:p>
            <w:pPr>
              <w:ind w:left="20"/>
              <w:spacing w:after="0" w:line="285" w:lineRule="exact"/>
              <w:rPr>
                <w:sz w:val="20"/>
                <w:szCs w:val="20"/>
                <w:color w:val="auto"/>
              </w:rPr>
            </w:pPr>
            <w:r>
              <w:rPr>
                <w:rFonts w:ascii="Calibri" w:cs="Calibri" w:eastAsia="Calibri" w:hAnsi="Calibri"/>
                <w:sz w:val="15"/>
                <w:szCs w:val="15"/>
                <w:color w:val="auto"/>
              </w:rPr>
              <w:t xml:space="preserve">Disbursements through leads </w:t>
            </w:r>
            <w:r>
              <w:rPr>
                <w:rFonts w:ascii="Calibri" w:cs="Calibri" w:eastAsia="Calibri" w:hAnsi="Calibri"/>
                <w:sz w:val="25"/>
                <w:szCs w:val="25"/>
                <w:color w:val="auto"/>
                <w:vertAlign w:val="superscript"/>
              </w:rPr>
              <w:t>(3)</w:t>
            </w:r>
          </w:p>
        </w:tc>
        <w:tc>
          <w:tcPr>
            <w:tcW w:w="234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0"/>
                <w:szCs w:val="20"/>
                <w:color w:val="auto"/>
              </w:rPr>
            </w:pPr>
            <w:r>
              <w:rPr>
                <w:rFonts w:ascii="Calibri" w:cs="Calibri" w:eastAsia="Calibri" w:hAnsi="Calibri"/>
                <w:sz w:val="15"/>
                <w:szCs w:val="15"/>
                <w:i w:val="1"/>
                <w:iCs w:val="1"/>
                <w:color w:val="auto"/>
              </w:rPr>
              <w:t>Mibanco</w:t>
            </w: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9"/>
              </w:rPr>
              <w:t>77%</w:t>
            </w:r>
          </w:p>
        </w:tc>
        <w:tc>
          <w:tcPr>
            <w:tcW w:w="1860" w:type="dxa"/>
            <w:vAlign w:val="bottom"/>
          </w:tcPr>
          <w:p>
            <w:pPr>
              <w:jc w:val="center"/>
              <w:ind w:left="444"/>
              <w:spacing w:after="0"/>
              <w:rPr>
                <w:sz w:val="20"/>
                <w:szCs w:val="20"/>
                <w:color w:val="auto"/>
              </w:rPr>
            </w:pPr>
            <w:r>
              <w:rPr>
                <w:rFonts w:ascii="Arial" w:cs="Arial" w:eastAsia="Arial" w:hAnsi="Arial"/>
                <w:sz w:val="15"/>
                <w:szCs w:val="15"/>
                <w:color w:val="auto"/>
                <w:w w:val="99"/>
              </w:rPr>
              <w:t>76%</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77%</w:t>
            </w:r>
          </w:p>
        </w:tc>
      </w:tr>
      <w:tr>
        <w:trPr>
          <w:trHeight w:val="250"/>
        </w:trPr>
        <w:tc>
          <w:tcPr>
            <w:tcW w:w="3320" w:type="dxa"/>
            <w:vAlign w:val="bottom"/>
            <w:tcBorders>
              <w:left w:val="single" w:sz="8" w:color="auto"/>
            </w:tcBorders>
          </w:tcPr>
          <w:p>
            <w:pPr>
              <w:ind w:left="20"/>
              <w:spacing w:after="0" w:line="250" w:lineRule="exact"/>
              <w:rPr>
                <w:sz w:val="20"/>
                <w:szCs w:val="20"/>
                <w:color w:val="auto"/>
              </w:rPr>
            </w:pPr>
            <w:r>
              <w:rPr>
                <w:rFonts w:ascii="Calibri" w:cs="Calibri" w:eastAsia="Calibri" w:hAnsi="Calibri"/>
                <w:sz w:val="15"/>
                <w:szCs w:val="15"/>
                <w:color w:val="auto"/>
              </w:rPr>
              <w:t xml:space="preserve">Disbursements through alternatve channels </w:t>
            </w:r>
            <w:r>
              <w:rPr>
                <w:rFonts w:ascii="Calibri" w:cs="Calibri" w:eastAsia="Calibri" w:hAnsi="Calibri"/>
                <w:sz w:val="25"/>
                <w:szCs w:val="25"/>
                <w:color w:val="auto"/>
                <w:vertAlign w:val="superscript"/>
              </w:rPr>
              <w:t>(4)</w:t>
            </w:r>
          </w:p>
        </w:tc>
        <w:tc>
          <w:tcPr>
            <w:tcW w:w="23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line="180" w:lineRule="exact"/>
              <w:rPr>
                <w:sz w:val="20"/>
                <w:szCs w:val="20"/>
                <w:color w:val="auto"/>
              </w:rPr>
            </w:pPr>
            <w:r>
              <w:rPr>
                <w:rFonts w:ascii="Calibri" w:cs="Calibri" w:eastAsia="Calibri" w:hAnsi="Calibri"/>
                <w:sz w:val="15"/>
                <w:szCs w:val="15"/>
                <w:i w:val="1"/>
                <w:iCs w:val="1"/>
                <w:color w:val="auto"/>
              </w:rPr>
              <w:t>Mibanco</w:t>
            </w: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9"/>
              </w:rPr>
              <w:t>46%</w:t>
            </w:r>
          </w:p>
        </w:tc>
        <w:tc>
          <w:tcPr>
            <w:tcW w:w="1860" w:type="dxa"/>
            <w:vAlign w:val="bottom"/>
          </w:tcPr>
          <w:p>
            <w:pPr>
              <w:jc w:val="center"/>
              <w:ind w:left="444"/>
              <w:spacing w:after="0"/>
              <w:rPr>
                <w:sz w:val="20"/>
                <w:szCs w:val="20"/>
                <w:color w:val="auto"/>
              </w:rPr>
            </w:pPr>
            <w:r>
              <w:rPr>
                <w:rFonts w:ascii="Arial" w:cs="Arial" w:eastAsia="Arial" w:hAnsi="Arial"/>
                <w:sz w:val="15"/>
                <w:szCs w:val="15"/>
                <w:color w:val="auto"/>
                <w:w w:val="99"/>
              </w:rPr>
              <w:t>45%</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43%</w:t>
            </w:r>
          </w:p>
        </w:tc>
      </w:tr>
      <w:tr>
        <w:trPr>
          <w:trHeight w:val="214"/>
        </w:trPr>
        <w:tc>
          <w:tcPr>
            <w:tcW w:w="3320" w:type="dxa"/>
            <w:vAlign w:val="bottom"/>
            <w:tcBorders>
              <w:left w:val="single" w:sz="8" w:color="auto"/>
              <w:bottom w:val="single" w:sz="8" w:color="auto"/>
            </w:tcBorders>
          </w:tcPr>
          <w:p>
            <w:pPr>
              <w:ind w:left="20"/>
              <w:spacing w:after="0" w:line="211" w:lineRule="exact"/>
              <w:rPr>
                <w:sz w:val="20"/>
                <w:szCs w:val="20"/>
                <w:color w:val="auto"/>
              </w:rPr>
            </w:pPr>
            <w:r>
              <w:rPr>
                <w:rFonts w:ascii="Calibri" w:cs="Calibri" w:eastAsia="Calibri" w:hAnsi="Calibri"/>
                <w:sz w:val="14"/>
                <w:szCs w:val="14"/>
                <w:color w:val="auto"/>
              </w:rPr>
              <w:t xml:space="preserve">Mibanco Productvity </w:t>
            </w:r>
            <w:r>
              <w:rPr>
                <w:rFonts w:ascii="Calibri" w:cs="Calibri" w:eastAsia="Calibri" w:hAnsi="Calibri"/>
                <w:sz w:val="23"/>
                <w:szCs w:val="23"/>
                <w:color w:val="auto"/>
                <w:vertAlign w:val="superscript"/>
              </w:rPr>
              <w:t>(5)</w:t>
            </w:r>
          </w:p>
        </w:tc>
        <w:tc>
          <w:tcPr>
            <w:tcW w:w="23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line="180" w:lineRule="exact"/>
              <w:rPr>
                <w:sz w:val="20"/>
                <w:szCs w:val="20"/>
                <w:color w:val="auto"/>
              </w:rPr>
            </w:pPr>
            <w:r>
              <w:rPr>
                <w:rFonts w:ascii="Calibri" w:cs="Calibri" w:eastAsia="Calibri" w:hAnsi="Calibri"/>
                <w:sz w:val="15"/>
                <w:szCs w:val="15"/>
                <w:i w:val="1"/>
                <w:iCs w:val="1"/>
                <w:color w:val="auto"/>
              </w:rPr>
              <w:t>Mibanco</w:t>
            </w:r>
          </w:p>
        </w:tc>
        <w:tc>
          <w:tcPr>
            <w:tcW w:w="840" w:type="dxa"/>
            <w:vAlign w:val="bottom"/>
            <w:tcBorders>
              <w:bottom w:val="single" w:sz="8" w:color="auto"/>
            </w:tcBorders>
          </w:tcPr>
          <w:p>
            <w:pPr>
              <w:jc w:val="center"/>
              <w:ind w:left="424"/>
              <w:spacing w:after="0"/>
              <w:rPr>
                <w:sz w:val="20"/>
                <w:szCs w:val="20"/>
                <w:color w:val="auto"/>
              </w:rPr>
            </w:pPr>
            <w:r>
              <w:rPr>
                <w:rFonts w:ascii="Arial" w:cs="Arial" w:eastAsia="Arial" w:hAnsi="Arial"/>
                <w:sz w:val="15"/>
                <w:szCs w:val="15"/>
                <w:color w:val="auto"/>
              </w:rPr>
              <w:t>28.8</w:t>
            </w:r>
          </w:p>
        </w:tc>
        <w:tc>
          <w:tcPr>
            <w:tcW w:w="1860" w:type="dxa"/>
            <w:vAlign w:val="bottom"/>
            <w:tcBorders>
              <w:bottom w:val="single" w:sz="8" w:color="auto"/>
            </w:tcBorders>
          </w:tcPr>
          <w:p>
            <w:pPr>
              <w:jc w:val="center"/>
              <w:ind w:left="444"/>
              <w:spacing w:after="0"/>
              <w:rPr>
                <w:sz w:val="20"/>
                <w:szCs w:val="20"/>
                <w:color w:val="auto"/>
              </w:rPr>
            </w:pPr>
            <w:r>
              <w:rPr>
                <w:rFonts w:ascii="Arial" w:cs="Arial" w:eastAsia="Arial" w:hAnsi="Arial"/>
                <w:sz w:val="15"/>
                <w:szCs w:val="15"/>
                <w:color w:val="auto"/>
              </w:rPr>
              <w:t>25.9</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28.0</w:t>
            </w:r>
          </w:p>
        </w:tc>
      </w:tr>
      <w:tr>
        <w:trPr>
          <w:trHeight w:val="179"/>
        </w:trPr>
        <w:tc>
          <w:tcPr>
            <w:tcW w:w="3320" w:type="dxa"/>
            <w:vAlign w:val="bottom"/>
            <w:tcBorders>
              <w:lef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i w:val="1"/>
                <w:iCs w:val="1"/>
                <w:color w:val="auto"/>
              </w:rPr>
              <w:t>Cashless</w:t>
            </w:r>
          </w:p>
        </w:tc>
        <w:tc>
          <w:tcPr>
            <w:tcW w:w="2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267"/>
        </w:trPr>
        <w:tc>
          <w:tcPr>
            <w:tcW w:w="3320" w:type="dxa"/>
            <w:vAlign w:val="bottom"/>
            <w:tcBorders>
              <w:left w:val="single" w:sz="8" w:color="auto"/>
            </w:tcBorders>
          </w:tcPr>
          <w:p>
            <w:pPr>
              <w:ind w:left="20"/>
              <w:spacing w:after="0" w:line="268" w:lineRule="exact"/>
              <w:rPr>
                <w:sz w:val="20"/>
                <w:szCs w:val="20"/>
                <w:color w:val="auto"/>
              </w:rPr>
            </w:pPr>
            <w:r>
              <w:rPr>
                <w:rFonts w:ascii="Calibri" w:cs="Calibri" w:eastAsia="Calibri" w:hAnsi="Calibri"/>
                <w:sz w:val="15"/>
                <w:szCs w:val="15"/>
                <w:color w:val="auto"/>
              </w:rPr>
              <w:t xml:space="preserve">Cashless transactons </w:t>
            </w:r>
            <w:r>
              <w:rPr>
                <w:rFonts w:ascii="Calibri" w:cs="Calibri" w:eastAsia="Calibri" w:hAnsi="Calibri"/>
                <w:sz w:val="25"/>
                <w:szCs w:val="25"/>
                <w:color w:val="auto"/>
                <w:vertAlign w:val="superscript"/>
              </w:rPr>
              <w:t>(6)</w:t>
            </w:r>
          </w:p>
        </w:tc>
        <w:tc>
          <w:tcPr>
            <w:tcW w:w="23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0"/>
                <w:szCs w:val="20"/>
                <w:color w:val="auto"/>
              </w:rPr>
            </w:pPr>
            <w:r>
              <w:rPr>
                <w:rFonts w:ascii="Calibri" w:cs="Calibri" w:eastAsia="Calibri" w:hAnsi="Calibri"/>
                <w:sz w:val="15"/>
                <w:szCs w:val="15"/>
                <w:i w:val="1"/>
                <w:iCs w:val="1"/>
                <w:color w:val="auto"/>
              </w:rPr>
              <w:t>BCP</w:t>
            </w: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9"/>
              </w:rPr>
              <w:t>36%</w:t>
            </w:r>
          </w:p>
        </w:tc>
        <w:tc>
          <w:tcPr>
            <w:tcW w:w="1860" w:type="dxa"/>
            <w:vAlign w:val="bottom"/>
          </w:tcPr>
          <w:p>
            <w:pPr>
              <w:jc w:val="center"/>
              <w:ind w:left="444"/>
              <w:spacing w:after="0"/>
              <w:rPr>
                <w:sz w:val="20"/>
                <w:szCs w:val="20"/>
                <w:color w:val="auto"/>
              </w:rPr>
            </w:pPr>
            <w:r>
              <w:rPr>
                <w:rFonts w:ascii="Arial" w:cs="Arial" w:eastAsia="Arial" w:hAnsi="Arial"/>
                <w:sz w:val="15"/>
                <w:szCs w:val="15"/>
                <w:color w:val="auto"/>
                <w:w w:val="99"/>
              </w:rPr>
              <w:t>48%</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48%</w:t>
            </w:r>
          </w:p>
        </w:tc>
      </w:tr>
      <w:tr>
        <w:trPr>
          <w:trHeight w:val="214"/>
        </w:trPr>
        <w:tc>
          <w:tcPr>
            <w:tcW w:w="3320" w:type="dxa"/>
            <w:vAlign w:val="bottom"/>
            <w:tcBorders>
              <w:left w:val="single" w:sz="8" w:color="auto"/>
              <w:bottom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Mobile Banking ratng</w:t>
            </w:r>
          </w:p>
        </w:tc>
        <w:tc>
          <w:tcPr>
            <w:tcW w:w="23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line="180" w:lineRule="exact"/>
              <w:rPr>
                <w:sz w:val="20"/>
                <w:szCs w:val="20"/>
                <w:color w:val="auto"/>
              </w:rPr>
            </w:pPr>
            <w:r>
              <w:rPr>
                <w:rFonts w:ascii="Calibri" w:cs="Calibri" w:eastAsia="Calibri" w:hAnsi="Calibri"/>
                <w:sz w:val="15"/>
                <w:szCs w:val="15"/>
                <w:i w:val="1"/>
                <w:iCs w:val="1"/>
                <w:color w:val="auto"/>
              </w:rPr>
              <w:t>BCP</w:t>
            </w:r>
          </w:p>
        </w:tc>
        <w:tc>
          <w:tcPr>
            <w:tcW w:w="840" w:type="dxa"/>
            <w:vAlign w:val="bottom"/>
            <w:tcBorders>
              <w:bottom w:val="single" w:sz="8" w:color="auto"/>
            </w:tcBorders>
          </w:tcPr>
          <w:p>
            <w:pPr>
              <w:jc w:val="center"/>
              <w:ind w:left="444"/>
              <w:spacing w:after="0"/>
              <w:rPr>
                <w:sz w:val="20"/>
                <w:szCs w:val="20"/>
                <w:color w:val="auto"/>
              </w:rPr>
            </w:pPr>
            <w:r>
              <w:rPr>
                <w:rFonts w:ascii="Arial" w:cs="Arial" w:eastAsia="Arial" w:hAnsi="Arial"/>
                <w:sz w:val="15"/>
                <w:szCs w:val="15"/>
                <w:color w:val="auto"/>
                <w:w w:val="95"/>
              </w:rPr>
              <w:t>4.3</w:t>
            </w:r>
          </w:p>
        </w:tc>
        <w:tc>
          <w:tcPr>
            <w:tcW w:w="1860" w:type="dxa"/>
            <w:vAlign w:val="bottom"/>
            <w:tcBorders>
              <w:bottom w:val="single" w:sz="8" w:color="auto"/>
            </w:tcBorders>
          </w:tcPr>
          <w:p>
            <w:pPr>
              <w:jc w:val="center"/>
              <w:ind w:left="444"/>
              <w:spacing w:after="0"/>
              <w:rPr>
                <w:sz w:val="20"/>
                <w:szCs w:val="20"/>
                <w:color w:val="auto"/>
              </w:rPr>
            </w:pPr>
            <w:r>
              <w:rPr>
                <w:rFonts w:ascii="Arial" w:cs="Arial" w:eastAsia="Arial" w:hAnsi="Arial"/>
                <w:sz w:val="15"/>
                <w:szCs w:val="15"/>
                <w:color w:val="auto"/>
              </w:rPr>
              <w:t>3.7</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3.7</w:t>
            </w:r>
          </w:p>
        </w:tc>
      </w:tr>
      <w:tr>
        <w:trPr>
          <w:trHeight w:val="179"/>
        </w:trPr>
        <w:tc>
          <w:tcPr>
            <w:tcW w:w="3320" w:type="dxa"/>
            <w:vAlign w:val="bottom"/>
            <w:tcBorders>
              <w:lef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i w:val="1"/>
                <w:iCs w:val="1"/>
                <w:color w:val="auto"/>
              </w:rPr>
              <w:t>Digital Acquisiton</w:t>
            </w:r>
          </w:p>
        </w:tc>
        <w:tc>
          <w:tcPr>
            <w:tcW w:w="23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277"/>
        </w:trPr>
        <w:tc>
          <w:tcPr>
            <w:tcW w:w="3320" w:type="dxa"/>
            <w:vAlign w:val="bottom"/>
            <w:tcBorders>
              <w:left w:val="single" w:sz="8" w:color="auto"/>
              <w:bottom w:val="single" w:sz="8" w:color="auto"/>
            </w:tcBorders>
          </w:tcPr>
          <w:p>
            <w:pPr>
              <w:ind w:left="20"/>
              <w:spacing w:after="0" w:line="274" w:lineRule="exact"/>
              <w:rPr>
                <w:sz w:val="20"/>
                <w:szCs w:val="20"/>
                <w:color w:val="auto"/>
              </w:rPr>
            </w:pPr>
            <w:r>
              <w:rPr>
                <w:rFonts w:ascii="Calibri" w:cs="Calibri" w:eastAsia="Calibri" w:hAnsi="Calibri"/>
                <w:sz w:val="15"/>
                <w:szCs w:val="15"/>
                <w:color w:val="auto"/>
              </w:rPr>
              <w:t xml:space="preserve">Digital sales </w:t>
            </w:r>
            <w:r>
              <w:rPr>
                <w:rFonts w:ascii="Calibri" w:cs="Calibri" w:eastAsia="Calibri" w:hAnsi="Calibri"/>
                <w:sz w:val="25"/>
                <w:szCs w:val="25"/>
                <w:color w:val="auto"/>
                <w:vertAlign w:val="superscript"/>
              </w:rPr>
              <w:t>(7)</w:t>
            </w:r>
          </w:p>
        </w:tc>
        <w:tc>
          <w:tcPr>
            <w:tcW w:w="23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Calibri" w:cs="Calibri" w:eastAsia="Calibri" w:hAnsi="Calibri"/>
                <w:sz w:val="15"/>
                <w:szCs w:val="15"/>
                <w:i w:val="1"/>
                <w:iCs w:val="1"/>
                <w:color w:val="auto"/>
              </w:rPr>
              <w:t>BCP</w:t>
            </w:r>
          </w:p>
        </w:tc>
        <w:tc>
          <w:tcPr>
            <w:tcW w:w="840" w:type="dxa"/>
            <w:vAlign w:val="bottom"/>
            <w:tcBorders>
              <w:bottom w:val="single" w:sz="8" w:color="auto"/>
            </w:tcBorders>
          </w:tcPr>
          <w:p>
            <w:pPr>
              <w:jc w:val="center"/>
              <w:ind w:left="424"/>
              <w:spacing w:after="0"/>
              <w:rPr>
                <w:sz w:val="20"/>
                <w:szCs w:val="20"/>
                <w:color w:val="auto"/>
              </w:rPr>
            </w:pPr>
            <w:r>
              <w:rPr>
                <w:rFonts w:ascii="Arial" w:cs="Arial" w:eastAsia="Arial" w:hAnsi="Arial"/>
                <w:sz w:val="15"/>
                <w:szCs w:val="15"/>
                <w:color w:val="auto"/>
                <w:w w:val="99"/>
              </w:rPr>
              <w:t>50%</w:t>
            </w:r>
          </w:p>
        </w:tc>
        <w:tc>
          <w:tcPr>
            <w:tcW w:w="1860" w:type="dxa"/>
            <w:vAlign w:val="bottom"/>
            <w:tcBorders>
              <w:bottom w:val="single" w:sz="8" w:color="auto"/>
            </w:tcBorders>
          </w:tcPr>
          <w:p>
            <w:pPr>
              <w:jc w:val="center"/>
              <w:ind w:left="444"/>
              <w:spacing w:after="0"/>
              <w:rPr>
                <w:sz w:val="20"/>
                <w:szCs w:val="20"/>
                <w:color w:val="auto"/>
              </w:rPr>
            </w:pPr>
            <w:r>
              <w:rPr>
                <w:rFonts w:ascii="Arial" w:cs="Arial" w:eastAsia="Arial" w:hAnsi="Arial"/>
                <w:sz w:val="15"/>
                <w:szCs w:val="15"/>
                <w:color w:val="auto"/>
                <w:w w:val="99"/>
              </w:rPr>
              <w:t>61%</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3249295</wp:posOffset>
            </wp:positionH>
            <wp:positionV relativeFrom="paragraph">
              <wp:posOffset>-1534160</wp:posOffset>
            </wp:positionV>
            <wp:extent cx="122555" cy="1225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2555" cy="12255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-1375410</wp:posOffset>
            </wp:positionV>
            <wp:extent cx="122555" cy="1225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2555" cy="12255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-1216660</wp:posOffset>
            </wp:positionV>
            <wp:extent cx="122555" cy="1225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2555" cy="12255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-1058545</wp:posOffset>
            </wp:positionV>
            <wp:extent cx="122555" cy="1225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2555" cy="12255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-899795</wp:posOffset>
            </wp:positionV>
            <wp:extent cx="122555" cy="1225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2555" cy="12255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-597535</wp:posOffset>
            </wp:positionV>
            <wp:extent cx="122555" cy="1225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2555" cy="1225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-294640</wp:posOffset>
            </wp:positionV>
            <wp:extent cx="93345" cy="933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345" cy="9334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-165100</wp:posOffset>
            </wp:positionV>
            <wp:extent cx="122555" cy="1225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ind w:left="129" w:hanging="129"/>
        <w:spacing w:after="0" w:line="203" w:lineRule="auto"/>
        <w:tabs>
          <w:tab w:leader="none" w:pos="129" w:val="left"/>
        </w:tabs>
        <w:numPr>
          <w:ilvl w:val="0"/>
          <w:numId w:val="7"/>
        </w:numPr>
        <w:rPr>
          <w:rFonts w:ascii="Calibri" w:cs="Calibri" w:eastAsia="Calibri" w:hAnsi="Calibri"/>
          <w:sz w:val="10"/>
          <w:szCs w:val="10"/>
          <w:color w:val="auto"/>
        </w:rPr>
      </w:pPr>
      <w:r>
        <w:rPr>
          <w:rFonts w:ascii="Calibri" w:cs="Calibri" w:eastAsia="Calibri" w:hAnsi="Calibri"/>
          <w:sz w:val="10"/>
          <w:szCs w:val="10"/>
          <w:color w:val="auto"/>
        </w:rPr>
        <w:t>Figures for March 2022, December 2022, and March 2022</w:t>
      </w:r>
    </w:p>
    <w:p>
      <w:pPr>
        <w:ind w:left="129" w:hanging="129"/>
        <w:spacing w:after="0" w:line="223" w:lineRule="auto"/>
        <w:tabs>
          <w:tab w:leader="none" w:pos="129" w:val="left"/>
        </w:tabs>
        <w:numPr>
          <w:ilvl w:val="0"/>
          <w:numId w:val="7"/>
        </w:numPr>
        <w:rPr>
          <w:rFonts w:ascii="Calibri" w:cs="Calibri" w:eastAsia="Calibri" w:hAnsi="Calibri"/>
          <w:sz w:val="10"/>
          <w:szCs w:val="10"/>
          <w:color w:val="auto"/>
        </w:rPr>
      </w:pPr>
      <w:r>
        <w:rPr>
          <w:rFonts w:ascii="Calibri" w:cs="Calibri" w:eastAsia="Calibri" w:hAnsi="Calibri"/>
          <w:sz w:val="10"/>
          <w:szCs w:val="10"/>
          <w:color w:val="auto"/>
        </w:rPr>
        <w:t>Retail Monetary Transactons conducted through Retail Banking, Internet Banking, Yape and Telecredito/Total Retail Monetary Transactons in Retail Banking.</w:t>
      </w:r>
    </w:p>
    <w:p>
      <w:pPr>
        <w:ind w:left="129" w:hanging="129"/>
        <w:spacing w:after="0" w:line="223" w:lineRule="auto"/>
        <w:tabs>
          <w:tab w:leader="none" w:pos="129" w:val="left"/>
        </w:tabs>
        <w:numPr>
          <w:ilvl w:val="0"/>
          <w:numId w:val="7"/>
        </w:numPr>
        <w:rPr>
          <w:rFonts w:ascii="Calibri" w:cs="Calibri" w:eastAsia="Calibri" w:hAnsi="Calibri"/>
          <w:sz w:val="10"/>
          <w:szCs w:val="10"/>
          <w:color w:val="auto"/>
        </w:rPr>
      </w:pPr>
      <w:r>
        <w:rPr>
          <w:rFonts w:ascii="Calibri" w:cs="Calibri" w:eastAsia="Calibri" w:hAnsi="Calibri"/>
          <w:sz w:val="10"/>
          <w:szCs w:val="10"/>
          <w:color w:val="auto"/>
        </w:rPr>
        <w:t>Disbursements generated through leads/Total disbursements.</w:t>
      </w:r>
    </w:p>
    <w:p>
      <w:pPr>
        <w:ind w:left="129" w:hanging="129"/>
        <w:spacing w:after="0" w:line="223" w:lineRule="auto"/>
        <w:tabs>
          <w:tab w:leader="none" w:pos="129" w:val="left"/>
        </w:tabs>
        <w:numPr>
          <w:ilvl w:val="0"/>
          <w:numId w:val="7"/>
        </w:numPr>
        <w:rPr>
          <w:rFonts w:ascii="Calibri" w:cs="Calibri" w:eastAsia="Calibri" w:hAnsi="Calibri"/>
          <w:sz w:val="10"/>
          <w:szCs w:val="10"/>
          <w:color w:val="auto"/>
        </w:rPr>
      </w:pPr>
      <w:r>
        <w:rPr>
          <w:rFonts w:ascii="Calibri" w:cs="Calibri" w:eastAsia="Calibri" w:hAnsi="Calibri"/>
          <w:sz w:val="10"/>
          <w:szCs w:val="10"/>
          <w:color w:val="auto"/>
        </w:rPr>
        <w:t>Disbursements conducted through alternatve channels/Total disbursements.</w:t>
      </w:r>
    </w:p>
    <w:p>
      <w:pPr>
        <w:ind w:left="129" w:hanging="129"/>
        <w:spacing w:after="0" w:line="223" w:lineRule="auto"/>
        <w:tabs>
          <w:tab w:leader="none" w:pos="129" w:val="left"/>
        </w:tabs>
        <w:numPr>
          <w:ilvl w:val="0"/>
          <w:numId w:val="7"/>
        </w:numPr>
        <w:rPr>
          <w:rFonts w:ascii="Calibri" w:cs="Calibri" w:eastAsia="Calibri" w:hAnsi="Calibri"/>
          <w:sz w:val="10"/>
          <w:szCs w:val="10"/>
          <w:color w:val="auto"/>
        </w:rPr>
      </w:pPr>
      <w:r>
        <w:rPr>
          <w:rFonts w:ascii="Calibri" w:cs="Calibri" w:eastAsia="Calibri" w:hAnsi="Calibri"/>
          <w:sz w:val="10"/>
          <w:szCs w:val="10"/>
          <w:color w:val="auto"/>
        </w:rPr>
        <w:t>Number of loans disbursed/ Total relatonship managers.</w:t>
      </w:r>
    </w:p>
    <w:p>
      <w:pPr>
        <w:ind w:left="129" w:hanging="129"/>
        <w:spacing w:after="0" w:line="223" w:lineRule="auto"/>
        <w:tabs>
          <w:tab w:leader="none" w:pos="129" w:val="left"/>
        </w:tabs>
        <w:numPr>
          <w:ilvl w:val="0"/>
          <w:numId w:val="7"/>
        </w:numPr>
        <w:rPr>
          <w:rFonts w:ascii="Calibri" w:cs="Calibri" w:eastAsia="Calibri" w:hAnsi="Calibri"/>
          <w:sz w:val="10"/>
          <w:szCs w:val="10"/>
          <w:color w:val="auto"/>
        </w:rPr>
      </w:pPr>
      <w:r>
        <w:rPr>
          <w:rFonts w:ascii="Calibri" w:cs="Calibri" w:eastAsia="Calibri" w:hAnsi="Calibri"/>
          <w:sz w:val="10"/>
          <w:szCs w:val="10"/>
          <w:color w:val="auto"/>
        </w:rPr>
        <w:t>Amount transacted through Mobile Banking, Internet Banking, Yape y POS/ Total amount transacted through Retail Banking.</w:t>
      </w:r>
    </w:p>
    <w:p>
      <w:pPr>
        <w:ind w:left="129" w:hanging="129"/>
        <w:spacing w:after="0" w:line="223" w:lineRule="auto"/>
        <w:tabs>
          <w:tab w:leader="none" w:pos="129" w:val="left"/>
        </w:tabs>
        <w:numPr>
          <w:ilvl w:val="0"/>
          <w:numId w:val="7"/>
        </w:numPr>
        <w:rPr>
          <w:rFonts w:ascii="Calibri" w:cs="Calibri" w:eastAsia="Calibri" w:hAnsi="Calibri"/>
          <w:sz w:val="10"/>
          <w:szCs w:val="10"/>
          <w:color w:val="auto"/>
        </w:rPr>
      </w:pPr>
      <w:r>
        <w:rPr>
          <w:rFonts w:ascii="Calibri" w:cs="Calibri" w:eastAsia="Calibri" w:hAnsi="Calibri"/>
          <w:sz w:val="10"/>
          <w:szCs w:val="10"/>
          <w:color w:val="auto"/>
        </w:rPr>
        <w:t>Units sold by Retail Banking through digital channels/ Total number of units sold by Retail Banking.</w:t>
      </w:r>
    </w:p>
    <w:p>
      <w:pPr>
        <w:spacing w:after="0" w:line="331"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67" w:right="319" w:bottom="1440" w:gutter="0" w:footer="0" w:header="0"/>
        </w:sectPr>
      </w:pPr>
    </w:p>
    <w:bookmarkStart w:id="15" w:name="page16"/>
    <w:bookmarkEnd w:id="15"/>
    <w:p>
      <w:pPr>
        <w:ind w:left="2709"/>
        <w:spacing w:after="0"/>
        <w:tabs>
          <w:tab w:leader="none" w:pos="290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153910" cy="2590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910" cy="259080"/>
                    </a:xfrm>
                    <a:prstGeom prst="rect">
                      <a:avLst/>
                    </a:prstGeom>
                    <a:noFill/>
                  </pic:spPr>
                </pic:pic>
              </a:graphicData>
            </a:graphic>
          </wp:anchor>
        </w:drawing>
      </w:r>
    </w:p>
    <w:p>
      <w:pPr>
        <w:spacing w:after="0" w:line="324"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Credicorp’s Strategy Update</w:t>
      </w:r>
    </w:p>
    <w:p>
      <w:pPr>
        <w:spacing w:after="0" w:line="274"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Disruptve Initatves: Yape</w:t>
      </w:r>
    </w:p>
    <w:p>
      <w:pPr>
        <w:spacing w:after="0" w:line="127" w:lineRule="exact"/>
        <w:rPr>
          <w:sz w:val="20"/>
          <w:szCs w:val="20"/>
          <w:color w:val="auto"/>
        </w:rPr>
      </w:pPr>
    </w:p>
    <w:p>
      <w:pPr>
        <w:jc w:val="both"/>
        <w:ind w:left="9"/>
        <w:spacing w:after="0" w:line="237" w:lineRule="auto"/>
        <w:rPr>
          <w:sz w:val="20"/>
          <w:szCs w:val="20"/>
          <w:color w:val="auto"/>
        </w:rPr>
      </w:pPr>
      <w:r>
        <w:rPr>
          <w:rFonts w:ascii="Calibri" w:cs="Calibri" w:eastAsia="Calibri" w:hAnsi="Calibri"/>
          <w:sz w:val="15"/>
          <w:szCs w:val="15"/>
          <w:color w:val="auto"/>
        </w:rPr>
        <w:t>At the end of 1Q23, Yape had more than 12.3 million users, 71% of whom made transactons at least once a month. Additonally, 63% of Yape’s users utlize a BCP savings account to channel payments and 31%, Yapecard. The remaining 6% use Yape’s partnership platorms with Mibanco, Banco de la Nación and diferent Municipal Saving Banks. As of 2Q23, Yape users will be able to make transfers to users of other digital wallets that coexist in the Peruvian ecosystem.</w:t>
      </w:r>
    </w:p>
    <w:p>
      <w:pPr>
        <w:spacing w:after="0" w:line="112"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Yape contnues to grow by focusing on three main pillars:</w:t>
      </w:r>
    </w:p>
    <w:p>
      <w:pPr>
        <w:spacing w:after="0" w:line="123" w:lineRule="exact"/>
        <w:rPr>
          <w:sz w:val="20"/>
          <w:szCs w:val="20"/>
          <w:color w:val="auto"/>
        </w:rPr>
      </w:pPr>
    </w:p>
    <w:p>
      <w:pPr>
        <w:ind w:left="549" w:hanging="277"/>
        <w:spacing w:after="0"/>
        <w:tabs>
          <w:tab w:leader="none" w:pos="549" w:val="left"/>
        </w:tabs>
        <w:numPr>
          <w:ilvl w:val="0"/>
          <w:numId w:val="8"/>
        </w:numPr>
        <w:rPr>
          <w:rFonts w:ascii="Arial" w:cs="Arial" w:eastAsia="Arial" w:hAnsi="Arial"/>
          <w:sz w:val="15"/>
          <w:szCs w:val="15"/>
          <w:color w:val="auto"/>
        </w:rPr>
      </w:pPr>
      <w:r>
        <w:rPr>
          <w:rFonts w:ascii="Calibri" w:cs="Calibri" w:eastAsia="Calibri" w:hAnsi="Calibri"/>
          <w:sz w:val="15"/>
          <w:szCs w:val="15"/>
          <w:b w:val="1"/>
          <w:bCs w:val="1"/>
          <w:i w:val="1"/>
          <w:iCs w:val="1"/>
          <w:color w:val="auto"/>
        </w:rPr>
        <w:t>Be the main payment venue in the country:</w:t>
      </w:r>
    </w:p>
    <w:p>
      <w:pPr>
        <w:spacing w:after="0" w:line="23" w:lineRule="exact"/>
        <w:rPr>
          <w:rFonts w:ascii="Arial" w:cs="Arial" w:eastAsia="Arial" w:hAnsi="Arial"/>
          <w:sz w:val="15"/>
          <w:szCs w:val="15"/>
          <w:color w:val="auto"/>
        </w:rPr>
      </w:pPr>
    </w:p>
    <w:p>
      <w:pPr>
        <w:ind w:left="549"/>
        <w:spacing w:after="0" w:line="207" w:lineRule="auto"/>
        <w:rPr>
          <w:rFonts w:ascii="Arial" w:cs="Arial" w:eastAsia="Arial" w:hAnsi="Arial"/>
          <w:sz w:val="15"/>
          <w:szCs w:val="15"/>
          <w:color w:val="auto"/>
        </w:rPr>
      </w:pPr>
      <w:r>
        <w:rPr>
          <w:rFonts w:ascii="Calibri" w:cs="Calibri" w:eastAsia="Calibri" w:hAnsi="Calibri"/>
          <w:sz w:val="15"/>
          <w:szCs w:val="15"/>
          <w:color w:val="auto"/>
        </w:rPr>
        <w:t>As part of this frst pillar, Yape has launched four major initatves:</w:t>
      </w:r>
    </w:p>
    <w:p>
      <w:pPr>
        <w:ind w:left="749" w:hanging="273"/>
        <w:spacing w:after="0" w:line="238" w:lineRule="auto"/>
        <w:tabs>
          <w:tab w:leader="none" w:pos="749" w:val="left"/>
        </w:tabs>
        <w:numPr>
          <w:ilvl w:val="1"/>
          <w:numId w:val="9"/>
        </w:numPr>
        <w:rPr>
          <w:rFonts w:ascii="Calibri" w:cs="Calibri" w:eastAsia="Calibri" w:hAnsi="Calibri"/>
          <w:sz w:val="15"/>
          <w:szCs w:val="15"/>
          <w:color w:val="auto"/>
        </w:rPr>
      </w:pPr>
      <w:r>
        <w:rPr>
          <w:rFonts w:ascii="Calibri" w:cs="Calibri" w:eastAsia="Calibri" w:hAnsi="Calibri"/>
          <w:sz w:val="15"/>
          <w:szCs w:val="15"/>
          <w:color w:val="auto"/>
        </w:rPr>
        <w:t>Mobile top-ofs in November 2021. In 1Q23, Yape users purchased more than 30.4 million top-ofs. This represented S/10.5 million in income for Yape last quarter.</w:t>
      </w:r>
    </w:p>
    <w:p>
      <w:pPr>
        <w:spacing w:after="0" w:line="2" w:lineRule="exact"/>
        <w:rPr>
          <w:rFonts w:ascii="Calibri" w:cs="Calibri" w:eastAsia="Calibri" w:hAnsi="Calibri"/>
          <w:sz w:val="15"/>
          <w:szCs w:val="15"/>
          <w:color w:val="auto"/>
        </w:rPr>
      </w:pPr>
    </w:p>
    <w:p>
      <w:pPr>
        <w:ind w:left="749" w:hanging="273"/>
        <w:spacing w:after="0" w:line="236" w:lineRule="auto"/>
        <w:tabs>
          <w:tab w:leader="none" w:pos="749" w:val="left"/>
        </w:tabs>
        <w:numPr>
          <w:ilvl w:val="1"/>
          <w:numId w:val="9"/>
        </w:numPr>
        <w:rPr>
          <w:rFonts w:ascii="Calibri" w:cs="Calibri" w:eastAsia="Calibri" w:hAnsi="Calibri"/>
          <w:sz w:val="15"/>
          <w:szCs w:val="15"/>
          <w:color w:val="auto"/>
        </w:rPr>
      </w:pPr>
      <w:r>
        <w:rPr>
          <w:rFonts w:ascii="Calibri" w:cs="Calibri" w:eastAsia="Calibri" w:hAnsi="Calibri"/>
          <w:sz w:val="15"/>
          <w:szCs w:val="15"/>
          <w:color w:val="auto"/>
        </w:rPr>
        <w:t>QR payments through the main payment gateways since July 2022. In 1Q23, the total volume of QR transactons stood at 8.4 million and represented a total transacton amount of S/280 million. These payments represented 9% of the payments made through POS at BCP.</w:t>
      </w:r>
    </w:p>
    <w:p>
      <w:pPr>
        <w:spacing w:after="0" w:line="2" w:lineRule="exact"/>
        <w:rPr>
          <w:rFonts w:ascii="Calibri" w:cs="Calibri" w:eastAsia="Calibri" w:hAnsi="Calibri"/>
          <w:sz w:val="15"/>
          <w:szCs w:val="15"/>
          <w:color w:val="auto"/>
        </w:rPr>
      </w:pPr>
    </w:p>
    <w:p>
      <w:pPr>
        <w:ind w:left="749" w:hanging="273"/>
        <w:spacing w:after="0" w:line="236" w:lineRule="auto"/>
        <w:tabs>
          <w:tab w:leader="none" w:pos="749" w:val="left"/>
        </w:tabs>
        <w:numPr>
          <w:ilvl w:val="1"/>
          <w:numId w:val="9"/>
        </w:numPr>
        <w:rPr>
          <w:rFonts w:ascii="Calibri" w:cs="Calibri" w:eastAsia="Calibri" w:hAnsi="Calibri"/>
          <w:sz w:val="15"/>
          <w:szCs w:val="15"/>
          <w:color w:val="auto"/>
        </w:rPr>
      </w:pPr>
      <w:r>
        <w:rPr>
          <w:rFonts w:ascii="Calibri" w:cs="Calibri" w:eastAsia="Calibri" w:hAnsi="Calibri"/>
          <w:sz w:val="15"/>
          <w:szCs w:val="15"/>
          <w:color w:val="auto"/>
        </w:rPr>
        <w:t>Payment butons in October 2022. Yape clients can use this functonality to make direct payments through the web pages of afliated establishments. In 1Q23, 668 thousand transactons were conducted through this functonality for a total transacton amount of S/41.6 million.</w:t>
      </w:r>
    </w:p>
    <w:p>
      <w:pPr>
        <w:spacing w:after="0" w:line="2" w:lineRule="exact"/>
        <w:rPr>
          <w:rFonts w:ascii="Calibri" w:cs="Calibri" w:eastAsia="Calibri" w:hAnsi="Calibri"/>
          <w:sz w:val="15"/>
          <w:szCs w:val="15"/>
          <w:color w:val="auto"/>
        </w:rPr>
      </w:pPr>
    </w:p>
    <w:p>
      <w:pPr>
        <w:ind w:left="749" w:hanging="273"/>
        <w:spacing w:after="0" w:line="236" w:lineRule="auto"/>
        <w:tabs>
          <w:tab w:leader="none" w:pos="749" w:val="left"/>
        </w:tabs>
        <w:numPr>
          <w:ilvl w:val="1"/>
          <w:numId w:val="9"/>
        </w:numPr>
        <w:rPr>
          <w:rFonts w:ascii="Calibri" w:cs="Calibri" w:eastAsia="Calibri" w:hAnsi="Calibri"/>
          <w:sz w:val="15"/>
          <w:szCs w:val="15"/>
          <w:color w:val="auto"/>
        </w:rPr>
      </w:pPr>
      <w:r>
        <w:rPr>
          <w:rFonts w:ascii="Calibri" w:cs="Calibri" w:eastAsia="Calibri" w:hAnsi="Calibri"/>
          <w:sz w:val="15"/>
          <w:szCs w:val="15"/>
          <w:color w:val="auto"/>
        </w:rPr>
        <w:t>Service payments in January 2023. With this new functonality, Yape clients can pay receipts for electricity, water, gas and monthly telephone plans, among others. By the end of 2023, Yape users had conducted a total of 647 thousand transactons through this new functonality, which represented a total transacton amount of S/39 million.</w:t>
      </w:r>
    </w:p>
    <w:p>
      <w:pPr>
        <w:spacing w:after="0" w:line="124" w:lineRule="exact"/>
        <w:rPr>
          <w:rFonts w:ascii="Calibri" w:cs="Calibri" w:eastAsia="Calibri" w:hAnsi="Calibri"/>
          <w:sz w:val="15"/>
          <w:szCs w:val="15"/>
          <w:color w:val="auto"/>
        </w:rPr>
      </w:pPr>
    </w:p>
    <w:p>
      <w:pPr>
        <w:ind w:left="549" w:hanging="277"/>
        <w:spacing w:after="0"/>
        <w:tabs>
          <w:tab w:leader="none" w:pos="549" w:val="left"/>
        </w:tabs>
        <w:numPr>
          <w:ilvl w:val="0"/>
          <w:numId w:val="9"/>
        </w:numPr>
        <w:rPr>
          <w:rFonts w:ascii="Arial" w:cs="Arial" w:eastAsia="Arial" w:hAnsi="Arial"/>
          <w:sz w:val="15"/>
          <w:szCs w:val="15"/>
          <w:color w:val="auto"/>
        </w:rPr>
      </w:pPr>
      <w:r>
        <w:rPr>
          <w:rFonts w:ascii="Calibri" w:cs="Calibri" w:eastAsia="Calibri" w:hAnsi="Calibri"/>
          <w:sz w:val="15"/>
          <w:szCs w:val="15"/>
          <w:b w:val="1"/>
          <w:bCs w:val="1"/>
          <w:i w:val="1"/>
          <w:iCs w:val="1"/>
          <w:color w:val="auto"/>
        </w:rPr>
        <w:t>Be present in the daily lives of all Yaperos:</w:t>
      </w:r>
    </w:p>
    <w:p>
      <w:pPr>
        <w:spacing w:after="0" w:line="23" w:lineRule="exact"/>
        <w:rPr>
          <w:rFonts w:ascii="Arial" w:cs="Arial" w:eastAsia="Arial" w:hAnsi="Arial"/>
          <w:sz w:val="15"/>
          <w:szCs w:val="15"/>
          <w:color w:val="auto"/>
        </w:rPr>
      </w:pPr>
    </w:p>
    <w:p>
      <w:pPr>
        <w:ind w:left="549"/>
        <w:spacing w:after="0" w:line="222" w:lineRule="auto"/>
        <w:rPr>
          <w:rFonts w:ascii="Arial" w:cs="Arial" w:eastAsia="Arial" w:hAnsi="Arial"/>
          <w:sz w:val="15"/>
          <w:szCs w:val="15"/>
          <w:color w:val="auto"/>
        </w:rPr>
      </w:pPr>
      <w:r>
        <w:rPr>
          <w:rFonts w:ascii="Calibri" w:cs="Calibri" w:eastAsia="Calibri" w:hAnsi="Calibri"/>
          <w:sz w:val="15"/>
          <w:szCs w:val="15"/>
          <w:color w:val="auto"/>
        </w:rPr>
        <w:t>In September 2022, we launched Yape Promos, a functonality that ofers Yape clients special discounts at afliated establishments. In 1Q23, 476 thousand transactons were conducted through Yape Promos, which represented a total transacton amount of S/9.8 million.</w:t>
      </w:r>
    </w:p>
    <w:p>
      <w:pPr>
        <w:spacing w:after="0" w:line="112" w:lineRule="exact"/>
        <w:rPr>
          <w:rFonts w:ascii="Arial" w:cs="Arial" w:eastAsia="Arial" w:hAnsi="Arial"/>
          <w:sz w:val="15"/>
          <w:szCs w:val="15"/>
          <w:color w:val="auto"/>
        </w:rPr>
      </w:pPr>
    </w:p>
    <w:p>
      <w:pPr>
        <w:ind w:left="549" w:hanging="277"/>
        <w:spacing w:after="0"/>
        <w:tabs>
          <w:tab w:leader="none" w:pos="549" w:val="left"/>
        </w:tabs>
        <w:numPr>
          <w:ilvl w:val="0"/>
          <w:numId w:val="9"/>
        </w:numPr>
        <w:rPr>
          <w:rFonts w:ascii="Arial" w:cs="Arial" w:eastAsia="Arial" w:hAnsi="Arial"/>
          <w:sz w:val="15"/>
          <w:szCs w:val="15"/>
          <w:color w:val="auto"/>
        </w:rPr>
      </w:pPr>
      <w:r>
        <w:rPr>
          <w:rFonts w:ascii="Calibri" w:cs="Calibri" w:eastAsia="Calibri" w:hAnsi="Calibri"/>
          <w:sz w:val="15"/>
          <w:szCs w:val="15"/>
          <w:b w:val="1"/>
          <w:bCs w:val="1"/>
          <w:color w:val="auto"/>
        </w:rPr>
        <w:t>Provide solutons to Yaperos’ fnancial needs:</w:t>
      </w:r>
    </w:p>
    <w:p>
      <w:pPr>
        <w:spacing w:after="0" w:line="23" w:lineRule="exact"/>
        <w:rPr>
          <w:rFonts w:ascii="Arial" w:cs="Arial" w:eastAsia="Arial" w:hAnsi="Arial"/>
          <w:sz w:val="15"/>
          <w:szCs w:val="15"/>
          <w:color w:val="auto"/>
        </w:rPr>
      </w:pPr>
    </w:p>
    <w:p>
      <w:pPr>
        <w:ind w:left="549"/>
        <w:spacing w:after="0" w:line="222" w:lineRule="auto"/>
        <w:rPr>
          <w:rFonts w:ascii="Arial" w:cs="Arial" w:eastAsia="Arial" w:hAnsi="Arial"/>
          <w:sz w:val="15"/>
          <w:szCs w:val="15"/>
          <w:color w:val="auto"/>
        </w:rPr>
      </w:pPr>
      <w:r>
        <w:rPr>
          <w:rFonts w:ascii="Calibri" w:cs="Calibri" w:eastAsia="Calibri" w:hAnsi="Calibri"/>
          <w:sz w:val="15"/>
          <w:szCs w:val="15"/>
          <w:color w:val="auto"/>
        </w:rPr>
        <w:t>Yape launched a Microloan functonality at the end of August 2022. In 1Q23, 148 thousand disbursements were made for a total of S/33.5 million. Additonally, thanks to data analysis, Yape has begun to derive Yaperos with larger credit needs to other channels for a complete credit risk assessment.</w:t>
      </w:r>
    </w:p>
    <w:p>
      <w:pPr>
        <w:spacing w:after="0" w:line="127" w:lineRule="exact"/>
        <w:rPr>
          <w:sz w:val="20"/>
          <w:szCs w:val="20"/>
          <w:color w:val="auto"/>
        </w:rPr>
      </w:pPr>
    </w:p>
    <w:tbl>
      <w:tblPr>
        <w:tblLayout w:type="fixed"/>
        <w:tblInd w:w="19" w:type="dxa"/>
        <w:tblCellMar>
          <w:top w:w="0" w:type="dxa"/>
          <w:left w:w="0" w:type="dxa"/>
          <w:bottom w:w="0" w:type="dxa"/>
          <w:right w:w="0" w:type="dxa"/>
        </w:tblCellMar>
      </w:tblPr>
      <w:tr>
        <w:trPr>
          <w:trHeight w:val="235"/>
        </w:trPr>
        <w:tc>
          <w:tcPr>
            <w:tcW w:w="6200" w:type="dxa"/>
            <w:vAlign w:val="bottom"/>
            <w:tcBorders>
              <w:top w:val="single" w:sz="8" w:color="auto"/>
              <w:left w:val="single" w:sz="8" w:color="auto"/>
              <w:bottom w:val="single" w:sz="8" w:color="2AD2C9"/>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i w:val="1"/>
                <w:iCs w:val="1"/>
                <w:color w:val="auto"/>
              </w:rPr>
              <w:t>Disruptve Initatves: Yape</w:t>
            </w:r>
          </w:p>
        </w:tc>
        <w:tc>
          <w:tcPr>
            <w:tcW w:w="1700" w:type="dxa"/>
            <w:vAlign w:val="bottom"/>
            <w:tcBorders>
              <w:top w:val="single" w:sz="8" w:color="auto"/>
              <w:bottom w:val="single" w:sz="8" w:color="2AD2C9"/>
            </w:tcBorders>
            <w:shd w:val="clear" w:color="auto" w:fill="2AD2C9"/>
          </w:tcPr>
          <w:p>
            <w:pPr>
              <w:jc w:val="center"/>
              <w:spacing w:after="0"/>
              <w:rPr>
                <w:sz w:val="20"/>
                <w:szCs w:val="20"/>
                <w:color w:val="auto"/>
              </w:rPr>
            </w:pPr>
            <w:r>
              <w:rPr>
                <w:rFonts w:ascii="Calibri" w:cs="Calibri" w:eastAsia="Calibri" w:hAnsi="Calibri"/>
                <w:sz w:val="15"/>
                <w:szCs w:val="15"/>
                <w:b w:val="1"/>
                <w:bCs w:val="1"/>
                <w:i w:val="1"/>
                <w:iCs w:val="1"/>
                <w:color w:val="auto"/>
                <w:w w:val="96"/>
              </w:rPr>
              <w:t>1Q22</w:t>
            </w:r>
          </w:p>
        </w:tc>
        <w:tc>
          <w:tcPr>
            <w:tcW w:w="1680" w:type="dxa"/>
            <w:vAlign w:val="bottom"/>
            <w:tcBorders>
              <w:top w:val="single" w:sz="8" w:color="auto"/>
              <w:bottom w:val="single" w:sz="8" w:color="2AD2C9"/>
            </w:tcBorders>
            <w:shd w:val="clear" w:color="auto" w:fill="2AD2C9"/>
          </w:tcPr>
          <w:p>
            <w:pPr>
              <w:jc w:val="center"/>
              <w:spacing w:after="0"/>
              <w:rPr>
                <w:sz w:val="20"/>
                <w:szCs w:val="20"/>
                <w:color w:val="auto"/>
              </w:rPr>
            </w:pPr>
            <w:r>
              <w:rPr>
                <w:rFonts w:ascii="Calibri" w:cs="Calibri" w:eastAsia="Calibri" w:hAnsi="Calibri"/>
                <w:sz w:val="15"/>
                <w:szCs w:val="15"/>
                <w:b w:val="1"/>
                <w:bCs w:val="1"/>
                <w:i w:val="1"/>
                <w:iCs w:val="1"/>
                <w:color w:val="auto"/>
                <w:w w:val="96"/>
              </w:rPr>
              <w:t>4Q22</w:t>
            </w:r>
          </w:p>
        </w:tc>
        <w:tc>
          <w:tcPr>
            <w:tcW w:w="1680" w:type="dxa"/>
            <w:vAlign w:val="bottom"/>
            <w:tcBorders>
              <w:top w:val="single" w:sz="8" w:color="auto"/>
              <w:bottom w:val="single" w:sz="8" w:color="2AD2C9"/>
              <w:right w:val="single" w:sz="8" w:color="auto"/>
            </w:tcBorders>
            <w:shd w:val="clear" w:color="auto" w:fill="2AD2C9"/>
          </w:tcPr>
          <w:p>
            <w:pPr>
              <w:jc w:val="center"/>
              <w:spacing w:after="0"/>
              <w:rPr>
                <w:sz w:val="20"/>
                <w:szCs w:val="20"/>
                <w:color w:val="auto"/>
              </w:rPr>
            </w:pPr>
            <w:r>
              <w:rPr>
                <w:rFonts w:ascii="Calibri" w:cs="Calibri" w:eastAsia="Calibri" w:hAnsi="Calibri"/>
                <w:sz w:val="15"/>
                <w:szCs w:val="15"/>
                <w:b w:val="1"/>
                <w:bCs w:val="1"/>
                <w:i w:val="1"/>
                <w:iCs w:val="1"/>
                <w:color w:val="auto"/>
                <w:w w:val="96"/>
              </w:rPr>
              <w:t>1Q23</w:t>
            </w:r>
          </w:p>
        </w:tc>
      </w:tr>
      <w:tr>
        <w:trPr>
          <w:trHeight w:val="179"/>
        </w:trPr>
        <w:tc>
          <w:tcPr>
            <w:tcW w:w="6200" w:type="dxa"/>
            <w:vAlign w:val="bottom"/>
            <w:tcBorders>
              <w:top w:val="single" w:sz="8" w:color="auto"/>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i w:val="1"/>
                <w:iCs w:val="1"/>
                <w:color w:val="auto"/>
              </w:rPr>
              <w:t>Day to Day</w:t>
            </w:r>
          </w:p>
        </w:tc>
        <w:tc>
          <w:tcPr>
            <w:tcW w:w="17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680" w:type="dxa"/>
            <w:vAlign w:val="bottom"/>
            <w:tcBorders>
              <w:top w:val="single" w:sz="8" w:color="auto"/>
              <w:right w:val="single" w:sz="8" w:color="auto"/>
            </w:tcBorders>
          </w:tcPr>
          <w:p>
            <w:pPr>
              <w:spacing w:after="0"/>
              <w:rPr>
                <w:sz w:val="15"/>
                <w:szCs w:val="15"/>
                <w:color w:val="auto"/>
              </w:rPr>
            </w:pPr>
          </w:p>
        </w:tc>
      </w:tr>
      <w:tr>
        <w:trPr>
          <w:trHeight w:val="244"/>
        </w:trPr>
        <w:tc>
          <w:tcPr>
            <w:tcW w:w="6200" w:type="dxa"/>
            <w:vAlign w:val="bottom"/>
            <w:tcBorders>
              <w:left w:val="single" w:sz="8" w:color="auto"/>
              <w:right w:val="single" w:sz="8" w:color="auto"/>
            </w:tcBorders>
          </w:tcPr>
          <w:p>
            <w:pPr>
              <w:ind w:left="20"/>
              <w:spacing w:after="0" w:line="245" w:lineRule="exact"/>
              <w:rPr>
                <w:sz w:val="20"/>
                <w:szCs w:val="20"/>
                <w:color w:val="auto"/>
              </w:rPr>
            </w:pPr>
            <w:r>
              <w:rPr>
                <w:rFonts w:ascii="Calibri" w:cs="Calibri" w:eastAsia="Calibri" w:hAnsi="Calibri"/>
                <w:sz w:val="15"/>
                <w:szCs w:val="15"/>
                <w:color w:val="auto"/>
              </w:rPr>
              <w:t xml:space="preserve">% Microbusiness users </w:t>
            </w:r>
            <w:r>
              <w:rPr>
                <w:rFonts w:ascii="Calibri" w:cs="Calibri" w:eastAsia="Calibri" w:hAnsi="Calibri"/>
                <w:sz w:val="25"/>
                <w:szCs w:val="25"/>
                <w:color w:val="auto"/>
                <w:vertAlign w:val="superscript"/>
              </w:rPr>
              <w:t>(1)</w:t>
            </w:r>
          </w:p>
        </w:tc>
        <w:tc>
          <w:tcPr>
            <w:tcW w:w="1700" w:type="dxa"/>
            <w:vAlign w:val="bottom"/>
          </w:tcPr>
          <w:p>
            <w:pPr>
              <w:jc w:val="center"/>
              <w:spacing w:after="0"/>
              <w:rPr>
                <w:sz w:val="20"/>
                <w:szCs w:val="20"/>
                <w:color w:val="auto"/>
              </w:rPr>
            </w:pPr>
            <w:r>
              <w:rPr>
                <w:rFonts w:ascii="Calibri" w:cs="Calibri" w:eastAsia="Calibri" w:hAnsi="Calibri"/>
                <w:sz w:val="15"/>
                <w:szCs w:val="15"/>
                <w:color w:val="auto"/>
              </w:rPr>
              <w:t>19%</w:t>
            </w:r>
          </w:p>
        </w:tc>
        <w:tc>
          <w:tcPr>
            <w:tcW w:w="1680" w:type="dxa"/>
            <w:vAlign w:val="bottom"/>
          </w:tcPr>
          <w:p>
            <w:pPr>
              <w:jc w:val="center"/>
              <w:spacing w:after="0"/>
              <w:rPr>
                <w:sz w:val="20"/>
                <w:szCs w:val="20"/>
                <w:color w:val="auto"/>
              </w:rPr>
            </w:pPr>
            <w:r>
              <w:rPr>
                <w:rFonts w:ascii="Calibri" w:cs="Calibri" w:eastAsia="Calibri" w:hAnsi="Calibri"/>
                <w:sz w:val="15"/>
                <w:szCs w:val="15"/>
                <w:color w:val="auto"/>
                <w:w w:val="92"/>
              </w:rPr>
              <w:t>19%</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19%</w:t>
            </w:r>
          </w:p>
        </w:tc>
      </w:tr>
      <w:tr>
        <w:trPr>
          <w:trHeight w:val="179"/>
        </w:trPr>
        <w:tc>
          <w:tcPr>
            <w:tcW w:w="62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Monthly Mobile Top-ofs (thousands)</w:t>
            </w:r>
          </w:p>
        </w:tc>
        <w:tc>
          <w:tcPr>
            <w:tcW w:w="1700" w:type="dxa"/>
            <w:vAlign w:val="bottom"/>
          </w:tcPr>
          <w:p>
            <w:pPr>
              <w:jc w:val="center"/>
              <w:spacing w:after="0" w:line="180" w:lineRule="exact"/>
              <w:rPr>
                <w:sz w:val="20"/>
                <w:szCs w:val="20"/>
                <w:color w:val="auto"/>
              </w:rPr>
            </w:pPr>
            <w:r>
              <w:rPr>
                <w:rFonts w:ascii="Calibri" w:cs="Calibri" w:eastAsia="Calibri" w:hAnsi="Calibri"/>
                <w:sz w:val="15"/>
                <w:szCs w:val="15"/>
                <w:color w:val="auto"/>
                <w:w w:val="99"/>
              </w:rPr>
              <w:t>6,190</w:t>
            </w:r>
          </w:p>
        </w:tc>
        <w:tc>
          <w:tcPr>
            <w:tcW w:w="1680" w:type="dxa"/>
            <w:vAlign w:val="bottom"/>
          </w:tcPr>
          <w:p>
            <w:pPr>
              <w:jc w:val="center"/>
              <w:spacing w:after="0" w:line="180" w:lineRule="exact"/>
              <w:rPr>
                <w:sz w:val="20"/>
                <w:szCs w:val="20"/>
                <w:color w:val="auto"/>
              </w:rPr>
            </w:pPr>
            <w:r>
              <w:rPr>
                <w:rFonts w:ascii="Calibri" w:cs="Calibri" w:eastAsia="Calibri" w:hAnsi="Calibri"/>
                <w:sz w:val="15"/>
                <w:szCs w:val="15"/>
                <w:color w:val="auto"/>
                <w:w w:val="95"/>
              </w:rPr>
              <w:t>26,216</w:t>
            </w:r>
          </w:p>
        </w:tc>
        <w:tc>
          <w:tcPr>
            <w:tcW w:w="16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30,399</w:t>
            </w:r>
          </w:p>
        </w:tc>
      </w:tr>
      <w:tr>
        <w:trPr>
          <w:trHeight w:val="35"/>
        </w:trPr>
        <w:tc>
          <w:tcPr>
            <w:tcW w:w="62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179"/>
        </w:trPr>
        <w:tc>
          <w:tcPr>
            <w:tcW w:w="62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i w:val="1"/>
                <w:iCs w:val="1"/>
                <w:color w:val="auto"/>
              </w:rPr>
              <w:t>Cashless</w:t>
            </w:r>
          </w:p>
        </w:tc>
        <w:tc>
          <w:tcPr>
            <w:tcW w:w="1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r>
      <w:tr>
        <w:trPr>
          <w:trHeight w:val="208"/>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Users (millions)</w:t>
            </w:r>
          </w:p>
        </w:tc>
        <w:tc>
          <w:tcPr>
            <w:tcW w:w="1700" w:type="dxa"/>
            <w:vAlign w:val="bottom"/>
          </w:tcPr>
          <w:p>
            <w:pPr>
              <w:jc w:val="center"/>
              <w:spacing w:after="0"/>
              <w:rPr>
                <w:sz w:val="20"/>
                <w:szCs w:val="20"/>
                <w:color w:val="auto"/>
              </w:rPr>
            </w:pPr>
            <w:r>
              <w:rPr>
                <w:rFonts w:ascii="Calibri" w:cs="Calibri" w:eastAsia="Calibri" w:hAnsi="Calibri"/>
                <w:sz w:val="15"/>
                <w:szCs w:val="15"/>
                <w:color w:val="auto"/>
              </w:rPr>
              <w:t>9.1</w:t>
            </w:r>
          </w:p>
        </w:tc>
        <w:tc>
          <w:tcPr>
            <w:tcW w:w="1680" w:type="dxa"/>
            <w:vAlign w:val="bottom"/>
          </w:tcPr>
          <w:p>
            <w:pPr>
              <w:jc w:val="center"/>
              <w:spacing w:after="0"/>
              <w:rPr>
                <w:sz w:val="20"/>
                <w:szCs w:val="20"/>
                <w:color w:val="auto"/>
              </w:rPr>
            </w:pPr>
            <w:r>
              <w:rPr>
                <w:rFonts w:ascii="Calibri" w:cs="Calibri" w:eastAsia="Calibri" w:hAnsi="Calibri"/>
                <w:sz w:val="15"/>
                <w:szCs w:val="15"/>
                <w:color w:val="auto"/>
              </w:rPr>
              <w:t>11.9</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12.3</w:t>
            </w:r>
          </w:p>
        </w:tc>
      </w:tr>
      <w:tr>
        <w:trPr>
          <w:trHeight w:val="252"/>
        </w:trPr>
        <w:tc>
          <w:tcPr>
            <w:tcW w:w="6200" w:type="dxa"/>
            <w:vAlign w:val="bottom"/>
            <w:tcBorders>
              <w:left w:val="single" w:sz="8" w:color="auto"/>
              <w:right w:val="single" w:sz="8" w:color="auto"/>
            </w:tcBorders>
          </w:tcPr>
          <w:p>
            <w:pPr>
              <w:ind w:left="20"/>
              <w:spacing w:after="0" w:line="251" w:lineRule="exact"/>
              <w:rPr>
                <w:sz w:val="20"/>
                <w:szCs w:val="20"/>
                <w:color w:val="auto"/>
              </w:rPr>
            </w:pPr>
            <w:r>
              <w:rPr>
                <w:rFonts w:ascii="Calibri" w:cs="Calibri" w:eastAsia="Calibri" w:hAnsi="Calibri"/>
                <w:sz w:val="15"/>
                <w:szCs w:val="15"/>
                <w:color w:val="auto"/>
              </w:rPr>
              <w:t xml:space="preserve">% of Users that are BCP Clients </w:t>
            </w:r>
            <w:r>
              <w:rPr>
                <w:rFonts w:ascii="Calibri" w:cs="Calibri" w:eastAsia="Calibri" w:hAnsi="Calibri"/>
                <w:sz w:val="25"/>
                <w:szCs w:val="25"/>
                <w:color w:val="auto"/>
                <w:vertAlign w:val="superscript"/>
              </w:rPr>
              <w:t>(2)</w:t>
            </w:r>
          </w:p>
        </w:tc>
        <w:tc>
          <w:tcPr>
            <w:tcW w:w="1700" w:type="dxa"/>
            <w:vAlign w:val="bottom"/>
          </w:tcPr>
          <w:p>
            <w:pPr>
              <w:jc w:val="center"/>
              <w:spacing w:after="0"/>
              <w:rPr>
                <w:sz w:val="20"/>
                <w:szCs w:val="20"/>
                <w:color w:val="auto"/>
              </w:rPr>
            </w:pPr>
            <w:r>
              <w:rPr>
                <w:rFonts w:ascii="Calibri" w:cs="Calibri" w:eastAsia="Calibri" w:hAnsi="Calibri"/>
                <w:sz w:val="15"/>
                <w:szCs w:val="15"/>
                <w:color w:val="auto"/>
              </w:rPr>
              <w:t>63%</w:t>
            </w:r>
          </w:p>
        </w:tc>
        <w:tc>
          <w:tcPr>
            <w:tcW w:w="1680" w:type="dxa"/>
            <w:vAlign w:val="bottom"/>
          </w:tcPr>
          <w:p>
            <w:pPr>
              <w:jc w:val="center"/>
              <w:spacing w:after="0"/>
              <w:rPr>
                <w:sz w:val="20"/>
                <w:szCs w:val="20"/>
                <w:color w:val="auto"/>
              </w:rPr>
            </w:pPr>
            <w:r>
              <w:rPr>
                <w:rFonts w:ascii="Calibri" w:cs="Calibri" w:eastAsia="Calibri" w:hAnsi="Calibri"/>
                <w:sz w:val="15"/>
                <w:szCs w:val="15"/>
                <w:color w:val="auto"/>
                <w:w w:val="92"/>
              </w:rPr>
              <w:t>63%</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66%</w:t>
            </w:r>
          </w:p>
        </w:tc>
      </w:tr>
      <w:tr>
        <w:trPr>
          <w:trHeight w:val="216"/>
        </w:trPr>
        <w:tc>
          <w:tcPr>
            <w:tcW w:w="6200" w:type="dxa"/>
            <w:vAlign w:val="bottom"/>
            <w:tcBorders>
              <w:left w:val="single" w:sz="8" w:color="auto"/>
              <w:right w:val="single" w:sz="8" w:color="auto"/>
            </w:tcBorders>
          </w:tcPr>
          <w:p>
            <w:pPr>
              <w:ind w:left="20"/>
              <w:spacing w:after="0" w:line="216" w:lineRule="exact"/>
              <w:rPr>
                <w:sz w:val="20"/>
                <w:szCs w:val="20"/>
                <w:color w:val="auto"/>
              </w:rPr>
            </w:pPr>
            <w:r>
              <w:rPr>
                <w:rFonts w:ascii="Calibri" w:cs="Calibri" w:eastAsia="Calibri" w:hAnsi="Calibri"/>
                <w:sz w:val="14"/>
                <w:szCs w:val="14"/>
                <w:color w:val="auto"/>
              </w:rPr>
              <w:t xml:space="preserve">% of Yapecard Users </w:t>
            </w:r>
            <w:r>
              <w:rPr>
                <w:rFonts w:ascii="Calibri" w:cs="Calibri" w:eastAsia="Calibri" w:hAnsi="Calibri"/>
                <w:sz w:val="23"/>
                <w:szCs w:val="23"/>
                <w:color w:val="auto"/>
                <w:vertAlign w:val="superscript"/>
              </w:rPr>
              <w:t>(3)</w:t>
            </w:r>
          </w:p>
        </w:tc>
        <w:tc>
          <w:tcPr>
            <w:tcW w:w="1700" w:type="dxa"/>
            <w:vAlign w:val="bottom"/>
          </w:tcPr>
          <w:p>
            <w:pPr>
              <w:jc w:val="center"/>
              <w:spacing w:after="0" w:line="180" w:lineRule="exact"/>
              <w:rPr>
                <w:sz w:val="20"/>
                <w:szCs w:val="20"/>
                <w:color w:val="auto"/>
              </w:rPr>
            </w:pPr>
            <w:r>
              <w:rPr>
                <w:rFonts w:ascii="Calibri" w:cs="Calibri" w:eastAsia="Calibri" w:hAnsi="Calibri"/>
                <w:sz w:val="15"/>
                <w:szCs w:val="15"/>
                <w:color w:val="auto"/>
              </w:rPr>
              <w:t>34%</w:t>
            </w:r>
          </w:p>
        </w:tc>
        <w:tc>
          <w:tcPr>
            <w:tcW w:w="1680" w:type="dxa"/>
            <w:vAlign w:val="bottom"/>
          </w:tcPr>
          <w:p>
            <w:pPr>
              <w:jc w:val="center"/>
              <w:spacing w:after="0" w:line="180" w:lineRule="exact"/>
              <w:rPr>
                <w:sz w:val="20"/>
                <w:szCs w:val="20"/>
                <w:color w:val="auto"/>
              </w:rPr>
            </w:pPr>
            <w:r>
              <w:rPr>
                <w:rFonts w:ascii="Calibri" w:cs="Calibri" w:eastAsia="Calibri" w:hAnsi="Calibri"/>
                <w:sz w:val="15"/>
                <w:szCs w:val="15"/>
                <w:color w:val="auto"/>
                <w:w w:val="92"/>
              </w:rPr>
              <w:t>34%</w:t>
            </w:r>
          </w:p>
        </w:tc>
        <w:tc>
          <w:tcPr>
            <w:tcW w:w="16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31%</w:t>
            </w:r>
          </w:p>
        </w:tc>
      </w:tr>
      <w:tr>
        <w:trPr>
          <w:trHeight w:val="216"/>
        </w:trPr>
        <w:tc>
          <w:tcPr>
            <w:tcW w:w="6200" w:type="dxa"/>
            <w:vAlign w:val="bottom"/>
            <w:tcBorders>
              <w:left w:val="single" w:sz="8" w:color="auto"/>
              <w:right w:val="single" w:sz="8" w:color="auto"/>
            </w:tcBorders>
          </w:tcPr>
          <w:p>
            <w:pPr>
              <w:ind w:left="20"/>
              <w:spacing w:after="0" w:line="216" w:lineRule="exact"/>
              <w:rPr>
                <w:sz w:val="20"/>
                <w:szCs w:val="20"/>
                <w:color w:val="auto"/>
              </w:rPr>
            </w:pPr>
            <w:r>
              <w:rPr>
                <w:rFonts w:ascii="Calibri" w:cs="Calibri" w:eastAsia="Calibri" w:hAnsi="Calibri"/>
                <w:sz w:val="14"/>
                <w:szCs w:val="14"/>
                <w:color w:val="auto"/>
              </w:rPr>
              <w:t xml:space="preserve">Actve Users (millions) </w:t>
            </w:r>
            <w:r>
              <w:rPr>
                <w:rFonts w:ascii="Calibri" w:cs="Calibri" w:eastAsia="Calibri" w:hAnsi="Calibri"/>
                <w:sz w:val="23"/>
                <w:szCs w:val="23"/>
                <w:color w:val="auto"/>
                <w:vertAlign w:val="superscript"/>
              </w:rPr>
              <w:t>(4)</w:t>
            </w:r>
          </w:p>
        </w:tc>
        <w:tc>
          <w:tcPr>
            <w:tcW w:w="1700" w:type="dxa"/>
            <w:vAlign w:val="bottom"/>
          </w:tcPr>
          <w:p>
            <w:pPr>
              <w:jc w:val="center"/>
              <w:spacing w:after="0" w:line="180" w:lineRule="exact"/>
              <w:rPr>
                <w:sz w:val="20"/>
                <w:szCs w:val="20"/>
                <w:color w:val="auto"/>
              </w:rPr>
            </w:pPr>
            <w:r>
              <w:rPr>
                <w:rFonts w:ascii="Calibri" w:cs="Calibri" w:eastAsia="Calibri" w:hAnsi="Calibri"/>
                <w:sz w:val="15"/>
                <w:szCs w:val="15"/>
                <w:color w:val="auto"/>
              </w:rPr>
              <w:t>5.1</w:t>
            </w:r>
          </w:p>
        </w:tc>
        <w:tc>
          <w:tcPr>
            <w:tcW w:w="1680" w:type="dxa"/>
            <w:vAlign w:val="bottom"/>
          </w:tcPr>
          <w:p>
            <w:pPr>
              <w:jc w:val="center"/>
              <w:spacing w:after="0" w:line="180" w:lineRule="exact"/>
              <w:rPr>
                <w:sz w:val="20"/>
                <w:szCs w:val="20"/>
                <w:color w:val="auto"/>
              </w:rPr>
            </w:pPr>
            <w:r>
              <w:rPr>
                <w:rFonts w:ascii="Calibri" w:cs="Calibri" w:eastAsia="Calibri" w:hAnsi="Calibri"/>
                <w:sz w:val="15"/>
                <w:szCs w:val="15"/>
                <w:color w:val="auto"/>
              </w:rPr>
              <w:t>8.2</w:t>
            </w:r>
          </w:p>
        </w:tc>
        <w:tc>
          <w:tcPr>
            <w:tcW w:w="16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4"/>
              </w:rPr>
              <w:t>8.8</w:t>
            </w:r>
          </w:p>
        </w:tc>
      </w:tr>
      <w:tr>
        <w:trPr>
          <w:trHeight w:val="216"/>
        </w:trPr>
        <w:tc>
          <w:tcPr>
            <w:tcW w:w="6200" w:type="dxa"/>
            <w:vAlign w:val="bottom"/>
            <w:tcBorders>
              <w:left w:val="single" w:sz="8" w:color="auto"/>
              <w:right w:val="single" w:sz="8" w:color="auto"/>
            </w:tcBorders>
          </w:tcPr>
          <w:p>
            <w:pPr>
              <w:ind w:left="20"/>
              <w:spacing w:after="0" w:line="216" w:lineRule="exact"/>
              <w:rPr>
                <w:sz w:val="20"/>
                <w:szCs w:val="20"/>
                <w:color w:val="auto"/>
              </w:rPr>
            </w:pPr>
            <w:r>
              <w:rPr>
                <w:rFonts w:ascii="Calibri" w:cs="Calibri" w:eastAsia="Calibri" w:hAnsi="Calibri"/>
                <w:sz w:val="14"/>
                <w:szCs w:val="14"/>
                <w:color w:val="auto"/>
              </w:rPr>
              <w:t xml:space="preserve">% Users who are actve monthly users </w:t>
            </w:r>
            <w:r>
              <w:rPr>
                <w:rFonts w:ascii="Calibri" w:cs="Calibri" w:eastAsia="Calibri" w:hAnsi="Calibri"/>
                <w:sz w:val="23"/>
                <w:szCs w:val="23"/>
                <w:color w:val="auto"/>
                <w:vertAlign w:val="superscript"/>
              </w:rPr>
              <w:t>(5)</w:t>
            </w:r>
          </w:p>
        </w:tc>
        <w:tc>
          <w:tcPr>
            <w:tcW w:w="1700" w:type="dxa"/>
            <w:vAlign w:val="bottom"/>
          </w:tcPr>
          <w:p>
            <w:pPr>
              <w:jc w:val="center"/>
              <w:spacing w:after="0" w:line="180" w:lineRule="exact"/>
              <w:rPr>
                <w:sz w:val="20"/>
                <w:szCs w:val="20"/>
                <w:color w:val="auto"/>
              </w:rPr>
            </w:pPr>
            <w:r>
              <w:rPr>
                <w:rFonts w:ascii="Calibri" w:cs="Calibri" w:eastAsia="Calibri" w:hAnsi="Calibri"/>
                <w:sz w:val="15"/>
                <w:szCs w:val="15"/>
                <w:color w:val="auto"/>
              </w:rPr>
              <w:t>56%</w:t>
            </w:r>
          </w:p>
        </w:tc>
        <w:tc>
          <w:tcPr>
            <w:tcW w:w="1680" w:type="dxa"/>
            <w:vAlign w:val="bottom"/>
          </w:tcPr>
          <w:p>
            <w:pPr>
              <w:jc w:val="center"/>
              <w:spacing w:after="0" w:line="180" w:lineRule="exact"/>
              <w:rPr>
                <w:sz w:val="20"/>
                <w:szCs w:val="20"/>
                <w:color w:val="auto"/>
              </w:rPr>
            </w:pPr>
            <w:r>
              <w:rPr>
                <w:rFonts w:ascii="Calibri" w:cs="Calibri" w:eastAsia="Calibri" w:hAnsi="Calibri"/>
                <w:sz w:val="15"/>
                <w:szCs w:val="15"/>
                <w:color w:val="auto"/>
                <w:w w:val="92"/>
              </w:rPr>
              <w:t>70%</w:t>
            </w:r>
          </w:p>
        </w:tc>
        <w:tc>
          <w:tcPr>
            <w:tcW w:w="16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71%</w:t>
            </w:r>
          </w:p>
        </w:tc>
      </w:tr>
      <w:tr>
        <w:trPr>
          <w:trHeight w:val="179"/>
        </w:trPr>
        <w:tc>
          <w:tcPr>
            <w:tcW w:w="62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No. of transactons a quarter (millions)</w:t>
            </w:r>
          </w:p>
        </w:tc>
        <w:tc>
          <w:tcPr>
            <w:tcW w:w="1700" w:type="dxa"/>
            <w:vAlign w:val="bottom"/>
          </w:tcPr>
          <w:p>
            <w:pPr>
              <w:jc w:val="center"/>
              <w:spacing w:after="0" w:line="180" w:lineRule="exact"/>
              <w:rPr>
                <w:sz w:val="20"/>
                <w:szCs w:val="20"/>
                <w:color w:val="auto"/>
              </w:rPr>
            </w:pPr>
            <w:r>
              <w:rPr>
                <w:rFonts w:ascii="Calibri" w:cs="Calibri" w:eastAsia="Calibri" w:hAnsi="Calibri"/>
                <w:sz w:val="15"/>
                <w:szCs w:val="15"/>
                <w:color w:val="auto"/>
                <w:w w:val="99"/>
              </w:rPr>
              <w:t>177.9</w:t>
            </w:r>
          </w:p>
        </w:tc>
        <w:tc>
          <w:tcPr>
            <w:tcW w:w="1680" w:type="dxa"/>
            <w:vAlign w:val="bottom"/>
          </w:tcPr>
          <w:p>
            <w:pPr>
              <w:jc w:val="center"/>
              <w:spacing w:after="0" w:line="180" w:lineRule="exact"/>
              <w:rPr>
                <w:sz w:val="20"/>
                <w:szCs w:val="20"/>
                <w:color w:val="auto"/>
              </w:rPr>
            </w:pPr>
            <w:r>
              <w:rPr>
                <w:rFonts w:ascii="Calibri" w:cs="Calibri" w:eastAsia="Calibri" w:hAnsi="Calibri"/>
                <w:sz w:val="15"/>
                <w:szCs w:val="15"/>
                <w:color w:val="auto"/>
                <w:w w:val="93"/>
              </w:rPr>
              <w:t>399.5</w:t>
            </w:r>
          </w:p>
        </w:tc>
        <w:tc>
          <w:tcPr>
            <w:tcW w:w="16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9"/>
              </w:rPr>
              <w:t>480.3</w:t>
            </w:r>
          </w:p>
        </w:tc>
      </w:tr>
      <w:tr>
        <w:trPr>
          <w:trHeight w:val="216"/>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Monthly transacton quarterly (millions)</w:t>
            </w:r>
          </w:p>
        </w:tc>
        <w:tc>
          <w:tcPr>
            <w:tcW w:w="1700" w:type="dxa"/>
            <w:vAlign w:val="bottom"/>
          </w:tcPr>
          <w:p>
            <w:pPr>
              <w:jc w:val="center"/>
              <w:spacing w:after="0"/>
              <w:rPr>
                <w:sz w:val="20"/>
                <w:szCs w:val="20"/>
                <w:color w:val="auto"/>
              </w:rPr>
            </w:pPr>
            <w:r>
              <w:rPr>
                <w:rFonts w:ascii="Calibri" w:cs="Calibri" w:eastAsia="Calibri" w:hAnsi="Calibri"/>
                <w:sz w:val="15"/>
                <w:szCs w:val="15"/>
                <w:color w:val="auto"/>
                <w:w w:val="95"/>
              </w:rPr>
              <w:t>10,698</w:t>
            </w:r>
          </w:p>
        </w:tc>
        <w:tc>
          <w:tcPr>
            <w:tcW w:w="1680" w:type="dxa"/>
            <w:vAlign w:val="bottom"/>
          </w:tcPr>
          <w:p>
            <w:pPr>
              <w:jc w:val="center"/>
              <w:spacing w:after="0"/>
              <w:rPr>
                <w:sz w:val="20"/>
                <w:szCs w:val="20"/>
                <w:color w:val="auto"/>
              </w:rPr>
            </w:pPr>
            <w:r>
              <w:rPr>
                <w:rFonts w:ascii="Calibri" w:cs="Calibri" w:eastAsia="Calibri" w:hAnsi="Calibri"/>
                <w:sz w:val="15"/>
                <w:szCs w:val="15"/>
                <w:color w:val="auto"/>
                <w:w w:val="95"/>
              </w:rPr>
              <w:t>20,845</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24,046</w:t>
            </w:r>
          </w:p>
        </w:tc>
      </w:tr>
      <w:tr>
        <w:trPr>
          <w:trHeight w:val="250"/>
        </w:trPr>
        <w:tc>
          <w:tcPr>
            <w:tcW w:w="6200" w:type="dxa"/>
            <w:vAlign w:val="bottom"/>
            <w:tcBorders>
              <w:left w:val="single" w:sz="8" w:color="auto"/>
              <w:bottom w:val="single" w:sz="8" w:color="auto"/>
              <w:right w:val="single" w:sz="8" w:color="auto"/>
            </w:tcBorders>
          </w:tcPr>
          <w:p>
            <w:pPr>
              <w:ind w:left="20"/>
              <w:spacing w:after="0" w:line="247" w:lineRule="exact"/>
              <w:rPr>
                <w:sz w:val="20"/>
                <w:szCs w:val="20"/>
                <w:color w:val="auto"/>
              </w:rPr>
            </w:pPr>
            <w:r>
              <w:rPr>
                <w:rFonts w:ascii="Calibri" w:cs="Calibri" w:eastAsia="Calibri" w:hAnsi="Calibri"/>
                <w:sz w:val="15"/>
                <w:szCs w:val="15"/>
                <w:color w:val="auto"/>
              </w:rPr>
              <w:t xml:space="preserve">Monthly transactons by Actve Yapero </w:t>
            </w:r>
            <w:r>
              <w:rPr>
                <w:rFonts w:ascii="Calibri" w:cs="Calibri" w:eastAsia="Calibri" w:hAnsi="Calibri"/>
                <w:sz w:val="25"/>
                <w:szCs w:val="25"/>
                <w:color w:val="auto"/>
                <w:vertAlign w:val="superscript"/>
              </w:rPr>
              <w:t>(6)</w:t>
            </w:r>
          </w:p>
        </w:tc>
        <w:tc>
          <w:tcPr>
            <w:tcW w:w="17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color w:val="auto"/>
                <w:w w:val="97"/>
              </w:rPr>
              <w:t>13.6</w:t>
            </w:r>
          </w:p>
        </w:tc>
        <w:tc>
          <w:tcPr>
            <w:tcW w:w="168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color w:val="auto"/>
              </w:rPr>
              <w:t>19.6</w:t>
            </w:r>
          </w:p>
        </w:tc>
        <w:tc>
          <w:tcPr>
            <w:tcW w:w="16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5"/>
                <w:szCs w:val="15"/>
                <w:color w:val="auto"/>
                <w:w w:val="97"/>
              </w:rPr>
              <w:t>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-1519555</wp:posOffset>
            </wp:positionV>
            <wp:extent cx="122555" cy="2590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2555" cy="25908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-1101725</wp:posOffset>
            </wp:positionV>
            <wp:extent cx="122555" cy="10807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2555" cy="1080770"/>
                    </a:xfrm>
                    <a:prstGeom prst="rect">
                      <a:avLst/>
                    </a:prstGeom>
                    <a:noFill/>
                  </pic:spPr>
                </pic:pic>
              </a:graphicData>
            </a:graphic>
          </wp:anchor>
        </w:drawing>
      </w:r>
    </w:p>
    <w:p>
      <w:pPr>
        <w:ind w:left="129" w:hanging="129"/>
        <w:spacing w:after="0" w:line="203" w:lineRule="auto"/>
        <w:tabs>
          <w:tab w:leader="none" w:pos="129" w:val="left"/>
        </w:tabs>
        <w:numPr>
          <w:ilvl w:val="0"/>
          <w:numId w:val="10"/>
        </w:numPr>
        <w:rPr>
          <w:rFonts w:ascii="Calibri" w:cs="Calibri" w:eastAsia="Calibri" w:hAnsi="Calibri"/>
          <w:sz w:val="10"/>
          <w:szCs w:val="10"/>
          <w:color w:val="auto"/>
        </w:rPr>
      </w:pPr>
      <w:r>
        <w:rPr>
          <w:rFonts w:ascii="Calibri" w:cs="Calibri" w:eastAsia="Calibri" w:hAnsi="Calibri"/>
          <w:sz w:val="10"/>
          <w:szCs w:val="10"/>
          <w:color w:val="auto"/>
        </w:rPr>
        <w:t>Yape users that are Microbusinesses/ Total Yape Users</w:t>
      </w:r>
    </w:p>
    <w:p>
      <w:pPr>
        <w:ind w:left="129" w:hanging="129"/>
        <w:spacing w:after="0" w:line="223" w:lineRule="auto"/>
        <w:tabs>
          <w:tab w:leader="none" w:pos="129" w:val="left"/>
        </w:tabs>
        <w:numPr>
          <w:ilvl w:val="0"/>
          <w:numId w:val="10"/>
        </w:numPr>
        <w:rPr>
          <w:rFonts w:ascii="Calibri" w:cs="Calibri" w:eastAsia="Calibri" w:hAnsi="Calibri"/>
          <w:sz w:val="10"/>
          <w:szCs w:val="10"/>
          <w:color w:val="auto"/>
        </w:rPr>
      </w:pPr>
      <w:r>
        <w:rPr>
          <w:rFonts w:ascii="Calibri" w:cs="Calibri" w:eastAsia="Calibri" w:hAnsi="Calibri"/>
          <w:sz w:val="10"/>
          <w:szCs w:val="10"/>
          <w:color w:val="auto"/>
        </w:rPr>
        <w:t>BCP clients that are Yape users/ Total Yape Users</w:t>
      </w:r>
    </w:p>
    <w:p>
      <w:pPr>
        <w:ind w:left="129" w:hanging="129"/>
        <w:spacing w:after="0" w:line="223" w:lineRule="auto"/>
        <w:tabs>
          <w:tab w:leader="none" w:pos="129" w:val="left"/>
        </w:tabs>
        <w:numPr>
          <w:ilvl w:val="0"/>
          <w:numId w:val="10"/>
        </w:numPr>
        <w:rPr>
          <w:rFonts w:ascii="Calibri" w:cs="Calibri" w:eastAsia="Calibri" w:hAnsi="Calibri"/>
          <w:sz w:val="10"/>
          <w:szCs w:val="10"/>
          <w:color w:val="auto"/>
        </w:rPr>
      </w:pPr>
      <w:r>
        <w:rPr>
          <w:rFonts w:ascii="Calibri" w:cs="Calibri" w:eastAsia="Calibri" w:hAnsi="Calibri"/>
          <w:sz w:val="10"/>
          <w:szCs w:val="10"/>
          <w:color w:val="auto"/>
        </w:rPr>
        <w:t>Yapecard Users / Total Yape Users</w:t>
      </w:r>
    </w:p>
    <w:p>
      <w:pPr>
        <w:ind w:left="129" w:hanging="129"/>
        <w:spacing w:after="0" w:line="223" w:lineRule="auto"/>
        <w:tabs>
          <w:tab w:leader="none" w:pos="129" w:val="left"/>
        </w:tabs>
        <w:numPr>
          <w:ilvl w:val="0"/>
          <w:numId w:val="10"/>
        </w:numPr>
        <w:rPr>
          <w:rFonts w:ascii="Calibri" w:cs="Calibri" w:eastAsia="Calibri" w:hAnsi="Calibri"/>
          <w:sz w:val="10"/>
          <w:szCs w:val="10"/>
          <w:color w:val="auto"/>
        </w:rPr>
      </w:pPr>
      <w:r>
        <w:rPr>
          <w:rFonts w:ascii="Calibri" w:cs="Calibri" w:eastAsia="Calibri" w:hAnsi="Calibri"/>
          <w:sz w:val="10"/>
          <w:szCs w:val="10"/>
          <w:color w:val="auto"/>
        </w:rPr>
        <w:t>Yape users that have conducted at least one transacton in the last month</w:t>
      </w:r>
    </w:p>
    <w:p>
      <w:pPr>
        <w:ind w:left="129" w:hanging="129"/>
        <w:spacing w:after="0" w:line="223" w:lineRule="auto"/>
        <w:tabs>
          <w:tab w:leader="none" w:pos="129" w:val="left"/>
        </w:tabs>
        <w:numPr>
          <w:ilvl w:val="0"/>
          <w:numId w:val="10"/>
        </w:numPr>
        <w:rPr>
          <w:rFonts w:ascii="Calibri" w:cs="Calibri" w:eastAsia="Calibri" w:hAnsi="Calibri"/>
          <w:sz w:val="10"/>
          <w:szCs w:val="10"/>
          <w:color w:val="auto"/>
        </w:rPr>
      </w:pPr>
      <w:r>
        <w:rPr>
          <w:rFonts w:ascii="Calibri" w:cs="Calibri" w:eastAsia="Calibri" w:hAnsi="Calibri"/>
          <w:sz w:val="10"/>
          <w:szCs w:val="10"/>
          <w:color w:val="auto"/>
        </w:rPr>
        <w:t>Yape users that have conducted at least one transacton in the last month/Total Yape users</w:t>
      </w:r>
    </w:p>
    <w:p>
      <w:pPr>
        <w:ind w:left="129" w:hanging="129"/>
        <w:spacing w:after="0" w:line="223" w:lineRule="auto"/>
        <w:tabs>
          <w:tab w:leader="none" w:pos="129" w:val="left"/>
        </w:tabs>
        <w:numPr>
          <w:ilvl w:val="0"/>
          <w:numId w:val="10"/>
        </w:numPr>
        <w:rPr>
          <w:rFonts w:ascii="Calibri" w:cs="Calibri" w:eastAsia="Calibri" w:hAnsi="Calibri"/>
          <w:sz w:val="10"/>
          <w:szCs w:val="10"/>
          <w:color w:val="auto"/>
        </w:rPr>
      </w:pPr>
      <w:r>
        <w:rPr>
          <w:rFonts w:ascii="Calibri" w:cs="Calibri" w:eastAsia="Calibri" w:hAnsi="Calibri"/>
          <w:sz w:val="10"/>
          <w:szCs w:val="10"/>
          <w:color w:val="auto"/>
        </w:rPr>
        <w:t>Number of Yape users/ Actve users</w:t>
      </w:r>
    </w:p>
    <w:p>
      <w:pPr>
        <w:spacing w:after="0" w:line="331"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67" w:right="319" w:bottom="1440" w:gutter="0" w:footer="0" w:header="0"/>
        </w:sectPr>
      </w:pPr>
    </w:p>
    <w:bookmarkStart w:id="16" w:name="page17"/>
    <w:bookmarkEnd w:id="16"/>
    <w:p>
      <w:pPr>
        <w:ind w:left="2700"/>
        <w:spacing w:after="0"/>
        <w:tabs>
          <w:tab w:leader="none" w:pos="290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53910" cy="2590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910" cy="25908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Credicorp’s Strategy Update</w:t>
      </w:r>
    </w:p>
    <w:p>
      <w:pPr>
        <w:spacing w:after="0" w:line="28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Integratng sustainability in our businesses</w:t>
      </w:r>
    </w:p>
    <w:p>
      <w:pPr>
        <w:spacing w:after="0" w:line="131" w:lineRule="exact"/>
        <w:rPr>
          <w:sz w:val="20"/>
          <w:szCs w:val="20"/>
          <w:color w:val="auto"/>
        </w:rPr>
      </w:pPr>
    </w:p>
    <w:p>
      <w:pPr>
        <w:spacing w:after="0"/>
        <w:rPr>
          <w:sz w:val="20"/>
          <w:szCs w:val="20"/>
          <w:color w:val="auto"/>
        </w:rPr>
      </w:pPr>
      <w:r>
        <w:rPr>
          <w:rFonts w:ascii="Calibri" w:cs="Calibri" w:eastAsia="Calibri" w:hAnsi="Calibri"/>
          <w:sz w:val="15"/>
          <w:szCs w:val="15"/>
          <w:color w:val="auto"/>
        </w:rPr>
        <w:t>For more informaton about our sustainability strategy, program and initatves, please review the following documents:</w:t>
      </w:r>
    </w:p>
    <w:p>
      <w:pPr>
        <w:spacing w:after="0" w:line="2" w:lineRule="exact"/>
        <w:rPr>
          <w:sz w:val="20"/>
          <w:szCs w:val="20"/>
          <w:color w:val="auto"/>
        </w:rPr>
      </w:pPr>
    </w:p>
    <w:p>
      <w:pPr>
        <w:spacing w:after="0" w:line="236" w:lineRule="auto"/>
        <w:rPr>
          <w:sz w:val="20"/>
          <w:szCs w:val="20"/>
          <w:color w:val="auto"/>
        </w:rPr>
      </w:pPr>
      <w:r>
        <w:rPr>
          <w:rFonts w:ascii="Calibri" w:cs="Calibri" w:eastAsia="Calibri" w:hAnsi="Calibri"/>
          <w:sz w:val="15"/>
          <w:szCs w:val="15"/>
          <w:color w:val="auto"/>
        </w:rPr>
        <w:t>“</w:t>
      </w:r>
      <w:r>
        <w:rPr>
          <w:rFonts w:ascii="Calibri" w:cs="Calibri" w:eastAsia="Calibri" w:hAnsi="Calibri"/>
          <w:sz w:val="15"/>
          <w:szCs w:val="15"/>
          <w:u w:val="single" w:color="auto"/>
          <w:color w:val="auto"/>
        </w:rPr>
        <w:t>Sustainability Strategy 2020-25</w:t>
      </w:r>
      <w:r>
        <w:rPr>
          <w:rFonts w:ascii="Calibri" w:cs="Calibri" w:eastAsia="Calibri" w:hAnsi="Calibri"/>
          <w:sz w:val="15"/>
          <w:szCs w:val="15"/>
          <w:color w:val="auto"/>
        </w:rPr>
        <w:t>” and “</w:t>
      </w:r>
      <w:r>
        <w:rPr>
          <w:rFonts w:ascii="Calibri" w:cs="Calibri" w:eastAsia="Calibri" w:hAnsi="Calibri"/>
          <w:sz w:val="15"/>
          <w:szCs w:val="15"/>
          <w:u w:val="single" w:color="auto"/>
          <w:color w:val="auto"/>
        </w:rPr>
        <w:t>Annual and Sustainability Report 2022.</w:t>
      </w:r>
      <w:r>
        <w:rPr>
          <w:rFonts w:ascii="Calibri" w:cs="Calibri" w:eastAsia="Calibri" w:hAnsi="Calibri"/>
          <w:sz w:val="15"/>
          <w:szCs w:val="15"/>
          <w:color w:val="auto"/>
        </w:rPr>
        <w:t>” Noteworthy milestones hit in the frst quarter of 2023 in the framework of the Sustainability Program include:</w:t>
      </w:r>
    </w:p>
    <w:p>
      <w:pPr>
        <w:spacing w:after="0" w:line="204"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Governance Front – Strengthening our governance structure</w:t>
      </w:r>
    </w:p>
    <w:p>
      <w:pPr>
        <w:spacing w:after="0" w:line="116" w:lineRule="exact"/>
        <w:rPr>
          <w:sz w:val="20"/>
          <w:szCs w:val="20"/>
          <w:color w:val="auto"/>
        </w:rPr>
      </w:pPr>
    </w:p>
    <w:p>
      <w:pPr>
        <w:ind w:left="520" w:hanging="268"/>
        <w:spacing w:after="0" w:line="236" w:lineRule="auto"/>
        <w:tabs>
          <w:tab w:leader="none" w:pos="520" w:val="left"/>
        </w:tabs>
        <w:numPr>
          <w:ilvl w:val="0"/>
          <w:numId w:val="11"/>
        </w:numPr>
        <w:rPr>
          <w:rFonts w:ascii="Arial" w:cs="Arial" w:eastAsia="Arial" w:hAnsi="Arial"/>
          <w:sz w:val="15"/>
          <w:szCs w:val="15"/>
          <w:color w:val="auto"/>
        </w:rPr>
      </w:pPr>
      <w:r>
        <w:rPr>
          <w:rFonts w:ascii="Calibri" w:cs="Calibri" w:eastAsia="Calibri" w:hAnsi="Calibri"/>
          <w:sz w:val="15"/>
          <w:szCs w:val="15"/>
          <w:color w:val="auto"/>
        </w:rPr>
        <w:t>Two new members joined the board; women’s partcipaton on the Board increased to one third; the majority of the Board contnues to be independent and now has more members with expertse in digital innovaton and transformaton.</w:t>
      </w:r>
    </w:p>
    <w:p>
      <w:pPr>
        <w:spacing w:after="0" w:line="2" w:lineRule="exact"/>
        <w:rPr>
          <w:rFonts w:ascii="Arial" w:cs="Arial" w:eastAsia="Arial" w:hAnsi="Arial"/>
          <w:sz w:val="15"/>
          <w:szCs w:val="15"/>
          <w:color w:val="auto"/>
        </w:rPr>
      </w:pPr>
    </w:p>
    <w:p>
      <w:pPr>
        <w:jc w:val="both"/>
        <w:ind w:left="520" w:hanging="268"/>
        <w:spacing w:after="0" w:line="237" w:lineRule="auto"/>
        <w:tabs>
          <w:tab w:leader="none" w:pos="520" w:val="left"/>
        </w:tabs>
        <w:numPr>
          <w:ilvl w:val="0"/>
          <w:numId w:val="11"/>
        </w:numPr>
        <w:rPr>
          <w:rFonts w:ascii="Arial" w:cs="Arial" w:eastAsia="Arial" w:hAnsi="Arial"/>
          <w:sz w:val="15"/>
          <w:szCs w:val="15"/>
          <w:color w:val="auto"/>
        </w:rPr>
      </w:pPr>
      <w:r>
        <w:rPr>
          <w:rFonts w:ascii="Calibri" w:cs="Calibri" w:eastAsia="Calibri" w:hAnsi="Calibri"/>
          <w:sz w:val="15"/>
          <w:szCs w:val="15"/>
          <w:color w:val="auto"/>
        </w:rPr>
        <w:t>The holding published its Annual and Sustainability Report 2022, which was developed with GRI and SASB standards. An in-depth Materiality Analysis was conducted in 2022, which contemplated identfying priority issues to be included in the Sustainability Report; validatng or adjustng our strategy; and aligning our management with the issues prioritzed by our stakeholders.</w:t>
      </w:r>
    </w:p>
    <w:p>
      <w:pPr>
        <w:spacing w:after="0" w:line="2" w:lineRule="exact"/>
        <w:rPr>
          <w:rFonts w:ascii="Arial" w:cs="Arial" w:eastAsia="Arial" w:hAnsi="Arial"/>
          <w:sz w:val="15"/>
          <w:szCs w:val="15"/>
          <w:color w:val="auto"/>
        </w:rPr>
      </w:pPr>
    </w:p>
    <w:p>
      <w:pPr>
        <w:jc w:val="both"/>
        <w:ind w:left="540" w:hanging="277"/>
        <w:spacing w:after="0" w:line="237" w:lineRule="auto"/>
        <w:tabs>
          <w:tab w:leader="none" w:pos="540" w:val="left"/>
        </w:tabs>
        <w:numPr>
          <w:ilvl w:val="1"/>
          <w:numId w:val="11"/>
        </w:numPr>
        <w:rPr>
          <w:rFonts w:ascii="Arial" w:cs="Arial" w:eastAsia="Arial" w:hAnsi="Arial"/>
          <w:sz w:val="15"/>
          <w:szCs w:val="15"/>
          <w:color w:val="auto"/>
        </w:rPr>
      </w:pPr>
      <w:r>
        <w:rPr>
          <w:rFonts w:ascii="Calibri" w:cs="Calibri" w:eastAsia="Calibri" w:hAnsi="Calibri"/>
          <w:sz w:val="15"/>
          <w:szCs w:val="15"/>
          <w:color w:val="auto"/>
        </w:rPr>
        <w:t>On the Asset Management front, we published an update of the Corporate Policy for Responsible and Sustainable Investments and developed Guidelines for Responsible and Sustainable Investments for Listed Companies, which currently includes corporate fxed income and equity investments. Credicorp Capital was awarded Euromoney’s Award of Excellence in the category of Best ESG Investment Team in Wealth Management in Latam.</w:t>
      </w:r>
    </w:p>
    <w:p>
      <w:pPr>
        <w:spacing w:after="0" w:line="123"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Environmental Front – Driving environmental sustainability from the fnancial sector</w:t>
      </w:r>
    </w:p>
    <w:p>
      <w:pPr>
        <w:spacing w:after="0" w:line="127" w:lineRule="exact"/>
        <w:rPr>
          <w:sz w:val="20"/>
          <w:szCs w:val="20"/>
          <w:color w:val="auto"/>
        </w:rPr>
      </w:pPr>
    </w:p>
    <w:p>
      <w:pPr>
        <w:ind w:left="540" w:hanging="277"/>
        <w:spacing w:after="0" w:line="236" w:lineRule="auto"/>
        <w:tabs>
          <w:tab w:leader="none" w:pos="540" w:val="left"/>
        </w:tabs>
        <w:numPr>
          <w:ilvl w:val="1"/>
          <w:numId w:val="12"/>
        </w:numPr>
        <w:rPr>
          <w:rFonts w:ascii="Arial" w:cs="Arial" w:eastAsia="Arial" w:hAnsi="Arial"/>
          <w:sz w:val="15"/>
          <w:szCs w:val="15"/>
          <w:color w:val="auto"/>
        </w:rPr>
      </w:pPr>
      <w:r>
        <w:rPr>
          <w:rFonts w:ascii="Calibri" w:cs="Calibri" w:eastAsia="Calibri" w:hAnsi="Calibri"/>
          <w:sz w:val="15"/>
          <w:szCs w:val="15"/>
          <w:color w:val="auto"/>
        </w:rPr>
        <w:t>In line with our commitment to become carbon-neutral with regard to own emissions by 2032, we completed the measurement and auditng of the carbon footprints of Credicorp’s subsidiaries in 2022.</w:t>
      </w:r>
    </w:p>
    <w:p>
      <w:pPr>
        <w:spacing w:after="0" w:line="2" w:lineRule="exact"/>
        <w:rPr>
          <w:rFonts w:ascii="Arial" w:cs="Arial" w:eastAsia="Arial" w:hAnsi="Arial"/>
          <w:sz w:val="15"/>
          <w:szCs w:val="15"/>
          <w:color w:val="auto"/>
        </w:rPr>
      </w:pPr>
    </w:p>
    <w:p>
      <w:pPr>
        <w:ind w:left="520" w:hanging="268"/>
        <w:spacing w:after="0" w:line="236" w:lineRule="auto"/>
        <w:tabs>
          <w:tab w:leader="none" w:pos="520" w:val="left"/>
        </w:tabs>
        <w:numPr>
          <w:ilvl w:val="0"/>
          <w:numId w:val="12"/>
        </w:numPr>
        <w:rPr>
          <w:rFonts w:ascii="Arial" w:cs="Arial" w:eastAsia="Arial" w:hAnsi="Arial"/>
          <w:sz w:val="15"/>
          <w:szCs w:val="15"/>
          <w:color w:val="auto"/>
        </w:rPr>
      </w:pPr>
      <w:r>
        <w:rPr>
          <w:rFonts w:ascii="Calibri" w:cs="Calibri" w:eastAsia="Calibri" w:hAnsi="Calibri"/>
          <w:sz w:val="15"/>
          <w:szCs w:val="15"/>
          <w:color w:val="auto"/>
        </w:rPr>
        <w:t>In terms of our ESG risk management framework, we contnued to apply questonnaires to clients in prioritzed sectors to improve the identfcaton and measurement of environmental risks. In 2022, 85 clients were assessed. Additonally, we set up guidelines to initate relatons with relevant issuers for the investment portolio.</w:t>
      </w:r>
    </w:p>
    <w:p>
      <w:pPr>
        <w:spacing w:after="0" w:line="2" w:lineRule="exact"/>
        <w:rPr>
          <w:rFonts w:ascii="Arial" w:cs="Arial" w:eastAsia="Arial" w:hAnsi="Arial"/>
          <w:sz w:val="15"/>
          <w:szCs w:val="15"/>
          <w:color w:val="auto"/>
        </w:rPr>
      </w:pPr>
    </w:p>
    <w:p>
      <w:pPr>
        <w:jc w:val="both"/>
        <w:ind w:left="520" w:hanging="268"/>
        <w:spacing w:after="0" w:line="237" w:lineRule="auto"/>
        <w:tabs>
          <w:tab w:leader="none" w:pos="520" w:val="left"/>
        </w:tabs>
        <w:numPr>
          <w:ilvl w:val="0"/>
          <w:numId w:val="12"/>
        </w:numPr>
        <w:rPr>
          <w:rFonts w:ascii="Arial" w:cs="Arial" w:eastAsia="Arial" w:hAnsi="Arial"/>
          <w:sz w:val="15"/>
          <w:szCs w:val="15"/>
          <w:color w:val="auto"/>
        </w:rPr>
      </w:pPr>
      <w:r>
        <w:rPr>
          <w:rFonts w:ascii="Calibri" w:cs="Calibri" w:eastAsia="Calibri" w:hAnsi="Calibri"/>
          <w:sz w:val="15"/>
          <w:szCs w:val="15"/>
          <w:color w:val="auto"/>
        </w:rPr>
        <w:t>The environmental strategy was approved, which is equipped with plans of acton to 2025 at the corporate level and for 7 of Credicorp’s main subsidiaries. This efort includes a strategy associated with measuring the portolio’s emissions; exploring other relevant environmental issues in the countries in which we operate; identfying opportunites for growth in products and services, among others. Additonally, we developed a specifc strategy for wholesale banking at BCP to capture opportunites for fnancial products and services within 4 priority sectors.</w:t>
      </w:r>
    </w:p>
    <w:p>
      <w:pPr>
        <w:spacing w:after="0" w:line="203"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Social Front – Expanding fnancial inclusion and educatng about fnance and entrepreneurship</w:t>
      </w:r>
    </w:p>
    <w:p>
      <w:pPr>
        <w:spacing w:after="0" w:line="112" w:lineRule="exact"/>
        <w:rPr>
          <w:sz w:val="20"/>
          <w:szCs w:val="20"/>
          <w:color w:val="auto"/>
        </w:rPr>
      </w:pPr>
    </w:p>
    <w:p>
      <w:pPr>
        <w:spacing w:after="0"/>
        <w:rPr>
          <w:sz w:val="20"/>
          <w:szCs w:val="20"/>
          <w:color w:val="auto"/>
        </w:rPr>
      </w:pPr>
      <w:r>
        <w:rPr>
          <w:rFonts w:ascii="Calibri" w:cs="Calibri" w:eastAsia="Calibri" w:hAnsi="Calibri"/>
          <w:sz w:val="15"/>
          <w:szCs w:val="15"/>
          <w:color w:val="auto"/>
        </w:rPr>
        <w:t>Financial Inclusion:</w:t>
      </w:r>
    </w:p>
    <w:p>
      <w:pPr>
        <w:spacing w:after="0" w:line="70" w:lineRule="exact"/>
        <w:rPr>
          <w:sz w:val="20"/>
          <w:szCs w:val="20"/>
          <w:color w:val="auto"/>
        </w:rPr>
      </w:pPr>
    </w:p>
    <w:p>
      <w:pPr>
        <w:ind w:left="540" w:hanging="277"/>
        <w:spacing w:after="0" w:line="236" w:lineRule="auto"/>
        <w:tabs>
          <w:tab w:leader="none" w:pos="540" w:val="left"/>
        </w:tabs>
        <w:numPr>
          <w:ilvl w:val="0"/>
          <w:numId w:val="13"/>
        </w:numPr>
        <w:rPr>
          <w:rFonts w:ascii="Arial" w:cs="Arial" w:eastAsia="Arial" w:hAnsi="Arial"/>
          <w:sz w:val="15"/>
          <w:szCs w:val="15"/>
          <w:color w:val="auto"/>
        </w:rPr>
      </w:pPr>
      <w:r>
        <w:rPr>
          <w:rFonts w:ascii="Calibri" w:cs="Calibri" w:eastAsia="Calibri" w:hAnsi="Calibri"/>
          <w:sz w:val="15"/>
          <w:szCs w:val="15"/>
          <w:color w:val="auto"/>
        </w:rPr>
        <w:t>Credicorp presented its study on gender gaps in fnancial inclusion based on the Financial Inclusion Index 2022, which was conducted in the fve countries in which Credicorp operates. According to the study, the gender gap narrowed moderately in 2022.</w:t>
      </w:r>
    </w:p>
    <w:p>
      <w:pPr>
        <w:spacing w:after="0" w:line="2" w:lineRule="exact"/>
        <w:rPr>
          <w:rFonts w:ascii="Arial" w:cs="Arial" w:eastAsia="Arial" w:hAnsi="Arial"/>
          <w:sz w:val="15"/>
          <w:szCs w:val="15"/>
          <w:color w:val="auto"/>
        </w:rPr>
      </w:pPr>
    </w:p>
    <w:p>
      <w:pPr>
        <w:jc w:val="both"/>
        <w:ind w:left="540" w:hanging="277"/>
        <w:spacing w:after="0" w:line="237" w:lineRule="auto"/>
        <w:tabs>
          <w:tab w:leader="none" w:pos="540" w:val="left"/>
        </w:tabs>
        <w:numPr>
          <w:ilvl w:val="0"/>
          <w:numId w:val="13"/>
        </w:numPr>
        <w:rPr>
          <w:rFonts w:ascii="Arial" w:cs="Arial" w:eastAsia="Arial" w:hAnsi="Arial"/>
          <w:sz w:val="15"/>
          <w:szCs w:val="15"/>
          <w:color w:val="auto"/>
        </w:rPr>
      </w:pPr>
      <w:r>
        <w:rPr>
          <w:rFonts w:ascii="Calibri" w:cs="Calibri" w:eastAsia="Calibri" w:hAnsi="Calibri"/>
          <w:sz w:val="15"/>
          <w:szCs w:val="15"/>
          <w:color w:val="auto"/>
        </w:rPr>
        <w:t>Yape fnancially included 100 thousand people this quarter, reaching an accumulated total of 1.1 million afliates. Additonally, Yape afliated 1.5 thousand microbusinesses within Yape’s ecosystem. BCP fnancially included 7 thousand micro, small and medium businesses this quarter through working capital loans (132 thousand clients fnancially included in 2022) and invoice discountng (1.7 thousand clients fnancially included in 2022).</w:t>
      </w:r>
    </w:p>
    <w:p>
      <w:pPr>
        <w:spacing w:after="0" w:line="2" w:lineRule="exact"/>
        <w:rPr>
          <w:rFonts w:ascii="Arial" w:cs="Arial" w:eastAsia="Arial" w:hAnsi="Arial"/>
          <w:sz w:val="15"/>
          <w:szCs w:val="15"/>
          <w:color w:val="auto"/>
        </w:rPr>
      </w:pPr>
    </w:p>
    <w:p>
      <w:pPr>
        <w:ind w:left="540" w:right="20" w:hanging="277"/>
        <w:spacing w:after="0" w:line="236" w:lineRule="auto"/>
        <w:tabs>
          <w:tab w:leader="none" w:pos="540" w:val="left"/>
        </w:tabs>
        <w:numPr>
          <w:ilvl w:val="0"/>
          <w:numId w:val="13"/>
        </w:numPr>
        <w:rPr>
          <w:rFonts w:ascii="Arial" w:cs="Arial" w:eastAsia="Arial" w:hAnsi="Arial"/>
          <w:sz w:val="15"/>
          <w:szCs w:val="15"/>
          <w:color w:val="auto"/>
        </w:rPr>
      </w:pPr>
      <w:r>
        <w:rPr>
          <w:rFonts w:ascii="Calibri" w:cs="Calibri" w:eastAsia="Calibri" w:hAnsi="Calibri"/>
          <w:sz w:val="15"/>
          <w:szCs w:val="15"/>
          <w:color w:val="auto"/>
        </w:rPr>
        <w:t>At Pacífco, we contnued to make headway in our commitment to fnancial inclusion through our insurance services and issued a total of 2.7 million inclusive policies by quarter-end.</w:t>
      </w:r>
    </w:p>
    <w:p>
      <w:pPr>
        <w:spacing w:after="0" w:line="56" w:lineRule="exact"/>
        <w:rPr>
          <w:sz w:val="20"/>
          <w:szCs w:val="20"/>
          <w:color w:val="auto"/>
        </w:rPr>
      </w:pPr>
    </w:p>
    <w:p>
      <w:pPr>
        <w:spacing w:after="0"/>
        <w:rPr>
          <w:sz w:val="20"/>
          <w:szCs w:val="20"/>
          <w:color w:val="auto"/>
        </w:rPr>
      </w:pPr>
      <w:r>
        <w:rPr>
          <w:rFonts w:ascii="Calibri" w:cs="Calibri" w:eastAsia="Calibri" w:hAnsi="Calibri"/>
          <w:sz w:val="15"/>
          <w:szCs w:val="15"/>
          <w:color w:val="auto"/>
        </w:rPr>
        <w:t>Financial Educaton:</w:t>
      </w:r>
    </w:p>
    <w:p>
      <w:pPr>
        <w:spacing w:after="0" w:line="59" w:lineRule="exact"/>
        <w:rPr>
          <w:sz w:val="20"/>
          <w:szCs w:val="20"/>
          <w:color w:val="auto"/>
        </w:rPr>
      </w:pPr>
    </w:p>
    <w:p>
      <w:pPr>
        <w:jc w:val="both"/>
        <w:ind w:left="540" w:hanging="277"/>
        <w:spacing w:after="0" w:line="237" w:lineRule="auto"/>
        <w:tabs>
          <w:tab w:leader="none" w:pos="540" w:val="left"/>
        </w:tabs>
        <w:numPr>
          <w:ilvl w:val="0"/>
          <w:numId w:val="14"/>
        </w:numPr>
        <w:rPr>
          <w:rFonts w:ascii="Arial" w:cs="Arial" w:eastAsia="Arial" w:hAnsi="Arial"/>
          <w:sz w:val="15"/>
          <w:szCs w:val="15"/>
          <w:color w:val="auto"/>
        </w:rPr>
      </w:pPr>
      <w:r>
        <w:rPr>
          <w:rFonts w:ascii="Calibri" w:cs="Calibri" w:eastAsia="Calibri" w:hAnsi="Calibri"/>
          <w:sz w:val="15"/>
          <w:szCs w:val="15"/>
          <w:color w:val="auto"/>
        </w:rPr>
        <w:t>We contnue to focus on promotng fnancial educaton through all of our subsidiaries. At BCP, more than 310 thousand people have partcipated in our fnancial educaton programs. At BCP Bolivia, the number of partcipants topped 51 thousand while Pacífco Seguros and Prima registered a total count of 400 thousand and 60 thousand partcipants respectvely.</w:t>
      </w:r>
    </w:p>
    <w:p>
      <w:pPr>
        <w:spacing w:after="0" w:line="2" w:lineRule="exact"/>
        <w:rPr>
          <w:rFonts w:ascii="Arial" w:cs="Arial" w:eastAsia="Arial" w:hAnsi="Arial"/>
          <w:sz w:val="15"/>
          <w:szCs w:val="15"/>
          <w:color w:val="auto"/>
        </w:rPr>
      </w:pPr>
    </w:p>
    <w:p>
      <w:pPr>
        <w:jc w:val="both"/>
        <w:ind w:left="540" w:hanging="277"/>
        <w:spacing w:after="0" w:line="230" w:lineRule="auto"/>
        <w:tabs>
          <w:tab w:leader="none" w:pos="540" w:val="left"/>
        </w:tabs>
        <w:numPr>
          <w:ilvl w:val="0"/>
          <w:numId w:val="14"/>
        </w:numPr>
        <w:rPr>
          <w:rFonts w:ascii="Arial" w:cs="Arial" w:eastAsia="Arial" w:hAnsi="Arial"/>
          <w:sz w:val="17"/>
          <w:szCs w:val="17"/>
          <w:color w:val="auto"/>
        </w:rPr>
      </w:pPr>
      <w:r>
        <w:rPr>
          <w:rFonts w:ascii="Calibri" w:cs="Calibri" w:eastAsia="Calibri" w:hAnsi="Calibri"/>
          <w:sz w:val="15"/>
          <w:szCs w:val="15"/>
          <w:color w:val="auto"/>
        </w:rPr>
        <w:t>Mibanco has entered into educatonal partnerships with Fundación Oli and Socios en Salud to reach individuals at the base of the economic pyramid. Additonally, the bank worked with the Ministry of Producton to roll out on-site workshops, webinars and fairs for microentrepreneurs throughout the country. In 2022, more than 247 thousand entrepreneurs benefted from the tools and knowledge imparted through fnancial and digital educaton.</w:t>
      </w:r>
    </w:p>
    <w:p>
      <w:pPr>
        <w:spacing w:after="0" w:line="200" w:lineRule="exact"/>
        <w:rPr>
          <w:sz w:val="20"/>
          <w:szCs w:val="20"/>
          <w:color w:val="auto"/>
        </w:rPr>
      </w:pPr>
    </w:p>
    <w:p>
      <w:pPr>
        <w:spacing w:after="0" w:line="266"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7" w:right="319" w:bottom="1440" w:gutter="0" w:footer="0" w:header="0"/>
        </w:sectPr>
      </w:pPr>
    </w:p>
    <w:bookmarkStart w:id="17" w:name="page18"/>
    <w:bookmarkEnd w:id="17"/>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alibri" w:cs="Calibri" w:eastAsia="Calibri" w:hAnsi="Calibri"/>
          <w:sz w:val="44"/>
          <w:szCs w:val="44"/>
          <w:b w:val="1"/>
          <w:bCs w:val="1"/>
          <w:color w:val="E93CAC"/>
        </w:rPr>
        <w:t xml:space="preserve">01 </w:t>
      </w:r>
      <w:r>
        <w:rPr>
          <w:rFonts w:ascii="Calibri" w:cs="Calibri" w:eastAsia="Calibri" w:hAnsi="Calibri"/>
          <w:sz w:val="27"/>
          <w:szCs w:val="27"/>
          <w:b w:val="1"/>
          <w:bCs w:val="1"/>
          <w:color w:val="E93CAC"/>
        </w:rPr>
        <w:t>Loan Portolio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53910" cy="11239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910" cy="1123950"/>
                    </a:xfrm>
                    <a:prstGeom prst="rect">
                      <a:avLst/>
                    </a:prstGeom>
                    <a:noFill/>
                  </pic:spPr>
                </pic:pic>
              </a:graphicData>
            </a:graphic>
          </wp:anchor>
        </w:drawing>
      </w:r>
    </w:p>
    <w:p>
      <w:pPr>
        <w:spacing w:after="0" w:line="228" w:lineRule="exact"/>
        <w:rPr>
          <w:sz w:val="20"/>
          <w:szCs w:val="20"/>
          <w:color w:val="auto"/>
        </w:rPr>
      </w:pPr>
    </w:p>
    <w:p>
      <w:pPr>
        <w:jc w:val="both"/>
        <w:ind w:left="100" w:right="100"/>
        <w:spacing w:after="0" w:line="237" w:lineRule="auto"/>
        <w:rPr>
          <w:sz w:val="20"/>
          <w:szCs w:val="20"/>
          <w:color w:val="auto"/>
        </w:rPr>
      </w:pPr>
      <w:r>
        <w:rPr>
          <w:rFonts w:ascii="Calibri" w:cs="Calibri" w:eastAsia="Calibri" w:hAnsi="Calibri"/>
          <w:sz w:val="15"/>
          <w:szCs w:val="15"/>
          <w:color w:val="FFFFFF"/>
        </w:rPr>
        <w:t>The structural loan volume, measured in average daily balances, fell QoQ due to amortzatons of Wholesale Banking loans due to a seasonal efect that is present every frst quarter. This reducton was partally ofset by a slight increase in loans volumes in ADB in Retail Banking and Mibanco, which have shifed their focus to concentrate on lower-risk clients in an adverse environment marked by social protests and damaging rains. YoY, structural loans in average daily balances grew due to expansion in Retail Banking segments; disbursements for working capital loans in Wholesale Banking; and growth in Mibanco’s portolio during the second half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-447040</wp:posOffset>
            </wp:positionV>
            <wp:extent cx="7082155" cy="10737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2155" cy="1073785"/>
                    </a:xfrm>
                    <a:prstGeom prst="rect">
                      <a:avLst/>
                    </a:prstGeom>
                    <a:noFill/>
                  </pic:spPr>
                </pic:pic>
              </a:graphicData>
            </a:graphic>
          </wp:anchor>
        </w:drawing>
      </w:r>
    </w:p>
    <w:p>
      <w:pPr>
        <w:spacing w:after="0" w:line="142" w:lineRule="exact"/>
        <w:rPr>
          <w:sz w:val="20"/>
          <w:szCs w:val="20"/>
          <w:color w:val="auto"/>
        </w:rPr>
      </w:pPr>
    </w:p>
    <w:p>
      <w:pPr>
        <w:jc w:val="both"/>
        <w:ind w:left="100" w:right="100"/>
        <w:spacing w:after="0" w:line="237" w:lineRule="auto"/>
        <w:rPr>
          <w:sz w:val="20"/>
          <w:szCs w:val="20"/>
          <w:color w:val="auto"/>
        </w:rPr>
      </w:pPr>
      <w:r>
        <w:rPr>
          <w:rFonts w:ascii="Calibri" w:cs="Calibri" w:eastAsia="Calibri" w:hAnsi="Calibri"/>
          <w:sz w:val="15"/>
          <w:szCs w:val="15"/>
          <w:color w:val="FFFFFF"/>
        </w:rPr>
        <w:t>The Structural NPL Rato rose QoQ and YoY due to (i) growth in the NPL loan volume in Wholesale Banking, where the new overdue portolio was already 100% provisioned given that provision models had collected said impairment in advance; (ii) deterioraton in Mibanco’s portolio, which was impacted by social protests and damaging rains; and (iii) growth in the overdue portolio in Retail Banking, which was concentrated in the higher-risk disbursements made in 2022. This growth was partally ofset by the sale of a judicial portolio and write-ofs registered in Retail Banking in 1Q23.</w:t>
      </w: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260" w:type="dxa"/>
            <w:vAlign w:val="bottom"/>
          </w:tcPr>
          <w:p>
            <w:pPr>
              <w:spacing w:after="0"/>
              <w:rPr>
                <w:sz w:val="20"/>
                <w:szCs w:val="20"/>
                <w:color w:val="auto"/>
              </w:rPr>
            </w:pPr>
            <w:r>
              <w:rPr>
                <w:rFonts w:ascii="Calibri" w:cs="Calibri" w:eastAsia="Calibri" w:hAnsi="Calibri"/>
                <w:sz w:val="15"/>
                <w:szCs w:val="15"/>
                <w:b w:val="1"/>
                <w:bCs w:val="1"/>
                <w:color w:val="auto"/>
              </w:rPr>
              <w:t>1.1.</w:t>
            </w:r>
          </w:p>
        </w:tc>
        <w:tc>
          <w:tcPr>
            <w:tcW w:w="1980" w:type="dxa"/>
            <w:vAlign w:val="bottom"/>
          </w:tcPr>
          <w:p>
            <w:pPr>
              <w:ind w:left="280"/>
              <w:spacing w:after="0"/>
              <w:rPr>
                <w:sz w:val="20"/>
                <w:szCs w:val="20"/>
                <w:color w:val="auto"/>
              </w:rPr>
            </w:pPr>
            <w:r>
              <w:rPr>
                <w:rFonts w:ascii="Calibri" w:cs="Calibri" w:eastAsia="Calibri" w:hAnsi="Calibri"/>
                <w:sz w:val="15"/>
                <w:szCs w:val="15"/>
                <w:b w:val="1"/>
                <w:bCs w:val="1"/>
                <w:color w:val="auto"/>
              </w:rPr>
              <w:t>Loans</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20" w:type="dxa"/>
            <w:vAlign w:val="bottom"/>
            <w:gridSpan w:val="4"/>
          </w:tcPr>
          <w:p>
            <w:pPr>
              <w:ind w:left="60"/>
              <w:spacing w:after="0"/>
              <w:rPr>
                <w:sz w:val="20"/>
                <w:szCs w:val="20"/>
                <w:color w:val="auto"/>
              </w:rPr>
            </w:pPr>
            <w:r>
              <w:rPr>
                <w:rFonts w:ascii="Calibri" w:cs="Calibri" w:eastAsia="Calibri" w:hAnsi="Calibri"/>
                <w:sz w:val="15"/>
                <w:szCs w:val="15"/>
                <w:b w:val="1"/>
                <w:bCs w:val="1"/>
                <w:color w:val="auto"/>
              </w:rPr>
              <w:t xml:space="preserve">Structural loans (in Average Daily Balances) </w:t>
            </w:r>
            <w:r>
              <w:rPr>
                <w:rFonts w:ascii="Calibri" w:cs="Calibri" w:eastAsia="Calibri" w:hAnsi="Calibri"/>
                <w:sz w:val="25"/>
                <w:szCs w:val="25"/>
                <w:b w:val="1"/>
                <w:bCs w:val="1"/>
                <w:color w:val="auto"/>
                <w:vertAlign w:val="superscript"/>
              </w:rPr>
              <w:t>(1)(2)(3)</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gridSpan w:val="2"/>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gridSpan w:val="2"/>
          </w:tcPr>
          <w:p>
            <w:pPr>
              <w:spacing w:after="0"/>
              <w:rPr>
                <w:sz w:val="9"/>
                <w:szCs w:val="9"/>
                <w:color w:val="auto"/>
              </w:rPr>
            </w:pPr>
          </w:p>
        </w:tc>
        <w:tc>
          <w:tcPr>
            <w:tcW w:w="1600" w:type="dxa"/>
            <w:vAlign w:val="bottom"/>
            <w:tcBorders>
              <w:bottom w:val="single" w:sz="8" w:color="auto"/>
            </w:tcBorders>
            <w:gridSpan w:val="2"/>
          </w:tcPr>
          <w:p>
            <w:pPr>
              <w:spacing w:after="0"/>
              <w:rPr>
                <w:sz w:val="9"/>
                <w:szCs w:val="9"/>
                <w:color w:val="auto"/>
              </w:rPr>
            </w:pPr>
          </w:p>
        </w:tc>
        <w:tc>
          <w:tcPr>
            <w:tcW w:w="2800" w:type="dxa"/>
            <w:vAlign w:val="bottom"/>
            <w:tcBorders>
              <w:bottom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240" w:type="dxa"/>
            <w:vAlign w:val="bottom"/>
            <w:tcBorders>
              <w:left w:val="single" w:sz="8" w:color="auto"/>
              <w:right w:val="single" w:sz="8" w:color="auto"/>
            </w:tcBorders>
            <w:gridSpan w:val="2"/>
            <w:shd w:val="clear" w:color="auto" w:fill="2AD2C9"/>
          </w:tcPr>
          <w:p>
            <w:pPr>
              <w:ind w:left="20"/>
              <w:spacing w:after="0" w:line="184" w:lineRule="exact"/>
              <w:rPr>
                <w:sz w:val="20"/>
                <w:szCs w:val="20"/>
                <w:color w:val="auto"/>
              </w:rPr>
            </w:pPr>
            <w:r>
              <w:rPr>
                <w:rFonts w:ascii="Calibri" w:cs="Calibri" w:eastAsia="Calibri" w:hAnsi="Calibri"/>
                <w:sz w:val="17"/>
                <w:szCs w:val="17"/>
                <w:b w:val="1"/>
                <w:bCs w:val="1"/>
                <w:color w:val="FFFFFF"/>
              </w:rPr>
              <w:t>Structural Loans</w:t>
            </w:r>
          </w:p>
        </w:tc>
        <w:tc>
          <w:tcPr>
            <w:tcW w:w="960" w:type="dxa"/>
            <w:vAlign w:val="bottom"/>
            <w:shd w:val="clear" w:color="auto" w:fill="2AD2C9"/>
          </w:tcPr>
          <w:p>
            <w:pPr>
              <w:spacing w:after="0"/>
              <w:rPr>
                <w:sz w:val="15"/>
                <w:szCs w:val="15"/>
                <w:color w:val="auto"/>
              </w:rPr>
            </w:pPr>
          </w:p>
        </w:tc>
        <w:tc>
          <w:tcPr>
            <w:tcW w:w="820" w:type="dxa"/>
            <w:vAlign w:val="bottom"/>
            <w:shd w:val="clear" w:color="auto" w:fill="2AD2C9"/>
          </w:tcPr>
          <w:p>
            <w:pPr>
              <w:jc w:val="center"/>
              <w:ind w:left="77"/>
              <w:spacing w:after="0" w:line="184" w:lineRule="exact"/>
              <w:rPr>
                <w:sz w:val="20"/>
                <w:szCs w:val="20"/>
                <w:color w:val="auto"/>
              </w:rPr>
            </w:pPr>
            <w:r>
              <w:rPr>
                <w:rFonts w:ascii="Calibri" w:cs="Calibri" w:eastAsia="Calibri" w:hAnsi="Calibri"/>
                <w:sz w:val="17"/>
                <w:szCs w:val="17"/>
                <w:b w:val="1"/>
                <w:bCs w:val="1"/>
                <w:color w:val="FFFFFF"/>
                <w:w w:val="95"/>
              </w:rPr>
              <w:t>As of</w:t>
            </w:r>
          </w:p>
        </w:tc>
        <w:tc>
          <w:tcPr>
            <w:tcW w:w="1140" w:type="dxa"/>
            <w:vAlign w:val="bottom"/>
            <w:tcBorders>
              <w:right w:val="single" w:sz="8" w:color="auto"/>
            </w:tcBorders>
            <w:shd w:val="clear" w:color="auto" w:fill="2AD2C9"/>
          </w:tcPr>
          <w:p>
            <w:pPr>
              <w:spacing w:after="0"/>
              <w:rPr>
                <w:sz w:val="15"/>
                <w:szCs w:val="15"/>
                <w:color w:val="auto"/>
              </w:rPr>
            </w:pPr>
          </w:p>
        </w:tc>
        <w:tc>
          <w:tcPr>
            <w:tcW w:w="1700" w:type="dxa"/>
            <w:vAlign w:val="bottom"/>
            <w:tcBorders>
              <w:right w:val="single" w:sz="8" w:color="auto"/>
            </w:tcBorders>
            <w:gridSpan w:val="2"/>
            <w:shd w:val="clear" w:color="auto" w:fill="2AD2C9"/>
          </w:tcPr>
          <w:p>
            <w:pPr>
              <w:ind w:left="300"/>
              <w:spacing w:after="0" w:line="184" w:lineRule="exact"/>
              <w:rPr>
                <w:sz w:val="20"/>
                <w:szCs w:val="20"/>
                <w:color w:val="auto"/>
              </w:rPr>
            </w:pPr>
            <w:r>
              <w:rPr>
                <w:rFonts w:ascii="Calibri" w:cs="Calibri" w:eastAsia="Calibri" w:hAnsi="Calibri"/>
                <w:sz w:val="17"/>
                <w:szCs w:val="17"/>
                <w:b w:val="1"/>
                <w:bCs w:val="1"/>
                <w:color w:val="FFFFFF"/>
              </w:rPr>
              <w:t>Volume change</w:t>
            </w:r>
          </w:p>
        </w:tc>
        <w:tc>
          <w:tcPr>
            <w:tcW w:w="1600" w:type="dxa"/>
            <w:vAlign w:val="bottom"/>
            <w:tcBorders>
              <w:right w:val="single" w:sz="8" w:color="auto"/>
            </w:tcBorders>
            <w:gridSpan w:val="2"/>
            <w:shd w:val="clear" w:color="auto" w:fill="2AD2C9"/>
          </w:tcPr>
          <w:p>
            <w:pPr>
              <w:ind w:left="460"/>
              <w:spacing w:after="0" w:line="184" w:lineRule="exact"/>
              <w:rPr>
                <w:sz w:val="20"/>
                <w:szCs w:val="20"/>
                <w:color w:val="auto"/>
              </w:rPr>
            </w:pPr>
            <w:r>
              <w:rPr>
                <w:rFonts w:ascii="Calibri" w:cs="Calibri" w:eastAsia="Calibri" w:hAnsi="Calibri"/>
                <w:sz w:val="17"/>
                <w:szCs w:val="17"/>
                <w:b w:val="1"/>
                <w:bCs w:val="1"/>
                <w:color w:val="FFFFFF"/>
              </w:rPr>
              <w:t>% change</w:t>
            </w:r>
          </w:p>
        </w:tc>
        <w:tc>
          <w:tcPr>
            <w:tcW w:w="2800" w:type="dxa"/>
            <w:vAlign w:val="bottom"/>
            <w:tcBorders>
              <w:right w:val="single" w:sz="8" w:color="auto"/>
            </w:tcBorders>
            <w:gridSpan w:val="3"/>
            <w:shd w:val="clear" w:color="auto" w:fill="2AD2C9"/>
          </w:tcPr>
          <w:p>
            <w:pPr>
              <w:jc w:val="center"/>
              <w:spacing w:after="0" w:line="184" w:lineRule="exact"/>
              <w:rPr>
                <w:sz w:val="20"/>
                <w:szCs w:val="20"/>
                <w:color w:val="auto"/>
              </w:rPr>
            </w:pPr>
            <w:r>
              <w:rPr>
                <w:rFonts w:ascii="Calibri" w:cs="Calibri" w:eastAsia="Calibri" w:hAnsi="Calibri"/>
                <w:sz w:val="17"/>
                <w:szCs w:val="17"/>
                <w:b w:val="1"/>
                <w:bCs w:val="1"/>
                <w:color w:val="FFFFFF"/>
                <w:w w:val="99"/>
              </w:rPr>
              <w:t>% Part. in total structural loans</w:t>
            </w:r>
          </w:p>
        </w:tc>
        <w:tc>
          <w:tcPr>
            <w:tcW w:w="0" w:type="dxa"/>
            <w:vAlign w:val="bottom"/>
          </w:tcPr>
          <w:p>
            <w:pPr>
              <w:spacing w:after="0"/>
              <w:rPr>
                <w:sz w:val="1"/>
                <w:szCs w:val="1"/>
                <w:color w:val="auto"/>
              </w:rPr>
            </w:pPr>
          </w:p>
        </w:tc>
      </w:tr>
      <w:tr>
        <w:trPr>
          <w:trHeight w:val="233"/>
        </w:trPr>
        <w:tc>
          <w:tcPr>
            <w:tcW w:w="2240" w:type="dxa"/>
            <w:vAlign w:val="bottom"/>
            <w:tcBorders>
              <w:left w:val="single" w:sz="8" w:color="auto"/>
              <w:bottom w:val="single" w:sz="8" w:color="2AD2C9"/>
              <w:right w:val="single" w:sz="8" w:color="auto"/>
            </w:tcBorders>
            <w:gridSpan w:val="2"/>
            <w:shd w:val="clear" w:color="auto" w:fill="2AD2C9"/>
          </w:tcPr>
          <w:p>
            <w:pPr>
              <w:ind w:left="20"/>
              <w:spacing w:after="0" w:line="197" w:lineRule="exact"/>
              <w:rPr>
                <w:sz w:val="20"/>
                <w:szCs w:val="20"/>
                <w:color w:val="auto"/>
              </w:rPr>
            </w:pPr>
            <w:r>
              <w:rPr>
                <w:rFonts w:ascii="Calibri" w:cs="Calibri" w:eastAsia="Calibri" w:hAnsi="Calibri"/>
                <w:sz w:val="17"/>
                <w:szCs w:val="17"/>
                <w:color w:val="FFFFFF"/>
              </w:rPr>
              <w:t>(S/ millions)</w:t>
            </w:r>
          </w:p>
        </w:tc>
        <w:tc>
          <w:tcPr>
            <w:tcW w:w="960" w:type="dxa"/>
            <w:vAlign w:val="bottom"/>
            <w:tcBorders>
              <w:bottom w:val="single" w:sz="8" w:color="2AD2C9"/>
            </w:tcBorders>
            <w:shd w:val="clear" w:color="auto" w:fill="2AD2C9"/>
          </w:tcPr>
          <w:p>
            <w:pPr>
              <w:ind w:left="220"/>
              <w:spacing w:after="0" w:line="197" w:lineRule="exact"/>
              <w:rPr>
                <w:sz w:val="20"/>
                <w:szCs w:val="20"/>
                <w:color w:val="auto"/>
              </w:rPr>
            </w:pPr>
            <w:r>
              <w:rPr>
                <w:rFonts w:ascii="Calibri" w:cs="Calibri" w:eastAsia="Calibri" w:hAnsi="Calibri"/>
                <w:sz w:val="17"/>
                <w:szCs w:val="17"/>
                <w:b w:val="1"/>
                <w:bCs w:val="1"/>
                <w:color w:val="FFFFFF"/>
              </w:rPr>
              <w:t>Mar 22</w:t>
            </w:r>
          </w:p>
        </w:tc>
        <w:tc>
          <w:tcPr>
            <w:tcW w:w="820" w:type="dxa"/>
            <w:vAlign w:val="bottom"/>
            <w:tcBorders>
              <w:bottom w:val="single" w:sz="8" w:color="2AD2C9"/>
            </w:tcBorders>
            <w:shd w:val="clear" w:color="auto" w:fill="2AD2C9"/>
          </w:tcPr>
          <w:p>
            <w:pPr>
              <w:jc w:val="center"/>
              <w:ind w:left="77"/>
              <w:spacing w:after="0" w:line="197" w:lineRule="exact"/>
              <w:rPr>
                <w:sz w:val="20"/>
                <w:szCs w:val="20"/>
                <w:color w:val="auto"/>
              </w:rPr>
            </w:pPr>
            <w:r>
              <w:rPr>
                <w:rFonts w:ascii="Calibri" w:cs="Calibri" w:eastAsia="Calibri" w:hAnsi="Calibri"/>
                <w:sz w:val="17"/>
                <w:szCs w:val="17"/>
                <w:b w:val="1"/>
                <w:bCs w:val="1"/>
                <w:color w:val="FFFFFF"/>
                <w:w w:val="96"/>
              </w:rPr>
              <w:t>Dec 22</w:t>
            </w:r>
          </w:p>
        </w:tc>
        <w:tc>
          <w:tcPr>
            <w:tcW w:w="1140" w:type="dxa"/>
            <w:vAlign w:val="bottom"/>
            <w:tcBorders>
              <w:bottom w:val="single" w:sz="8" w:color="2AD2C9"/>
              <w:right w:val="single" w:sz="8" w:color="auto"/>
            </w:tcBorders>
            <w:shd w:val="clear" w:color="auto" w:fill="2AD2C9"/>
          </w:tcPr>
          <w:p>
            <w:pPr>
              <w:ind w:left="380"/>
              <w:spacing w:after="0" w:line="197" w:lineRule="exact"/>
              <w:rPr>
                <w:sz w:val="20"/>
                <w:szCs w:val="20"/>
                <w:color w:val="auto"/>
              </w:rPr>
            </w:pPr>
            <w:r>
              <w:rPr>
                <w:rFonts w:ascii="Calibri" w:cs="Calibri" w:eastAsia="Calibri" w:hAnsi="Calibri"/>
                <w:sz w:val="17"/>
                <w:szCs w:val="17"/>
                <w:b w:val="1"/>
                <w:bCs w:val="1"/>
                <w:color w:val="FFFFFF"/>
              </w:rPr>
              <w:t>Mar 23</w:t>
            </w:r>
          </w:p>
        </w:tc>
        <w:tc>
          <w:tcPr>
            <w:tcW w:w="820" w:type="dxa"/>
            <w:vAlign w:val="bottom"/>
            <w:tcBorders>
              <w:bottom w:val="single" w:sz="8" w:color="2AD2C9"/>
            </w:tcBorders>
            <w:shd w:val="clear" w:color="auto" w:fill="2AD2C9"/>
          </w:tcPr>
          <w:p>
            <w:pPr>
              <w:ind w:left="240"/>
              <w:spacing w:after="0" w:line="197" w:lineRule="exact"/>
              <w:rPr>
                <w:sz w:val="20"/>
                <w:szCs w:val="20"/>
                <w:color w:val="auto"/>
              </w:rPr>
            </w:pPr>
            <w:r>
              <w:rPr>
                <w:rFonts w:ascii="Calibri" w:cs="Calibri" w:eastAsia="Calibri" w:hAnsi="Calibri"/>
                <w:sz w:val="17"/>
                <w:szCs w:val="17"/>
                <w:b w:val="1"/>
                <w:bCs w:val="1"/>
                <w:color w:val="FFFFFF"/>
              </w:rPr>
              <w:t>QoQ</w:t>
            </w:r>
          </w:p>
        </w:tc>
        <w:tc>
          <w:tcPr>
            <w:tcW w:w="880" w:type="dxa"/>
            <w:vAlign w:val="bottom"/>
            <w:tcBorders>
              <w:bottom w:val="single" w:sz="8" w:color="2AD2C9"/>
              <w:right w:val="single" w:sz="8" w:color="auto"/>
            </w:tcBorders>
            <w:shd w:val="clear" w:color="auto" w:fill="2AD2C9"/>
          </w:tcPr>
          <w:p>
            <w:pPr>
              <w:ind w:left="300"/>
              <w:spacing w:after="0" w:line="197" w:lineRule="exact"/>
              <w:rPr>
                <w:sz w:val="20"/>
                <w:szCs w:val="20"/>
                <w:color w:val="auto"/>
              </w:rPr>
            </w:pPr>
            <w:r>
              <w:rPr>
                <w:rFonts w:ascii="Calibri" w:cs="Calibri" w:eastAsia="Calibri" w:hAnsi="Calibri"/>
                <w:sz w:val="17"/>
                <w:szCs w:val="17"/>
                <w:b w:val="1"/>
                <w:bCs w:val="1"/>
                <w:color w:val="FFFFFF"/>
              </w:rPr>
              <w:t>YoY</w:t>
            </w:r>
          </w:p>
        </w:tc>
        <w:tc>
          <w:tcPr>
            <w:tcW w:w="780" w:type="dxa"/>
            <w:vAlign w:val="bottom"/>
            <w:tcBorders>
              <w:bottom w:val="single" w:sz="8" w:color="2AD2C9"/>
            </w:tcBorders>
            <w:shd w:val="clear" w:color="auto" w:fill="2AD2C9"/>
          </w:tcPr>
          <w:p>
            <w:pPr>
              <w:ind w:left="220"/>
              <w:spacing w:after="0" w:line="197" w:lineRule="exact"/>
              <w:rPr>
                <w:sz w:val="20"/>
                <w:szCs w:val="20"/>
                <w:color w:val="auto"/>
              </w:rPr>
            </w:pPr>
            <w:r>
              <w:rPr>
                <w:rFonts w:ascii="Calibri" w:cs="Calibri" w:eastAsia="Calibri" w:hAnsi="Calibri"/>
                <w:sz w:val="17"/>
                <w:szCs w:val="17"/>
                <w:b w:val="1"/>
                <w:bCs w:val="1"/>
                <w:color w:val="FFFFFF"/>
              </w:rPr>
              <w:t>QoQ</w:t>
            </w:r>
          </w:p>
        </w:tc>
        <w:tc>
          <w:tcPr>
            <w:tcW w:w="820" w:type="dxa"/>
            <w:vAlign w:val="bottom"/>
            <w:tcBorders>
              <w:bottom w:val="single" w:sz="8" w:color="2AD2C9"/>
              <w:right w:val="single" w:sz="8" w:color="auto"/>
            </w:tcBorders>
            <w:shd w:val="clear" w:color="auto" w:fill="2AD2C9"/>
          </w:tcPr>
          <w:p>
            <w:pPr>
              <w:ind w:left="280"/>
              <w:spacing w:after="0" w:line="197" w:lineRule="exact"/>
              <w:rPr>
                <w:sz w:val="20"/>
                <w:szCs w:val="20"/>
                <w:color w:val="auto"/>
              </w:rPr>
            </w:pPr>
            <w:r>
              <w:rPr>
                <w:rFonts w:ascii="Calibri" w:cs="Calibri" w:eastAsia="Calibri" w:hAnsi="Calibri"/>
                <w:sz w:val="17"/>
                <w:szCs w:val="17"/>
                <w:b w:val="1"/>
                <w:bCs w:val="1"/>
                <w:color w:val="FFFFFF"/>
              </w:rPr>
              <w:t>YoY</w:t>
            </w:r>
          </w:p>
        </w:tc>
        <w:tc>
          <w:tcPr>
            <w:tcW w:w="920" w:type="dxa"/>
            <w:vAlign w:val="bottom"/>
            <w:tcBorders>
              <w:bottom w:val="single" w:sz="8" w:color="2AD2C9"/>
            </w:tcBorders>
            <w:shd w:val="clear" w:color="auto" w:fill="2AD2C9"/>
          </w:tcPr>
          <w:p>
            <w:pPr>
              <w:ind w:left="220"/>
              <w:spacing w:after="0" w:line="197" w:lineRule="exact"/>
              <w:rPr>
                <w:sz w:val="20"/>
                <w:szCs w:val="20"/>
                <w:color w:val="auto"/>
              </w:rPr>
            </w:pPr>
            <w:r>
              <w:rPr>
                <w:rFonts w:ascii="Calibri" w:cs="Calibri" w:eastAsia="Calibri" w:hAnsi="Calibri"/>
                <w:sz w:val="17"/>
                <w:szCs w:val="17"/>
                <w:b w:val="1"/>
                <w:bCs w:val="1"/>
                <w:color w:val="FFFFFF"/>
              </w:rPr>
              <w:t>Mar 22</w:t>
            </w:r>
          </w:p>
        </w:tc>
        <w:tc>
          <w:tcPr>
            <w:tcW w:w="940" w:type="dxa"/>
            <w:vAlign w:val="bottom"/>
            <w:tcBorders>
              <w:bottom w:val="single" w:sz="8" w:color="2AD2C9"/>
            </w:tcBorders>
            <w:shd w:val="clear" w:color="auto" w:fill="2AD2C9"/>
          </w:tcPr>
          <w:p>
            <w:pPr>
              <w:jc w:val="center"/>
              <w:spacing w:after="0" w:line="197" w:lineRule="exact"/>
              <w:rPr>
                <w:sz w:val="20"/>
                <w:szCs w:val="20"/>
                <w:color w:val="auto"/>
              </w:rPr>
            </w:pPr>
            <w:r>
              <w:rPr>
                <w:rFonts w:ascii="Calibri" w:cs="Calibri" w:eastAsia="Calibri" w:hAnsi="Calibri"/>
                <w:sz w:val="17"/>
                <w:szCs w:val="17"/>
                <w:b w:val="1"/>
                <w:bCs w:val="1"/>
                <w:color w:val="FFFFFF"/>
                <w:w w:val="96"/>
              </w:rPr>
              <w:t>Dec 22</w:t>
            </w:r>
          </w:p>
        </w:tc>
        <w:tc>
          <w:tcPr>
            <w:tcW w:w="940" w:type="dxa"/>
            <w:vAlign w:val="bottom"/>
            <w:tcBorders>
              <w:bottom w:val="single" w:sz="8" w:color="2AD2C9"/>
              <w:right w:val="single" w:sz="8" w:color="auto"/>
            </w:tcBorders>
            <w:shd w:val="clear" w:color="auto" w:fill="2AD2C9"/>
          </w:tcPr>
          <w:p>
            <w:pPr>
              <w:ind w:left="200"/>
              <w:spacing w:after="0" w:line="197" w:lineRule="exact"/>
              <w:rPr>
                <w:sz w:val="20"/>
                <w:szCs w:val="20"/>
                <w:color w:val="auto"/>
              </w:rPr>
            </w:pPr>
            <w:r>
              <w:rPr>
                <w:rFonts w:ascii="Calibri" w:cs="Calibri" w:eastAsia="Calibri" w:hAnsi="Calibri"/>
                <w:sz w:val="17"/>
                <w:szCs w:val="17"/>
                <w:b w:val="1"/>
                <w:bCs w:val="1"/>
                <w:color w:val="FFFFFF"/>
              </w:rPr>
              <w:t>Mar 23</w:t>
            </w:r>
          </w:p>
        </w:tc>
        <w:tc>
          <w:tcPr>
            <w:tcW w:w="0" w:type="dxa"/>
            <w:vAlign w:val="bottom"/>
          </w:tcPr>
          <w:p>
            <w:pPr>
              <w:spacing w:after="0"/>
              <w:rPr>
                <w:sz w:val="1"/>
                <w:szCs w:val="1"/>
                <w:color w:val="auto"/>
              </w:rPr>
            </w:pPr>
          </w:p>
        </w:tc>
      </w:tr>
      <w:tr>
        <w:trPr>
          <w:trHeight w:val="184"/>
        </w:trPr>
        <w:tc>
          <w:tcPr>
            <w:tcW w:w="2240" w:type="dxa"/>
            <w:vAlign w:val="bottom"/>
            <w:tcBorders>
              <w:top w:val="single" w:sz="8" w:color="auto"/>
              <w:left w:val="single" w:sz="8" w:color="auto"/>
              <w:right w:val="single" w:sz="8" w:color="auto"/>
            </w:tcBorders>
            <w:gridSpan w:val="2"/>
          </w:tcPr>
          <w:p>
            <w:pPr>
              <w:ind w:left="20"/>
              <w:spacing w:after="0" w:line="184" w:lineRule="exact"/>
              <w:rPr>
                <w:sz w:val="20"/>
                <w:szCs w:val="20"/>
                <w:color w:val="auto"/>
              </w:rPr>
            </w:pPr>
            <w:r>
              <w:rPr>
                <w:rFonts w:ascii="Calibri" w:cs="Calibri" w:eastAsia="Calibri" w:hAnsi="Calibri"/>
                <w:sz w:val="17"/>
                <w:szCs w:val="17"/>
                <w:b w:val="1"/>
                <w:bCs w:val="1"/>
                <w:color w:val="auto"/>
              </w:rPr>
              <w:t>BCP Stand-alone</w:t>
            </w:r>
          </w:p>
        </w:tc>
        <w:tc>
          <w:tcPr>
            <w:tcW w:w="960" w:type="dxa"/>
            <w:vAlign w:val="bottom"/>
            <w:tcBorders>
              <w:top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9"/>
              </w:rPr>
              <w:t>101,453</w:t>
            </w:r>
          </w:p>
        </w:tc>
        <w:tc>
          <w:tcPr>
            <w:tcW w:w="820" w:type="dxa"/>
            <w:vAlign w:val="bottom"/>
            <w:tcBorders>
              <w:top w:val="single" w:sz="8" w:color="auto"/>
            </w:tcBorders>
          </w:tcPr>
          <w:p>
            <w:pPr>
              <w:jc w:val="center"/>
              <w:ind w:left="57"/>
              <w:spacing w:after="0" w:line="184" w:lineRule="exact"/>
              <w:rPr>
                <w:sz w:val="20"/>
                <w:szCs w:val="20"/>
                <w:color w:val="auto"/>
              </w:rPr>
            </w:pPr>
            <w:r>
              <w:rPr>
                <w:rFonts w:ascii="Calibri" w:cs="Calibri" w:eastAsia="Calibri" w:hAnsi="Calibri"/>
                <w:sz w:val="17"/>
                <w:szCs w:val="17"/>
                <w:b w:val="1"/>
                <w:bCs w:val="1"/>
                <w:color w:val="auto"/>
                <w:w w:val="99"/>
              </w:rPr>
              <w:t>112,342</w:t>
            </w:r>
          </w:p>
        </w:tc>
        <w:tc>
          <w:tcPr>
            <w:tcW w:w="1140" w:type="dxa"/>
            <w:vAlign w:val="bottom"/>
            <w:tcBorders>
              <w:top w:val="single" w:sz="8" w:color="auto"/>
              <w:right w:val="single" w:sz="8" w:color="auto"/>
            </w:tcBorders>
          </w:tcPr>
          <w:p>
            <w:pPr>
              <w:jc w:val="center"/>
              <w:ind w:left="57"/>
              <w:spacing w:after="0" w:line="184" w:lineRule="exact"/>
              <w:rPr>
                <w:sz w:val="20"/>
                <w:szCs w:val="20"/>
                <w:color w:val="auto"/>
              </w:rPr>
            </w:pPr>
            <w:r>
              <w:rPr>
                <w:rFonts w:ascii="Calibri" w:cs="Calibri" w:eastAsia="Calibri" w:hAnsi="Calibri"/>
                <w:sz w:val="17"/>
                <w:szCs w:val="17"/>
                <w:b w:val="1"/>
                <w:bCs w:val="1"/>
                <w:color w:val="auto"/>
                <w:w w:val="99"/>
              </w:rPr>
              <w:t>111,263</w:t>
            </w:r>
          </w:p>
        </w:tc>
        <w:tc>
          <w:tcPr>
            <w:tcW w:w="820" w:type="dxa"/>
            <w:vAlign w:val="bottom"/>
            <w:tcBorders>
              <w:top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9"/>
              </w:rPr>
              <w:t>-1,078</w:t>
            </w:r>
          </w:p>
        </w:tc>
        <w:tc>
          <w:tcPr>
            <w:tcW w:w="880" w:type="dxa"/>
            <w:vAlign w:val="bottom"/>
            <w:tcBorders>
              <w:top w:val="single" w:sz="8" w:color="auto"/>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7"/>
              </w:rPr>
              <w:t>9,810</w:t>
            </w:r>
          </w:p>
        </w:tc>
        <w:tc>
          <w:tcPr>
            <w:tcW w:w="780" w:type="dxa"/>
            <w:vAlign w:val="bottom"/>
            <w:tcBorders>
              <w:top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6"/>
              </w:rPr>
              <w:t>-1.0%</w:t>
            </w:r>
          </w:p>
        </w:tc>
        <w:tc>
          <w:tcPr>
            <w:tcW w:w="820" w:type="dxa"/>
            <w:vAlign w:val="bottom"/>
            <w:tcBorders>
              <w:top w:val="single" w:sz="8" w:color="auto"/>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9"/>
              </w:rPr>
              <w:t>9.7%</w:t>
            </w:r>
          </w:p>
        </w:tc>
        <w:tc>
          <w:tcPr>
            <w:tcW w:w="920" w:type="dxa"/>
            <w:vAlign w:val="bottom"/>
            <w:tcBorders>
              <w:top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8"/>
              </w:rPr>
              <w:t>81.4%</w:t>
            </w:r>
          </w:p>
        </w:tc>
        <w:tc>
          <w:tcPr>
            <w:tcW w:w="940" w:type="dxa"/>
            <w:vAlign w:val="bottom"/>
            <w:tcBorders>
              <w:top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8"/>
              </w:rPr>
              <w:t>81.6%</w:t>
            </w:r>
          </w:p>
        </w:tc>
        <w:tc>
          <w:tcPr>
            <w:tcW w:w="940" w:type="dxa"/>
            <w:vAlign w:val="bottom"/>
            <w:tcBorders>
              <w:top w:val="single" w:sz="8" w:color="auto"/>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8"/>
              </w:rPr>
              <w:t>81.4%</w:t>
            </w:r>
          </w:p>
        </w:tc>
        <w:tc>
          <w:tcPr>
            <w:tcW w:w="0" w:type="dxa"/>
            <w:vAlign w:val="bottom"/>
          </w:tcPr>
          <w:p>
            <w:pPr>
              <w:spacing w:after="0"/>
              <w:rPr>
                <w:sz w:val="1"/>
                <w:szCs w:val="1"/>
                <w:color w:val="auto"/>
              </w:rPr>
            </w:pPr>
          </w:p>
        </w:tc>
      </w:tr>
      <w:tr>
        <w:trPr>
          <w:trHeight w:val="197"/>
        </w:trPr>
        <w:tc>
          <w:tcPr>
            <w:tcW w:w="2240" w:type="dxa"/>
            <w:vAlign w:val="bottom"/>
            <w:tcBorders>
              <w:left w:val="single" w:sz="8" w:color="auto"/>
              <w:right w:val="single" w:sz="8" w:color="auto"/>
            </w:tcBorders>
            <w:gridSpan w:val="2"/>
          </w:tcPr>
          <w:p>
            <w:pPr>
              <w:ind w:left="140"/>
              <w:spacing w:after="0" w:line="197" w:lineRule="exact"/>
              <w:rPr>
                <w:sz w:val="20"/>
                <w:szCs w:val="20"/>
                <w:color w:val="auto"/>
              </w:rPr>
            </w:pPr>
            <w:r>
              <w:rPr>
                <w:rFonts w:ascii="Calibri" w:cs="Calibri" w:eastAsia="Calibri" w:hAnsi="Calibri"/>
                <w:sz w:val="17"/>
                <w:szCs w:val="17"/>
                <w:b w:val="1"/>
                <w:bCs w:val="1"/>
                <w:color w:val="auto"/>
              </w:rPr>
              <w:t>Wholesale Banking</w:t>
            </w:r>
          </w:p>
        </w:tc>
        <w:tc>
          <w:tcPr>
            <w:tcW w:w="96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51,063</w:t>
            </w:r>
          </w:p>
        </w:tc>
        <w:tc>
          <w:tcPr>
            <w:tcW w:w="820" w:type="dxa"/>
            <w:vAlign w:val="bottom"/>
          </w:tcPr>
          <w:p>
            <w:pPr>
              <w:jc w:val="center"/>
              <w:ind w:left="77"/>
              <w:spacing w:after="0" w:line="197" w:lineRule="exact"/>
              <w:rPr>
                <w:sz w:val="20"/>
                <w:szCs w:val="20"/>
                <w:color w:val="auto"/>
              </w:rPr>
            </w:pPr>
            <w:r>
              <w:rPr>
                <w:rFonts w:ascii="Calibri" w:cs="Calibri" w:eastAsia="Calibri" w:hAnsi="Calibri"/>
                <w:sz w:val="17"/>
                <w:szCs w:val="17"/>
                <w:b w:val="1"/>
                <w:bCs w:val="1"/>
                <w:color w:val="auto"/>
                <w:w w:val="96"/>
              </w:rPr>
              <w:t>55,622</w:t>
            </w:r>
          </w:p>
        </w:tc>
        <w:tc>
          <w:tcPr>
            <w:tcW w:w="1140" w:type="dxa"/>
            <w:vAlign w:val="bottom"/>
            <w:tcBorders>
              <w:right w:val="single" w:sz="8" w:color="auto"/>
            </w:tcBorders>
          </w:tcPr>
          <w:p>
            <w:pPr>
              <w:jc w:val="center"/>
              <w:ind w:left="57"/>
              <w:spacing w:after="0" w:line="197" w:lineRule="exact"/>
              <w:rPr>
                <w:sz w:val="20"/>
                <w:szCs w:val="20"/>
                <w:color w:val="auto"/>
              </w:rPr>
            </w:pPr>
            <w:r>
              <w:rPr>
                <w:rFonts w:ascii="Calibri" w:cs="Calibri" w:eastAsia="Calibri" w:hAnsi="Calibri"/>
                <w:sz w:val="17"/>
                <w:szCs w:val="17"/>
                <w:b w:val="1"/>
                <w:bCs w:val="1"/>
                <w:color w:val="auto"/>
              </w:rPr>
              <w:t>53,775</w:t>
            </w:r>
          </w:p>
        </w:tc>
        <w:tc>
          <w:tcPr>
            <w:tcW w:w="82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9"/>
              </w:rPr>
              <w:t>-1,847</w:t>
            </w:r>
          </w:p>
        </w:tc>
        <w:tc>
          <w:tcPr>
            <w:tcW w:w="88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7"/>
              </w:rPr>
              <w:t>2,712</w:t>
            </w:r>
          </w:p>
        </w:tc>
        <w:tc>
          <w:tcPr>
            <w:tcW w:w="78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6"/>
              </w:rPr>
              <w:t>-3.3%</w:t>
            </w:r>
          </w:p>
        </w:tc>
        <w:tc>
          <w:tcPr>
            <w:tcW w:w="82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5.3%</w:t>
            </w:r>
          </w:p>
        </w:tc>
        <w:tc>
          <w:tcPr>
            <w:tcW w:w="92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8"/>
              </w:rPr>
              <w:t>41.0%</w:t>
            </w:r>
          </w:p>
        </w:tc>
        <w:tc>
          <w:tcPr>
            <w:tcW w:w="94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8"/>
              </w:rPr>
              <w:t>40.4%</w:t>
            </w:r>
          </w:p>
        </w:tc>
        <w:tc>
          <w:tcPr>
            <w:tcW w:w="9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8"/>
              </w:rPr>
              <w:t>39.3%</w:t>
            </w:r>
          </w:p>
        </w:tc>
        <w:tc>
          <w:tcPr>
            <w:tcW w:w="0" w:type="dxa"/>
            <w:vAlign w:val="bottom"/>
          </w:tcPr>
          <w:p>
            <w:pPr>
              <w:spacing w:after="0"/>
              <w:rPr>
                <w:sz w:val="1"/>
                <w:szCs w:val="1"/>
                <w:color w:val="auto"/>
              </w:rPr>
            </w:pPr>
          </w:p>
        </w:tc>
      </w:tr>
      <w:tr>
        <w:trPr>
          <w:trHeight w:val="28"/>
        </w:trPr>
        <w:tc>
          <w:tcPr>
            <w:tcW w:w="260" w:type="dxa"/>
            <w:vAlign w:val="bottom"/>
            <w:tcBorders>
              <w:left w:val="single" w:sz="8" w:color="auto"/>
            </w:tcBorders>
          </w:tcPr>
          <w:p>
            <w:pPr>
              <w:spacing w:after="0"/>
              <w:rPr>
                <w:sz w:val="2"/>
                <w:szCs w:val="2"/>
                <w:color w:val="auto"/>
              </w:rPr>
            </w:pPr>
          </w:p>
        </w:tc>
        <w:tc>
          <w:tcPr>
            <w:tcW w:w="1980" w:type="dxa"/>
            <w:vAlign w:val="bottom"/>
            <w:tcBorders>
              <w:right w:val="single" w:sz="8" w:color="auto"/>
            </w:tcBorders>
            <w:vMerge w:val="restart"/>
          </w:tcPr>
          <w:p>
            <w:pPr>
              <w:ind w:left="20"/>
              <w:spacing w:after="0" w:line="205" w:lineRule="exact"/>
              <w:rPr>
                <w:sz w:val="20"/>
                <w:szCs w:val="20"/>
                <w:color w:val="auto"/>
              </w:rPr>
            </w:pPr>
            <w:r>
              <w:rPr>
                <w:rFonts w:ascii="Calibri" w:cs="Calibri" w:eastAsia="Calibri" w:hAnsi="Calibri"/>
                <w:sz w:val="17"/>
                <w:szCs w:val="17"/>
                <w:color w:val="auto"/>
              </w:rPr>
              <w:t>Corporate</w:t>
            </w:r>
          </w:p>
        </w:tc>
        <w:tc>
          <w:tcPr>
            <w:tcW w:w="96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rPr>
              <w:t>30,663</w:t>
            </w:r>
          </w:p>
        </w:tc>
        <w:tc>
          <w:tcPr>
            <w:tcW w:w="820" w:type="dxa"/>
            <w:vAlign w:val="bottom"/>
            <w:vMerge w:val="restart"/>
          </w:tcPr>
          <w:p>
            <w:pPr>
              <w:jc w:val="center"/>
              <w:ind w:left="77"/>
              <w:spacing w:after="0" w:line="205" w:lineRule="exact"/>
              <w:rPr>
                <w:sz w:val="20"/>
                <w:szCs w:val="20"/>
                <w:color w:val="auto"/>
              </w:rPr>
            </w:pPr>
            <w:r>
              <w:rPr>
                <w:rFonts w:ascii="Calibri" w:cs="Calibri" w:eastAsia="Calibri" w:hAnsi="Calibri"/>
                <w:sz w:val="17"/>
                <w:szCs w:val="17"/>
                <w:color w:val="auto"/>
                <w:w w:val="97"/>
              </w:rPr>
              <w:t>33,400</w:t>
            </w:r>
          </w:p>
        </w:tc>
        <w:tc>
          <w:tcPr>
            <w:tcW w:w="1140" w:type="dxa"/>
            <w:vAlign w:val="bottom"/>
            <w:tcBorders>
              <w:right w:val="single" w:sz="8" w:color="auto"/>
            </w:tcBorders>
            <w:vMerge w:val="restart"/>
          </w:tcPr>
          <w:p>
            <w:pPr>
              <w:jc w:val="center"/>
              <w:ind w:left="57"/>
              <w:spacing w:after="0" w:line="205" w:lineRule="exact"/>
              <w:rPr>
                <w:sz w:val="20"/>
                <w:szCs w:val="20"/>
                <w:color w:val="auto"/>
              </w:rPr>
            </w:pPr>
            <w:r>
              <w:rPr>
                <w:rFonts w:ascii="Calibri" w:cs="Calibri" w:eastAsia="Calibri" w:hAnsi="Calibri"/>
                <w:sz w:val="17"/>
                <w:szCs w:val="17"/>
                <w:color w:val="auto"/>
              </w:rPr>
              <w:t>32,545</w:t>
            </w:r>
          </w:p>
        </w:tc>
        <w:tc>
          <w:tcPr>
            <w:tcW w:w="82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78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w w:val="97"/>
              </w:rPr>
              <w:t>-2.6%</w:t>
            </w:r>
          </w:p>
        </w:tc>
        <w:tc>
          <w:tcPr>
            <w:tcW w:w="820" w:type="dxa"/>
            <w:vAlign w:val="bottom"/>
            <w:tcBorders>
              <w:right w:val="single" w:sz="8" w:color="auto"/>
            </w:tcBorders>
            <w:vMerge w:val="restart"/>
          </w:tcPr>
          <w:p>
            <w:pPr>
              <w:jc w:val="center"/>
              <w:spacing w:after="0" w:line="205" w:lineRule="exact"/>
              <w:rPr>
                <w:sz w:val="20"/>
                <w:szCs w:val="20"/>
                <w:color w:val="auto"/>
              </w:rPr>
            </w:pPr>
            <w:r>
              <w:rPr>
                <w:rFonts w:ascii="Calibri" w:cs="Calibri" w:eastAsia="Calibri" w:hAnsi="Calibri"/>
                <w:sz w:val="17"/>
                <w:szCs w:val="17"/>
                <w:color w:val="auto"/>
                <w:w w:val="94"/>
              </w:rPr>
              <w:t>6.1%</w:t>
            </w:r>
          </w:p>
        </w:tc>
        <w:tc>
          <w:tcPr>
            <w:tcW w:w="92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w w:val="99"/>
              </w:rPr>
              <w:t>24.6%</w:t>
            </w:r>
          </w:p>
        </w:tc>
        <w:tc>
          <w:tcPr>
            <w:tcW w:w="94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w w:val="99"/>
              </w:rPr>
              <w:t>24.3%</w:t>
            </w:r>
          </w:p>
        </w:tc>
        <w:tc>
          <w:tcPr>
            <w:tcW w:w="940" w:type="dxa"/>
            <w:vAlign w:val="bottom"/>
            <w:tcBorders>
              <w:right w:val="single" w:sz="8" w:color="auto"/>
            </w:tcBorders>
            <w:vMerge w:val="restart"/>
          </w:tcPr>
          <w:p>
            <w:pPr>
              <w:jc w:val="center"/>
              <w:spacing w:after="0" w:line="205" w:lineRule="exact"/>
              <w:rPr>
                <w:sz w:val="20"/>
                <w:szCs w:val="20"/>
                <w:color w:val="auto"/>
              </w:rPr>
            </w:pPr>
            <w:r>
              <w:rPr>
                <w:rFonts w:ascii="Calibri" w:cs="Calibri" w:eastAsia="Calibri" w:hAnsi="Calibri"/>
                <w:sz w:val="17"/>
                <w:szCs w:val="17"/>
                <w:color w:val="auto"/>
                <w:w w:val="99"/>
              </w:rPr>
              <w:t>23.8%</w:t>
            </w:r>
          </w:p>
        </w:tc>
        <w:tc>
          <w:tcPr>
            <w:tcW w:w="0" w:type="dxa"/>
            <w:vAlign w:val="bottom"/>
          </w:tcPr>
          <w:p>
            <w:pPr>
              <w:spacing w:after="0" w:line="20" w:lineRule="exact"/>
              <w:rPr>
                <w:sz w:val="1"/>
                <w:szCs w:val="1"/>
                <w:color w:val="auto"/>
              </w:rPr>
            </w:pPr>
          </w:p>
        </w:tc>
      </w:tr>
      <w:tr>
        <w:trPr>
          <w:trHeight w:val="204"/>
        </w:trPr>
        <w:tc>
          <w:tcPr>
            <w:tcW w:w="260" w:type="dxa"/>
            <w:vAlign w:val="bottom"/>
            <w:tcBorders>
              <w:left w:val="single" w:sz="8" w:color="auto"/>
            </w:tcBorders>
          </w:tcPr>
          <w:p>
            <w:pPr>
              <w:spacing w:after="0"/>
              <w:rPr>
                <w:sz w:val="17"/>
                <w:szCs w:val="17"/>
                <w:color w:val="auto"/>
              </w:rPr>
            </w:pPr>
          </w:p>
        </w:tc>
        <w:tc>
          <w:tcPr>
            <w:tcW w:w="1980" w:type="dxa"/>
            <w:vAlign w:val="bottom"/>
            <w:tcBorders>
              <w:right w:val="single" w:sz="8" w:color="auto"/>
            </w:tcBorders>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820" w:type="dxa"/>
            <w:vAlign w:val="bottom"/>
            <w:shd w:val="clear" w:color="auto" w:fill="E93CAC"/>
          </w:tcPr>
          <w:p>
            <w:pPr>
              <w:jc w:val="center"/>
              <w:spacing w:after="0" w:line="197" w:lineRule="exact"/>
              <w:rPr>
                <w:sz w:val="20"/>
                <w:szCs w:val="20"/>
                <w:color w:val="auto"/>
              </w:rPr>
            </w:pPr>
            <w:r>
              <w:rPr>
                <w:rFonts w:ascii="Calibri" w:cs="Calibri" w:eastAsia="Calibri" w:hAnsi="Calibri"/>
                <w:sz w:val="17"/>
                <w:szCs w:val="17"/>
                <w:color w:val="auto"/>
                <w:w w:val="96"/>
              </w:rPr>
              <w:t>-855</w:t>
            </w:r>
          </w:p>
        </w:tc>
        <w:tc>
          <w:tcPr>
            <w:tcW w:w="880" w:type="dxa"/>
            <w:vAlign w:val="bottom"/>
            <w:tcBorders>
              <w:right w:val="single" w:sz="8" w:color="auto"/>
            </w:tcBorders>
            <w:shd w:val="clear" w:color="auto" w:fill="26D07C"/>
          </w:tcPr>
          <w:p>
            <w:pPr>
              <w:jc w:val="center"/>
              <w:spacing w:after="0" w:line="197" w:lineRule="exact"/>
              <w:rPr>
                <w:sz w:val="20"/>
                <w:szCs w:val="20"/>
                <w:color w:val="auto"/>
              </w:rPr>
            </w:pPr>
            <w:r>
              <w:rPr>
                <w:rFonts w:ascii="Calibri" w:cs="Calibri" w:eastAsia="Calibri" w:hAnsi="Calibri"/>
                <w:sz w:val="17"/>
                <w:szCs w:val="17"/>
                <w:color w:val="auto"/>
                <w:w w:val="97"/>
              </w:rPr>
              <w:t>1,881</w:t>
            </w:r>
          </w:p>
        </w:tc>
        <w:tc>
          <w:tcPr>
            <w:tcW w:w="780" w:type="dxa"/>
            <w:vAlign w:val="bottom"/>
            <w:vMerge w:val="continue"/>
          </w:tcPr>
          <w:p>
            <w:pPr>
              <w:spacing w:after="0"/>
              <w:rPr>
                <w:sz w:val="17"/>
                <w:szCs w:val="17"/>
                <w:color w:val="auto"/>
              </w:rPr>
            </w:pPr>
          </w:p>
        </w:tc>
        <w:tc>
          <w:tcPr>
            <w:tcW w:w="820" w:type="dxa"/>
            <w:vAlign w:val="bottom"/>
            <w:tcBorders>
              <w:right w:val="single" w:sz="8" w:color="auto"/>
            </w:tcBorders>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9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 w:type="dxa"/>
            <w:vAlign w:val="bottom"/>
            <w:tcBorders>
              <w:left w:val="single" w:sz="8" w:color="auto"/>
            </w:tcBorders>
          </w:tcPr>
          <w:p>
            <w:pPr>
              <w:spacing w:after="0"/>
              <w:rPr>
                <w:sz w:val="17"/>
                <w:szCs w:val="17"/>
                <w:color w:val="auto"/>
              </w:rPr>
            </w:pPr>
          </w:p>
        </w:tc>
        <w:tc>
          <w:tcPr>
            <w:tcW w:w="1980" w:type="dxa"/>
            <w:vAlign w:val="bottom"/>
            <w:tcBorders>
              <w:right w:val="single" w:sz="8" w:color="auto"/>
            </w:tcBorders>
          </w:tcPr>
          <w:p>
            <w:pPr>
              <w:ind w:left="20"/>
              <w:spacing w:after="0" w:line="197" w:lineRule="exact"/>
              <w:rPr>
                <w:sz w:val="20"/>
                <w:szCs w:val="20"/>
                <w:color w:val="auto"/>
              </w:rPr>
            </w:pPr>
            <w:r>
              <w:rPr>
                <w:rFonts w:ascii="Calibri" w:cs="Calibri" w:eastAsia="Calibri" w:hAnsi="Calibri"/>
                <w:sz w:val="17"/>
                <w:szCs w:val="17"/>
                <w:color w:val="auto"/>
              </w:rPr>
              <w:t>Middle - Market</w:t>
            </w:r>
          </w:p>
        </w:tc>
        <w:tc>
          <w:tcPr>
            <w:tcW w:w="960" w:type="dxa"/>
            <w:vAlign w:val="bottom"/>
          </w:tcPr>
          <w:p>
            <w:pPr>
              <w:jc w:val="center"/>
              <w:spacing w:after="0" w:line="197" w:lineRule="exact"/>
              <w:rPr>
                <w:sz w:val="20"/>
                <w:szCs w:val="20"/>
                <w:color w:val="auto"/>
              </w:rPr>
            </w:pPr>
            <w:r>
              <w:rPr>
                <w:rFonts w:ascii="Calibri" w:cs="Calibri" w:eastAsia="Calibri" w:hAnsi="Calibri"/>
                <w:sz w:val="17"/>
                <w:szCs w:val="17"/>
                <w:color w:val="auto"/>
              </w:rPr>
              <w:t>20,400</w:t>
            </w:r>
          </w:p>
        </w:tc>
        <w:tc>
          <w:tcPr>
            <w:tcW w:w="820" w:type="dxa"/>
            <w:vAlign w:val="bottom"/>
          </w:tcPr>
          <w:p>
            <w:pPr>
              <w:jc w:val="center"/>
              <w:ind w:left="77"/>
              <w:spacing w:after="0" w:line="197" w:lineRule="exact"/>
              <w:rPr>
                <w:sz w:val="20"/>
                <w:szCs w:val="20"/>
                <w:color w:val="auto"/>
              </w:rPr>
            </w:pPr>
            <w:r>
              <w:rPr>
                <w:rFonts w:ascii="Calibri" w:cs="Calibri" w:eastAsia="Calibri" w:hAnsi="Calibri"/>
                <w:sz w:val="17"/>
                <w:szCs w:val="17"/>
                <w:color w:val="auto"/>
                <w:w w:val="97"/>
              </w:rPr>
              <w:t>22,222</w:t>
            </w:r>
          </w:p>
        </w:tc>
        <w:tc>
          <w:tcPr>
            <w:tcW w:w="1140" w:type="dxa"/>
            <w:vAlign w:val="bottom"/>
            <w:tcBorders>
              <w:right w:val="single" w:sz="8" w:color="auto"/>
            </w:tcBorders>
          </w:tcPr>
          <w:p>
            <w:pPr>
              <w:jc w:val="center"/>
              <w:ind w:left="57"/>
              <w:spacing w:after="0" w:line="197" w:lineRule="exact"/>
              <w:rPr>
                <w:sz w:val="20"/>
                <w:szCs w:val="20"/>
                <w:color w:val="auto"/>
              </w:rPr>
            </w:pPr>
            <w:r>
              <w:rPr>
                <w:rFonts w:ascii="Calibri" w:cs="Calibri" w:eastAsia="Calibri" w:hAnsi="Calibri"/>
                <w:sz w:val="17"/>
                <w:szCs w:val="17"/>
                <w:color w:val="auto"/>
              </w:rPr>
              <w:t>21,230</w:t>
            </w:r>
          </w:p>
        </w:tc>
        <w:tc>
          <w:tcPr>
            <w:tcW w:w="820" w:type="dxa"/>
            <w:vAlign w:val="bottom"/>
            <w:shd w:val="clear" w:color="auto" w:fill="E93CAC"/>
          </w:tcPr>
          <w:p>
            <w:pPr>
              <w:jc w:val="center"/>
              <w:spacing w:after="0" w:line="197" w:lineRule="exact"/>
              <w:rPr>
                <w:sz w:val="20"/>
                <w:szCs w:val="20"/>
                <w:color w:val="auto"/>
              </w:rPr>
            </w:pPr>
            <w:r>
              <w:rPr>
                <w:rFonts w:ascii="Calibri" w:cs="Calibri" w:eastAsia="Calibri" w:hAnsi="Calibri"/>
                <w:sz w:val="17"/>
                <w:szCs w:val="17"/>
                <w:color w:val="auto"/>
                <w:w w:val="96"/>
              </w:rPr>
              <w:t>-992</w:t>
            </w:r>
          </w:p>
        </w:tc>
        <w:tc>
          <w:tcPr>
            <w:tcW w:w="88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831</w:t>
            </w:r>
          </w:p>
        </w:tc>
        <w:tc>
          <w:tcPr>
            <w:tcW w:w="780" w:type="dxa"/>
            <w:vAlign w:val="bottom"/>
          </w:tcPr>
          <w:p>
            <w:pPr>
              <w:jc w:val="center"/>
              <w:spacing w:after="0" w:line="197" w:lineRule="exact"/>
              <w:rPr>
                <w:sz w:val="20"/>
                <w:szCs w:val="20"/>
                <w:color w:val="auto"/>
              </w:rPr>
            </w:pPr>
            <w:r>
              <w:rPr>
                <w:rFonts w:ascii="Calibri" w:cs="Calibri" w:eastAsia="Calibri" w:hAnsi="Calibri"/>
                <w:sz w:val="17"/>
                <w:szCs w:val="17"/>
                <w:color w:val="auto"/>
                <w:w w:val="97"/>
              </w:rPr>
              <w:t>-4.5%</w:t>
            </w:r>
          </w:p>
        </w:tc>
        <w:tc>
          <w:tcPr>
            <w:tcW w:w="82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4"/>
              </w:rPr>
              <w:t>4.1%</w:t>
            </w:r>
          </w:p>
        </w:tc>
        <w:tc>
          <w:tcPr>
            <w:tcW w:w="920" w:type="dxa"/>
            <w:vAlign w:val="bottom"/>
          </w:tcPr>
          <w:p>
            <w:pPr>
              <w:jc w:val="center"/>
              <w:spacing w:after="0" w:line="197" w:lineRule="exact"/>
              <w:rPr>
                <w:sz w:val="20"/>
                <w:szCs w:val="20"/>
                <w:color w:val="auto"/>
              </w:rPr>
            </w:pPr>
            <w:r>
              <w:rPr>
                <w:rFonts w:ascii="Calibri" w:cs="Calibri" w:eastAsia="Calibri" w:hAnsi="Calibri"/>
                <w:sz w:val="17"/>
                <w:szCs w:val="17"/>
                <w:color w:val="auto"/>
                <w:w w:val="99"/>
              </w:rPr>
              <w:t>16.4%</w:t>
            </w:r>
          </w:p>
        </w:tc>
        <w:tc>
          <w:tcPr>
            <w:tcW w:w="940" w:type="dxa"/>
            <w:vAlign w:val="bottom"/>
          </w:tcPr>
          <w:p>
            <w:pPr>
              <w:jc w:val="center"/>
              <w:spacing w:after="0" w:line="197" w:lineRule="exact"/>
              <w:rPr>
                <w:sz w:val="20"/>
                <w:szCs w:val="20"/>
                <w:color w:val="auto"/>
              </w:rPr>
            </w:pPr>
            <w:r>
              <w:rPr>
                <w:rFonts w:ascii="Calibri" w:cs="Calibri" w:eastAsia="Calibri" w:hAnsi="Calibri"/>
                <w:sz w:val="17"/>
                <w:szCs w:val="17"/>
                <w:color w:val="auto"/>
                <w:w w:val="99"/>
              </w:rPr>
              <w:t>16.1%</w:t>
            </w:r>
          </w:p>
        </w:tc>
        <w:tc>
          <w:tcPr>
            <w:tcW w:w="9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9"/>
              </w:rPr>
              <w:t>15.5%</w:t>
            </w:r>
          </w:p>
        </w:tc>
        <w:tc>
          <w:tcPr>
            <w:tcW w:w="0" w:type="dxa"/>
            <w:vAlign w:val="bottom"/>
          </w:tcPr>
          <w:p>
            <w:pPr>
              <w:spacing w:after="0"/>
              <w:rPr>
                <w:sz w:val="1"/>
                <w:szCs w:val="1"/>
                <w:color w:val="auto"/>
              </w:rPr>
            </w:pPr>
          </w:p>
        </w:tc>
      </w:tr>
      <w:tr>
        <w:trPr>
          <w:trHeight w:val="184"/>
        </w:trPr>
        <w:tc>
          <w:tcPr>
            <w:tcW w:w="2240" w:type="dxa"/>
            <w:vAlign w:val="bottom"/>
            <w:tcBorders>
              <w:left w:val="single" w:sz="8" w:color="auto"/>
              <w:right w:val="single" w:sz="8" w:color="auto"/>
            </w:tcBorders>
            <w:gridSpan w:val="2"/>
          </w:tcPr>
          <w:p>
            <w:pPr>
              <w:ind w:left="140"/>
              <w:spacing w:after="0" w:line="184" w:lineRule="exact"/>
              <w:rPr>
                <w:sz w:val="20"/>
                <w:szCs w:val="20"/>
                <w:color w:val="auto"/>
              </w:rPr>
            </w:pPr>
            <w:r>
              <w:rPr>
                <w:rFonts w:ascii="Calibri" w:cs="Calibri" w:eastAsia="Calibri" w:hAnsi="Calibri"/>
                <w:sz w:val="17"/>
                <w:szCs w:val="17"/>
                <w:b w:val="1"/>
                <w:bCs w:val="1"/>
                <w:color w:val="auto"/>
              </w:rPr>
              <w:t>Retail Banking</w:t>
            </w:r>
          </w:p>
        </w:tc>
        <w:tc>
          <w:tcPr>
            <w:tcW w:w="96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rPr>
              <w:t>50,390</w:t>
            </w:r>
          </w:p>
        </w:tc>
        <w:tc>
          <w:tcPr>
            <w:tcW w:w="820" w:type="dxa"/>
            <w:vAlign w:val="bottom"/>
          </w:tcPr>
          <w:p>
            <w:pPr>
              <w:jc w:val="center"/>
              <w:ind w:left="77"/>
              <w:spacing w:after="0" w:line="184" w:lineRule="exact"/>
              <w:rPr>
                <w:sz w:val="20"/>
                <w:szCs w:val="20"/>
                <w:color w:val="auto"/>
              </w:rPr>
            </w:pPr>
            <w:r>
              <w:rPr>
                <w:rFonts w:ascii="Calibri" w:cs="Calibri" w:eastAsia="Calibri" w:hAnsi="Calibri"/>
                <w:sz w:val="17"/>
                <w:szCs w:val="17"/>
                <w:b w:val="1"/>
                <w:bCs w:val="1"/>
                <w:color w:val="auto"/>
                <w:w w:val="96"/>
              </w:rPr>
              <w:t>56,720</w:t>
            </w:r>
          </w:p>
        </w:tc>
        <w:tc>
          <w:tcPr>
            <w:tcW w:w="1140" w:type="dxa"/>
            <w:vAlign w:val="bottom"/>
            <w:tcBorders>
              <w:right w:val="single" w:sz="8" w:color="auto"/>
            </w:tcBorders>
          </w:tcPr>
          <w:p>
            <w:pPr>
              <w:jc w:val="center"/>
              <w:ind w:left="57"/>
              <w:spacing w:after="0" w:line="184" w:lineRule="exact"/>
              <w:rPr>
                <w:sz w:val="20"/>
                <w:szCs w:val="20"/>
                <w:color w:val="auto"/>
              </w:rPr>
            </w:pPr>
            <w:r>
              <w:rPr>
                <w:rFonts w:ascii="Calibri" w:cs="Calibri" w:eastAsia="Calibri" w:hAnsi="Calibri"/>
                <w:sz w:val="17"/>
                <w:szCs w:val="17"/>
                <w:b w:val="1"/>
                <w:bCs w:val="1"/>
                <w:color w:val="auto"/>
              </w:rPr>
              <w:t>57,488</w:t>
            </w:r>
          </w:p>
        </w:tc>
        <w:tc>
          <w:tcPr>
            <w:tcW w:w="82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rPr>
              <w:t>768</w:t>
            </w:r>
          </w:p>
        </w:tc>
        <w:tc>
          <w:tcPr>
            <w:tcW w:w="88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7"/>
              </w:rPr>
              <w:t>7,098</w:t>
            </w:r>
          </w:p>
        </w:tc>
        <w:tc>
          <w:tcPr>
            <w:tcW w:w="78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w w:val="99"/>
              </w:rPr>
              <w:t>1.4%</w:t>
            </w:r>
          </w:p>
        </w:tc>
        <w:tc>
          <w:tcPr>
            <w:tcW w:w="82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rPr>
              <w:t>14.1%</w:t>
            </w:r>
          </w:p>
        </w:tc>
        <w:tc>
          <w:tcPr>
            <w:tcW w:w="92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w w:val="98"/>
              </w:rPr>
              <w:t>40.4%</w:t>
            </w:r>
          </w:p>
        </w:tc>
        <w:tc>
          <w:tcPr>
            <w:tcW w:w="94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w w:val="98"/>
              </w:rPr>
              <w:t>41.2%</w:t>
            </w:r>
          </w:p>
        </w:tc>
        <w:tc>
          <w:tcPr>
            <w:tcW w:w="94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8"/>
              </w:rPr>
              <w:t>42.0%</w:t>
            </w:r>
          </w:p>
        </w:tc>
        <w:tc>
          <w:tcPr>
            <w:tcW w:w="0" w:type="dxa"/>
            <w:vAlign w:val="bottom"/>
          </w:tcPr>
          <w:p>
            <w:pPr>
              <w:spacing w:after="0"/>
              <w:rPr>
                <w:sz w:val="1"/>
                <w:szCs w:val="1"/>
                <w:color w:val="auto"/>
              </w:rPr>
            </w:pPr>
          </w:p>
        </w:tc>
      </w:tr>
      <w:tr>
        <w:trPr>
          <w:trHeight w:val="197"/>
        </w:trPr>
        <w:tc>
          <w:tcPr>
            <w:tcW w:w="260" w:type="dxa"/>
            <w:vAlign w:val="bottom"/>
            <w:tcBorders>
              <w:left w:val="single" w:sz="8" w:color="auto"/>
            </w:tcBorders>
          </w:tcPr>
          <w:p>
            <w:pPr>
              <w:spacing w:after="0"/>
              <w:rPr>
                <w:sz w:val="17"/>
                <w:szCs w:val="17"/>
                <w:color w:val="auto"/>
              </w:rPr>
            </w:pPr>
          </w:p>
        </w:tc>
        <w:tc>
          <w:tcPr>
            <w:tcW w:w="1980" w:type="dxa"/>
            <w:vAlign w:val="bottom"/>
            <w:tcBorders>
              <w:right w:val="single" w:sz="8" w:color="auto"/>
            </w:tcBorders>
          </w:tcPr>
          <w:p>
            <w:pPr>
              <w:ind w:left="20"/>
              <w:spacing w:after="0" w:line="197" w:lineRule="exact"/>
              <w:rPr>
                <w:sz w:val="20"/>
                <w:szCs w:val="20"/>
                <w:color w:val="auto"/>
              </w:rPr>
            </w:pPr>
            <w:r>
              <w:rPr>
                <w:rFonts w:ascii="Calibri" w:cs="Calibri" w:eastAsia="Calibri" w:hAnsi="Calibri"/>
                <w:sz w:val="17"/>
                <w:szCs w:val="17"/>
                <w:color w:val="auto"/>
              </w:rPr>
              <w:t>SME - Business</w:t>
            </w:r>
          </w:p>
        </w:tc>
        <w:tc>
          <w:tcPr>
            <w:tcW w:w="960" w:type="dxa"/>
            <w:vAlign w:val="bottom"/>
          </w:tcPr>
          <w:p>
            <w:pPr>
              <w:jc w:val="center"/>
              <w:spacing w:after="0" w:line="197" w:lineRule="exact"/>
              <w:rPr>
                <w:sz w:val="20"/>
                <w:szCs w:val="20"/>
                <w:color w:val="auto"/>
              </w:rPr>
            </w:pPr>
            <w:r>
              <w:rPr>
                <w:rFonts w:ascii="Calibri" w:cs="Calibri" w:eastAsia="Calibri" w:hAnsi="Calibri"/>
                <w:sz w:val="17"/>
                <w:szCs w:val="17"/>
                <w:color w:val="auto"/>
              </w:rPr>
              <w:t>4,709</w:t>
            </w:r>
          </w:p>
        </w:tc>
        <w:tc>
          <w:tcPr>
            <w:tcW w:w="820" w:type="dxa"/>
            <w:vAlign w:val="bottom"/>
          </w:tcPr>
          <w:p>
            <w:pPr>
              <w:jc w:val="center"/>
              <w:ind w:left="77"/>
              <w:spacing w:after="0" w:line="197" w:lineRule="exact"/>
              <w:rPr>
                <w:sz w:val="20"/>
                <w:szCs w:val="20"/>
                <w:color w:val="auto"/>
              </w:rPr>
            </w:pPr>
            <w:r>
              <w:rPr>
                <w:rFonts w:ascii="Calibri" w:cs="Calibri" w:eastAsia="Calibri" w:hAnsi="Calibri"/>
                <w:sz w:val="17"/>
                <w:szCs w:val="17"/>
                <w:color w:val="auto"/>
                <w:w w:val="97"/>
              </w:rPr>
              <w:t>5,750</w:t>
            </w:r>
          </w:p>
        </w:tc>
        <w:tc>
          <w:tcPr>
            <w:tcW w:w="1140" w:type="dxa"/>
            <w:vAlign w:val="bottom"/>
            <w:tcBorders>
              <w:right w:val="single" w:sz="8" w:color="auto"/>
            </w:tcBorders>
          </w:tcPr>
          <w:p>
            <w:pPr>
              <w:jc w:val="center"/>
              <w:ind w:left="57"/>
              <w:spacing w:after="0" w:line="197" w:lineRule="exact"/>
              <w:rPr>
                <w:sz w:val="20"/>
                <w:szCs w:val="20"/>
                <w:color w:val="auto"/>
              </w:rPr>
            </w:pPr>
            <w:r>
              <w:rPr>
                <w:rFonts w:ascii="Calibri" w:cs="Calibri" w:eastAsia="Calibri" w:hAnsi="Calibri"/>
                <w:sz w:val="17"/>
                <w:szCs w:val="17"/>
                <w:color w:val="auto"/>
              </w:rPr>
              <w:t>5,546</w:t>
            </w:r>
          </w:p>
        </w:tc>
        <w:tc>
          <w:tcPr>
            <w:tcW w:w="820" w:type="dxa"/>
            <w:vAlign w:val="bottom"/>
          </w:tcPr>
          <w:p>
            <w:pPr>
              <w:jc w:val="center"/>
              <w:spacing w:after="0" w:line="197" w:lineRule="exact"/>
              <w:rPr>
                <w:sz w:val="20"/>
                <w:szCs w:val="20"/>
                <w:color w:val="auto"/>
              </w:rPr>
            </w:pPr>
            <w:r>
              <w:rPr>
                <w:rFonts w:ascii="Calibri" w:cs="Calibri" w:eastAsia="Calibri" w:hAnsi="Calibri"/>
                <w:sz w:val="17"/>
                <w:szCs w:val="17"/>
                <w:color w:val="auto"/>
                <w:w w:val="96"/>
              </w:rPr>
              <w:t>-205</w:t>
            </w:r>
          </w:p>
        </w:tc>
        <w:tc>
          <w:tcPr>
            <w:tcW w:w="88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837</w:t>
            </w:r>
          </w:p>
        </w:tc>
        <w:tc>
          <w:tcPr>
            <w:tcW w:w="780" w:type="dxa"/>
            <w:vAlign w:val="bottom"/>
          </w:tcPr>
          <w:p>
            <w:pPr>
              <w:jc w:val="center"/>
              <w:spacing w:after="0" w:line="197" w:lineRule="exact"/>
              <w:rPr>
                <w:sz w:val="20"/>
                <w:szCs w:val="20"/>
                <w:color w:val="auto"/>
              </w:rPr>
            </w:pPr>
            <w:r>
              <w:rPr>
                <w:rFonts w:ascii="Calibri" w:cs="Calibri" w:eastAsia="Calibri" w:hAnsi="Calibri"/>
                <w:sz w:val="17"/>
                <w:szCs w:val="17"/>
                <w:color w:val="auto"/>
                <w:w w:val="97"/>
              </w:rPr>
              <w:t>-3.6%</w:t>
            </w:r>
          </w:p>
        </w:tc>
        <w:tc>
          <w:tcPr>
            <w:tcW w:w="82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9"/>
              </w:rPr>
              <w:t>17.8%</w:t>
            </w:r>
          </w:p>
        </w:tc>
        <w:tc>
          <w:tcPr>
            <w:tcW w:w="920" w:type="dxa"/>
            <w:vAlign w:val="bottom"/>
          </w:tcPr>
          <w:p>
            <w:pPr>
              <w:jc w:val="center"/>
              <w:spacing w:after="0" w:line="197" w:lineRule="exact"/>
              <w:rPr>
                <w:sz w:val="20"/>
                <w:szCs w:val="20"/>
                <w:color w:val="auto"/>
              </w:rPr>
            </w:pPr>
            <w:r>
              <w:rPr>
                <w:rFonts w:ascii="Calibri" w:cs="Calibri" w:eastAsia="Calibri" w:hAnsi="Calibri"/>
                <w:sz w:val="17"/>
                <w:szCs w:val="17"/>
                <w:color w:val="auto"/>
              </w:rPr>
              <w:t>3.8%</w:t>
            </w:r>
          </w:p>
        </w:tc>
        <w:tc>
          <w:tcPr>
            <w:tcW w:w="940" w:type="dxa"/>
            <w:vAlign w:val="bottom"/>
          </w:tcPr>
          <w:p>
            <w:pPr>
              <w:jc w:val="center"/>
              <w:spacing w:after="0" w:line="197" w:lineRule="exact"/>
              <w:rPr>
                <w:sz w:val="20"/>
                <w:szCs w:val="20"/>
                <w:color w:val="auto"/>
              </w:rPr>
            </w:pPr>
            <w:r>
              <w:rPr>
                <w:rFonts w:ascii="Calibri" w:cs="Calibri" w:eastAsia="Calibri" w:hAnsi="Calibri"/>
                <w:sz w:val="17"/>
                <w:szCs w:val="17"/>
                <w:color w:val="auto"/>
              </w:rPr>
              <w:t>4.2%</w:t>
            </w:r>
          </w:p>
        </w:tc>
        <w:tc>
          <w:tcPr>
            <w:tcW w:w="9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4.1%</w:t>
            </w:r>
          </w:p>
        </w:tc>
        <w:tc>
          <w:tcPr>
            <w:tcW w:w="0" w:type="dxa"/>
            <w:vAlign w:val="bottom"/>
          </w:tcPr>
          <w:p>
            <w:pPr>
              <w:spacing w:after="0"/>
              <w:rPr>
                <w:sz w:val="1"/>
                <w:szCs w:val="1"/>
                <w:color w:val="auto"/>
              </w:rPr>
            </w:pPr>
          </w:p>
        </w:tc>
      </w:tr>
      <w:tr>
        <w:trPr>
          <w:trHeight w:val="28"/>
        </w:trPr>
        <w:tc>
          <w:tcPr>
            <w:tcW w:w="260" w:type="dxa"/>
            <w:vAlign w:val="bottom"/>
            <w:tcBorders>
              <w:left w:val="single" w:sz="8" w:color="auto"/>
            </w:tcBorders>
          </w:tcPr>
          <w:p>
            <w:pPr>
              <w:spacing w:after="0"/>
              <w:rPr>
                <w:sz w:val="2"/>
                <w:szCs w:val="2"/>
                <w:color w:val="auto"/>
              </w:rPr>
            </w:pPr>
          </w:p>
        </w:tc>
        <w:tc>
          <w:tcPr>
            <w:tcW w:w="1980" w:type="dxa"/>
            <w:vAlign w:val="bottom"/>
            <w:tcBorders>
              <w:right w:val="single" w:sz="8" w:color="auto"/>
            </w:tcBorders>
            <w:vMerge w:val="restart"/>
          </w:tcPr>
          <w:p>
            <w:pPr>
              <w:ind w:left="20"/>
              <w:spacing w:after="0" w:line="205" w:lineRule="exact"/>
              <w:rPr>
                <w:sz w:val="20"/>
                <w:szCs w:val="20"/>
                <w:color w:val="auto"/>
              </w:rPr>
            </w:pPr>
            <w:r>
              <w:rPr>
                <w:rFonts w:ascii="Calibri" w:cs="Calibri" w:eastAsia="Calibri" w:hAnsi="Calibri"/>
                <w:sz w:val="17"/>
                <w:szCs w:val="17"/>
                <w:color w:val="auto"/>
              </w:rPr>
              <w:t>SME - Pyme</w:t>
            </w:r>
          </w:p>
        </w:tc>
        <w:tc>
          <w:tcPr>
            <w:tcW w:w="96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rPr>
              <w:t>11,844</w:t>
            </w:r>
          </w:p>
        </w:tc>
        <w:tc>
          <w:tcPr>
            <w:tcW w:w="820" w:type="dxa"/>
            <w:vAlign w:val="bottom"/>
            <w:vMerge w:val="restart"/>
          </w:tcPr>
          <w:p>
            <w:pPr>
              <w:jc w:val="center"/>
              <w:ind w:left="77"/>
              <w:spacing w:after="0" w:line="205" w:lineRule="exact"/>
              <w:rPr>
                <w:sz w:val="20"/>
                <w:szCs w:val="20"/>
                <w:color w:val="auto"/>
              </w:rPr>
            </w:pPr>
            <w:r>
              <w:rPr>
                <w:rFonts w:ascii="Calibri" w:cs="Calibri" w:eastAsia="Calibri" w:hAnsi="Calibri"/>
                <w:sz w:val="17"/>
                <w:szCs w:val="17"/>
                <w:color w:val="auto"/>
                <w:w w:val="97"/>
              </w:rPr>
              <w:t>13,033</w:t>
            </w:r>
          </w:p>
        </w:tc>
        <w:tc>
          <w:tcPr>
            <w:tcW w:w="1140" w:type="dxa"/>
            <w:vAlign w:val="bottom"/>
            <w:tcBorders>
              <w:right w:val="single" w:sz="8" w:color="auto"/>
            </w:tcBorders>
            <w:vMerge w:val="restart"/>
          </w:tcPr>
          <w:p>
            <w:pPr>
              <w:jc w:val="center"/>
              <w:ind w:left="57"/>
              <w:spacing w:after="0" w:line="205" w:lineRule="exact"/>
              <w:rPr>
                <w:sz w:val="20"/>
                <w:szCs w:val="20"/>
                <w:color w:val="auto"/>
              </w:rPr>
            </w:pPr>
            <w:r>
              <w:rPr>
                <w:rFonts w:ascii="Calibri" w:cs="Calibri" w:eastAsia="Calibri" w:hAnsi="Calibri"/>
                <w:sz w:val="17"/>
                <w:szCs w:val="17"/>
                <w:color w:val="auto"/>
              </w:rPr>
              <w:t>13,257</w:t>
            </w:r>
          </w:p>
        </w:tc>
        <w:tc>
          <w:tcPr>
            <w:tcW w:w="82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rPr>
              <w:t>224</w:t>
            </w:r>
          </w:p>
        </w:tc>
        <w:tc>
          <w:tcPr>
            <w:tcW w:w="880" w:type="dxa"/>
            <w:vAlign w:val="bottom"/>
            <w:tcBorders>
              <w:right w:val="single" w:sz="8" w:color="auto"/>
            </w:tcBorders>
          </w:tcPr>
          <w:p>
            <w:pPr>
              <w:spacing w:after="0"/>
              <w:rPr>
                <w:sz w:val="2"/>
                <w:szCs w:val="2"/>
                <w:color w:val="auto"/>
              </w:rPr>
            </w:pPr>
          </w:p>
        </w:tc>
        <w:tc>
          <w:tcPr>
            <w:tcW w:w="78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rPr>
              <w:t>1.7%</w:t>
            </w:r>
          </w:p>
        </w:tc>
        <w:tc>
          <w:tcPr>
            <w:tcW w:w="820" w:type="dxa"/>
            <w:vAlign w:val="bottom"/>
            <w:tcBorders>
              <w:right w:val="single" w:sz="8" w:color="auto"/>
            </w:tcBorders>
            <w:vMerge w:val="restart"/>
          </w:tcPr>
          <w:p>
            <w:pPr>
              <w:jc w:val="center"/>
              <w:spacing w:after="0" w:line="205" w:lineRule="exact"/>
              <w:rPr>
                <w:sz w:val="20"/>
                <w:szCs w:val="20"/>
                <w:color w:val="auto"/>
              </w:rPr>
            </w:pPr>
            <w:r>
              <w:rPr>
                <w:rFonts w:ascii="Calibri" w:cs="Calibri" w:eastAsia="Calibri" w:hAnsi="Calibri"/>
                <w:sz w:val="17"/>
                <w:szCs w:val="17"/>
                <w:color w:val="auto"/>
                <w:w w:val="99"/>
              </w:rPr>
              <w:t>11.9%</w:t>
            </w:r>
          </w:p>
        </w:tc>
        <w:tc>
          <w:tcPr>
            <w:tcW w:w="92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rPr>
              <w:t>9.5%</w:t>
            </w:r>
          </w:p>
        </w:tc>
        <w:tc>
          <w:tcPr>
            <w:tcW w:w="94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rPr>
              <w:t>9.5%</w:t>
            </w:r>
          </w:p>
        </w:tc>
        <w:tc>
          <w:tcPr>
            <w:tcW w:w="940" w:type="dxa"/>
            <w:vAlign w:val="bottom"/>
            <w:tcBorders>
              <w:right w:val="single" w:sz="8" w:color="auto"/>
            </w:tcBorders>
            <w:vMerge w:val="restart"/>
          </w:tcPr>
          <w:p>
            <w:pPr>
              <w:jc w:val="center"/>
              <w:spacing w:after="0" w:line="205" w:lineRule="exact"/>
              <w:rPr>
                <w:sz w:val="20"/>
                <w:szCs w:val="20"/>
                <w:color w:val="auto"/>
              </w:rPr>
            </w:pPr>
            <w:r>
              <w:rPr>
                <w:rFonts w:ascii="Calibri" w:cs="Calibri" w:eastAsia="Calibri" w:hAnsi="Calibri"/>
                <w:sz w:val="17"/>
                <w:szCs w:val="17"/>
                <w:color w:val="auto"/>
              </w:rPr>
              <w:t>9.7%</w:t>
            </w:r>
          </w:p>
        </w:tc>
        <w:tc>
          <w:tcPr>
            <w:tcW w:w="0" w:type="dxa"/>
            <w:vAlign w:val="bottom"/>
          </w:tcPr>
          <w:p>
            <w:pPr>
              <w:spacing w:after="0" w:line="20" w:lineRule="exact"/>
              <w:rPr>
                <w:sz w:val="1"/>
                <w:szCs w:val="1"/>
                <w:color w:val="auto"/>
              </w:rPr>
            </w:pPr>
          </w:p>
        </w:tc>
      </w:tr>
      <w:tr>
        <w:trPr>
          <w:trHeight w:val="184"/>
        </w:trPr>
        <w:tc>
          <w:tcPr>
            <w:tcW w:w="26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80" w:type="dxa"/>
            <w:vAlign w:val="bottom"/>
            <w:tcBorders>
              <w:right w:val="single" w:sz="8" w:color="auto"/>
            </w:tcBorders>
            <w:shd w:val="clear" w:color="auto" w:fill="26D07C"/>
          </w:tcPr>
          <w:p>
            <w:pPr>
              <w:jc w:val="center"/>
              <w:spacing w:after="0" w:line="184" w:lineRule="exact"/>
              <w:rPr>
                <w:sz w:val="20"/>
                <w:szCs w:val="20"/>
                <w:color w:val="auto"/>
              </w:rPr>
            </w:pPr>
            <w:r>
              <w:rPr>
                <w:rFonts w:ascii="Calibri" w:cs="Calibri" w:eastAsia="Calibri" w:hAnsi="Calibri"/>
                <w:sz w:val="17"/>
                <w:szCs w:val="17"/>
                <w:color w:val="auto"/>
                <w:w w:val="97"/>
              </w:rPr>
              <w:t>1,413</w:t>
            </w:r>
          </w:p>
        </w:tc>
        <w:tc>
          <w:tcPr>
            <w:tcW w:w="780" w:type="dxa"/>
            <w:vAlign w:val="bottom"/>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0" w:type="dxa"/>
            <w:vAlign w:val="bottom"/>
            <w:tcBorders>
              <w:left w:val="single" w:sz="8" w:color="auto"/>
            </w:tcBorders>
          </w:tcPr>
          <w:p>
            <w:pPr>
              <w:spacing w:after="0"/>
              <w:rPr>
                <w:sz w:val="17"/>
                <w:szCs w:val="17"/>
                <w:color w:val="auto"/>
              </w:rPr>
            </w:pPr>
          </w:p>
        </w:tc>
        <w:tc>
          <w:tcPr>
            <w:tcW w:w="1980" w:type="dxa"/>
            <w:vAlign w:val="bottom"/>
            <w:tcBorders>
              <w:right w:val="single" w:sz="8" w:color="auto"/>
            </w:tcBorders>
          </w:tcPr>
          <w:p>
            <w:pPr>
              <w:ind w:left="20"/>
              <w:spacing w:after="0" w:line="197" w:lineRule="exact"/>
              <w:rPr>
                <w:sz w:val="20"/>
                <w:szCs w:val="20"/>
                <w:color w:val="auto"/>
              </w:rPr>
            </w:pPr>
            <w:r>
              <w:rPr>
                <w:rFonts w:ascii="Calibri" w:cs="Calibri" w:eastAsia="Calibri" w:hAnsi="Calibri"/>
                <w:sz w:val="17"/>
                <w:szCs w:val="17"/>
                <w:color w:val="auto"/>
              </w:rPr>
              <w:t>Mortgage</w:t>
            </w:r>
          </w:p>
        </w:tc>
        <w:tc>
          <w:tcPr>
            <w:tcW w:w="960" w:type="dxa"/>
            <w:vAlign w:val="bottom"/>
          </w:tcPr>
          <w:p>
            <w:pPr>
              <w:jc w:val="center"/>
              <w:spacing w:after="0" w:line="197" w:lineRule="exact"/>
              <w:rPr>
                <w:sz w:val="20"/>
                <w:szCs w:val="20"/>
                <w:color w:val="auto"/>
              </w:rPr>
            </w:pPr>
            <w:r>
              <w:rPr>
                <w:rFonts w:ascii="Calibri" w:cs="Calibri" w:eastAsia="Calibri" w:hAnsi="Calibri"/>
                <w:sz w:val="17"/>
                <w:szCs w:val="17"/>
                <w:color w:val="auto"/>
              </w:rPr>
              <w:t>18,830</w:t>
            </w:r>
          </w:p>
        </w:tc>
        <w:tc>
          <w:tcPr>
            <w:tcW w:w="820" w:type="dxa"/>
            <w:vAlign w:val="bottom"/>
          </w:tcPr>
          <w:p>
            <w:pPr>
              <w:jc w:val="center"/>
              <w:ind w:left="77"/>
              <w:spacing w:after="0" w:line="197" w:lineRule="exact"/>
              <w:rPr>
                <w:sz w:val="20"/>
                <w:szCs w:val="20"/>
                <w:color w:val="auto"/>
              </w:rPr>
            </w:pPr>
            <w:r>
              <w:rPr>
                <w:rFonts w:ascii="Calibri" w:cs="Calibri" w:eastAsia="Calibri" w:hAnsi="Calibri"/>
                <w:sz w:val="17"/>
                <w:szCs w:val="17"/>
                <w:color w:val="auto"/>
                <w:w w:val="97"/>
              </w:rPr>
              <w:t>20,073</w:t>
            </w:r>
          </w:p>
        </w:tc>
        <w:tc>
          <w:tcPr>
            <w:tcW w:w="1140" w:type="dxa"/>
            <w:vAlign w:val="bottom"/>
            <w:tcBorders>
              <w:right w:val="single" w:sz="8" w:color="auto"/>
            </w:tcBorders>
          </w:tcPr>
          <w:p>
            <w:pPr>
              <w:jc w:val="center"/>
              <w:ind w:left="57"/>
              <w:spacing w:after="0" w:line="197" w:lineRule="exact"/>
              <w:rPr>
                <w:sz w:val="20"/>
                <w:szCs w:val="20"/>
                <w:color w:val="auto"/>
              </w:rPr>
            </w:pPr>
            <w:r>
              <w:rPr>
                <w:rFonts w:ascii="Calibri" w:cs="Calibri" w:eastAsia="Calibri" w:hAnsi="Calibri"/>
                <w:sz w:val="17"/>
                <w:szCs w:val="17"/>
                <w:color w:val="auto"/>
              </w:rPr>
              <w:t>20,282</w:t>
            </w:r>
          </w:p>
        </w:tc>
        <w:tc>
          <w:tcPr>
            <w:tcW w:w="820" w:type="dxa"/>
            <w:vAlign w:val="bottom"/>
          </w:tcPr>
          <w:p>
            <w:pPr>
              <w:jc w:val="center"/>
              <w:spacing w:after="0" w:line="197" w:lineRule="exact"/>
              <w:rPr>
                <w:sz w:val="20"/>
                <w:szCs w:val="20"/>
                <w:color w:val="auto"/>
              </w:rPr>
            </w:pPr>
            <w:r>
              <w:rPr>
                <w:rFonts w:ascii="Calibri" w:cs="Calibri" w:eastAsia="Calibri" w:hAnsi="Calibri"/>
                <w:sz w:val="17"/>
                <w:szCs w:val="17"/>
                <w:color w:val="auto"/>
              </w:rPr>
              <w:t>209</w:t>
            </w:r>
          </w:p>
        </w:tc>
        <w:tc>
          <w:tcPr>
            <w:tcW w:w="880" w:type="dxa"/>
            <w:vAlign w:val="bottom"/>
            <w:tcBorders>
              <w:right w:val="single" w:sz="8" w:color="auto"/>
            </w:tcBorders>
            <w:shd w:val="clear" w:color="auto" w:fill="26D07C"/>
          </w:tcPr>
          <w:p>
            <w:pPr>
              <w:jc w:val="center"/>
              <w:spacing w:after="0" w:line="197" w:lineRule="exact"/>
              <w:rPr>
                <w:sz w:val="20"/>
                <w:szCs w:val="20"/>
                <w:color w:val="auto"/>
              </w:rPr>
            </w:pPr>
            <w:r>
              <w:rPr>
                <w:rFonts w:ascii="Calibri" w:cs="Calibri" w:eastAsia="Calibri" w:hAnsi="Calibri"/>
                <w:sz w:val="17"/>
                <w:szCs w:val="17"/>
                <w:color w:val="auto"/>
                <w:w w:val="97"/>
              </w:rPr>
              <w:t>1,452</w:t>
            </w:r>
          </w:p>
        </w:tc>
        <w:tc>
          <w:tcPr>
            <w:tcW w:w="780" w:type="dxa"/>
            <w:vAlign w:val="bottom"/>
          </w:tcPr>
          <w:p>
            <w:pPr>
              <w:jc w:val="center"/>
              <w:spacing w:after="0" w:line="197" w:lineRule="exact"/>
              <w:rPr>
                <w:sz w:val="20"/>
                <w:szCs w:val="20"/>
                <w:color w:val="auto"/>
              </w:rPr>
            </w:pPr>
            <w:r>
              <w:rPr>
                <w:rFonts w:ascii="Calibri" w:cs="Calibri" w:eastAsia="Calibri" w:hAnsi="Calibri"/>
                <w:sz w:val="17"/>
                <w:szCs w:val="17"/>
                <w:color w:val="auto"/>
              </w:rPr>
              <w:t>1.0%</w:t>
            </w:r>
          </w:p>
        </w:tc>
        <w:tc>
          <w:tcPr>
            <w:tcW w:w="82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4"/>
              </w:rPr>
              <w:t>7.7%</w:t>
            </w:r>
          </w:p>
        </w:tc>
        <w:tc>
          <w:tcPr>
            <w:tcW w:w="920" w:type="dxa"/>
            <w:vAlign w:val="bottom"/>
          </w:tcPr>
          <w:p>
            <w:pPr>
              <w:jc w:val="center"/>
              <w:spacing w:after="0" w:line="197" w:lineRule="exact"/>
              <w:rPr>
                <w:sz w:val="20"/>
                <w:szCs w:val="20"/>
                <w:color w:val="auto"/>
              </w:rPr>
            </w:pPr>
            <w:r>
              <w:rPr>
                <w:rFonts w:ascii="Calibri" w:cs="Calibri" w:eastAsia="Calibri" w:hAnsi="Calibri"/>
                <w:sz w:val="17"/>
                <w:szCs w:val="17"/>
                <w:color w:val="auto"/>
                <w:w w:val="99"/>
              </w:rPr>
              <w:t>15.1%</w:t>
            </w:r>
          </w:p>
        </w:tc>
        <w:tc>
          <w:tcPr>
            <w:tcW w:w="940" w:type="dxa"/>
            <w:vAlign w:val="bottom"/>
          </w:tcPr>
          <w:p>
            <w:pPr>
              <w:jc w:val="center"/>
              <w:spacing w:after="0" w:line="197" w:lineRule="exact"/>
              <w:rPr>
                <w:sz w:val="20"/>
                <w:szCs w:val="20"/>
                <w:color w:val="auto"/>
              </w:rPr>
            </w:pPr>
            <w:r>
              <w:rPr>
                <w:rFonts w:ascii="Calibri" w:cs="Calibri" w:eastAsia="Calibri" w:hAnsi="Calibri"/>
                <w:sz w:val="17"/>
                <w:szCs w:val="17"/>
                <w:color w:val="auto"/>
                <w:w w:val="99"/>
              </w:rPr>
              <w:t>14.6%</w:t>
            </w:r>
          </w:p>
        </w:tc>
        <w:tc>
          <w:tcPr>
            <w:tcW w:w="9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9"/>
              </w:rPr>
              <w:t>14.8%</w:t>
            </w:r>
          </w:p>
        </w:tc>
        <w:tc>
          <w:tcPr>
            <w:tcW w:w="0" w:type="dxa"/>
            <w:vAlign w:val="bottom"/>
          </w:tcPr>
          <w:p>
            <w:pPr>
              <w:spacing w:after="0"/>
              <w:rPr>
                <w:sz w:val="1"/>
                <w:szCs w:val="1"/>
                <w:color w:val="auto"/>
              </w:rPr>
            </w:pPr>
          </w:p>
        </w:tc>
      </w:tr>
      <w:tr>
        <w:trPr>
          <w:trHeight w:val="204"/>
        </w:trPr>
        <w:tc>
          <w:tcPr>
            <w:tcW w:w="260" w:type="dxa"/>
            <w:vAlign w:val="bottom"/>
            <w:tcBorders>
              <w:left w:val="single" w:sz="8" w:color="auto"/>
            </w:tcBorders>
          </w:tcPr>
          <w:p>
            <w:pPr>
              <w:spacing w:after="0"/>
              <w:rPr>
                <w:sz w:val="17"/>
                <w:szCs w:val="17"/>
                <w:color w:val="auto"/>
              </w:rPr>
            </w:pPr>
          </w:p>
        </w:tc>
        <w:tc>
          <w:tcPr>
            <w:tcW w:w="1980" w:type="dxa"/>
            <w:vAlign w:val="bottom"/>
            <w:tcBorders>
              <w:right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Consumer</w:t>
            </w:r>
          </w:p>
        </w:tc>
        <w:tc>
          <w:tcPr>
            <w:tcW w:w="960" w:type="dxa"/>
            <w:vAlign w:val="bottom"/>
          </w:tcPr>
          <w:p>
            <w:pPr>
              <w:jc w:val="center"/>
              <w:spacing w:after="0" w:line="205" w:lineRule="exact"/>
              <w:rPr>
                <w:sz w:val="20"/>
                <w:szCs w:val="20"/>
                <w:color w:val="auto"/>
              </w:rPr>
            </w:pPr>
            <w:r>
              <w:rPr>
                <w:rFonts w:ascii="Calibri" w:cs="Calibri" w:eastAsia="Calibri" w:hAnsi="Calibri"/>
                <w:sz w:val="17"/>
                <w:szCs w:val="17"/>
                <w:color w:val="auto"/>
              </w:rPr>
              <w:t>10,975</w:t>
            </w:r>
          </w:p>
        </w:tc>
        <w:tc>
          <w:tcPr>
            <w:tcW w:w="820" w:type="dxa"/>
            <w:vAlign w:val="bottom"/>
          </w:tcPr>
          <w:p>
            <w:pPr>
              <w:jc w:val="center"/>
              <w:ind w:left="77"/>
              <w:spacing w:after="0" w:line="205" w:lineRule="exact"/>
              <w:rPr>
                <w:sz w:val="20"/>
                <w:szCs w:val="20"/>
                <w:color w:val="auto"/>
              </w:rPr>
            </w:pPr>
            <w:r>
              <w:rPr>
                <w:rFonts w:ascii="Calibri" w:cs="Calibri" w:eastAsia="Calibri" w:hAnsi="Calibri"/>
                <w:sz w:val="17"/>
                <w:szCs w:val="17"/>
                <w:color w:val="auto"/>
                <w:w w:val="97"/>
              </w:rPr>
              <w:t>12,738</w:t>
            </w:r>
          </w:p>
        </w:tc>
        <w:tc>
          <w:tcPr>
            <w:tcW w:w="1140" w:type="dxa"/>
            <w:vAlign w:val="bottom"/>
            <w:tcBorders>
              <w:right w:val="single" w:sz="8" w:color="auto"/>
            </w:tcBorders>
          </w:tcPr>
          <w:p>
            <w:pPr>
              <w:jc w:val="center"/>
              <w:ind w:left="57"/>
              <w:spacing w:after="0" w:line="205" w:lineRule="exact"/>
              <w:rPr>
                <w:sz w:val="20"/>
                <w:szCs w:val="20"/>
                <w:color w:val="auto"/>
              </w:rPr>
            </w:pPr>
            <w:r>
              <w:rPr>
                <w:rFonts w:ascii="Calibri" w:cs="Calibri" w:eastAsia="Calibri" w:hAnsi="Calibri"/>
                <w:sz w:val="17"/>
                <w:szCs w:val="17"/>
                <w:color w:val="auto"/>
              </w:rPr>
              <w:t>12,984</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247</w:t>
            </w:r>
          </w:p>
        </w:tc>
        <w:tc>
          <w:tcPr>
            <w:tcW w:w="880" w:type="dxa"/>
            <w:vAlign w:val="bottom"/>
            <w:tcBorders>
              <w:right w:val="single" w:sz="8" w:color="auto"/>
            </w:tcBorders>
            <w:shd w:val="clear" w:color="auto" w:fill="26D07C"/>
          </w:tcPr>
          <w:p>
            <w:pPr>
              <w:jc w:val="center"/>
              <w:spacing w:after="0" w:line="205" w:lineRule="exact"/>
              <w:rPr>
                <w:sz w:val="20"/>
                <w:szCs w:val="20"/>
                <w:color w:val="auto"/>
              </w:rPr>
            </w:pPr>
            <w:r>
              <w:rPr>
                <w:rFonts w:ascii="Calibri" w:cs="Calibri" w:eastAsia="Calibri" w:hAnsi="Calibri"/>
                <w:sz w:val="17"/>
                <w:szCs w:val="17"/>
                <w:color w:val="auto"/>
                <w:w w:val="97"/>
              </w:rPr>
              <w:t>2,009</w:t>
            </w:r>
          </w:p>
        </w:tc>
        <w:tc>
          <w:tcPr>
            <w:tcW w:w="780" w:type="dxa"/>
            <w:vAlign w:val="bottom"/>
          </w:tcPr>
          <w:p>
            <w:pPr>
              <w:jc w:val="center"/>
              <w:spacing w:after="0" w:line="205" w:lineRule="exact"/>
              <w:rPr>
                <w:sz w:val="20"/>
                <w:szCs w:val="20"/>
                <w:color w:val="auto"/>
              </w:rPr>
            </w:pPr>
            <w:r>
              <w:rPr>
                <w:rFonts w:ascii="Calibri" w:cs="Calibri" w:eastAsia="Calibri" w:hAnsi="Calibri"/>
                <w:sz w:val="17"/>
                <w:szCs w:val="17"/>
                <w:color w:val="auto"/>
              </w:rPr>
              <w:t>1.9%</w:t>
            </w:r>
          </w:p>
        </w:tc>
        <w:tc>
          <w:tcPr>
            <w:tcW w:w="82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9"/>
              </w:rPr>
              <w:t>18.3%</w:t>
            </w:r>
          </w:p>
        </w:tc>
        <w:tc>
          <w:tcPr>
            <w:tcW w:w="920" w:type="dxa"/>
            <w:vAlign w:val="bottom"/>
          </w:tcPr>
          <w:p>
            <w:pPr>
              <w:jc w:val="center"/>
              <w:spacing w:after="0" w:line="205" w:lineRule="exact"/>
              <w:rPr>
                <w:sz w:val="20"/>
                <w:szCs w:val="20"/>
                <w:color w:val="auto"/>
              </w:rPr>
            </w:pPr>
            <w:r>
              <w:rPr>
                <w:rFonts w:ascii="Calibri" w:cs="Calibri" w:eastAsia="Calibri" w:hAnsi="Calibri"/>
                <w:sz w:val="17"/>
                <w:szCs w:val="17"/>
                <w:color w:val="auto"/>
              </w:rPr>
              <w:t>8.8%</w:t>
            </w:r>
          </w:p>
        </w:tc>
        <w:tc>
          <w:tcPr>
            <w:tcW w:w="940" w:type="dxa"/>
            <w:vAlign w:val="bottom"/>
          </w:tcPr>
          <w:p>
            <w:pPr>
              <w:jc w:val="center"/>
              <w:spacing w:after="0" w:line="205" w:lineRule="exact"/>
              <w:rPr>
                <w:sz w:val="20"/>
                <w:szCs w:val="20"/>
                <w:color w:val="auto"/>
              </w:rPr>
            </w:pPr>
            <w:r>
              <w:rPr>
                <w:rFonts w:ascii="Calibri" w:cs="Calibri" w:eastAsia="Calibri" w:hAnsi="Calibri"/>
                <w:sz w:val="17"/>
                <w:szCs w:val="17"/>
                <w:color w:val="auto"/>
              </w:rPr>
              <w:t>9.2%</w:t>
            </w:r>
          </w:p>
        </w:tc>
        <w:tc>
          <w:tcPr>
            <w:tcW w:w="94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color w:val="auto"/>
              </w:rPr>
              <w:t>9.5%</w:t>
            </w:r>
          </w:p>
        </w:tc>
        <w:tc>
          <w:tcPr>
            <w:tcW w:w="0" w:type="dxa"/>
            <w:vAlign w:val="bottom"/>
          </w:tcPr>
          <w:p>
            <w:pPr>
              <w:spacing w:after="0"/>
              <w:rPr>
                <w:sz w:val="1"/>
                <w:szCs w:val="1"/>
                <w:color w:val="auto"/>
              </w:rPr>
            </w:pPr>
          </w:p>
        </w:tc>
      </w:tr>
      <w:tr>
        <w:trPr>
          <w:trHeight w:val="204"/>
        </w:trPr>
        <w:tc>
          <w:tcPr>
            <w:tcW w:w="260" w:type="dxa"/>
            <w:vAlign w:val="bottom"/>
            <w:tcBorders>
              <w:left w:val="single" w:sz="8" w:color="auto"/>
            </w:tcBorders>
          </w:tcPr>
          <w:p>
            <w:pPr>
              <w:spacing w:after="0"/>
              <w:rPr>
                <w:sz w:val="17"/>
                <w:szCs w:val="17"/>
                <w:color w:val="auto"/>
              </w:rPr>
            </w:pPr>
          </w:p>
        </w:tc>
        <w:tc>
          <w:tcPr>
            <w:tcW w:w="1980" w:type="dxa"/>
            <w:vAlign w:val="bottom"/>
            <w:tcBorders>
              <w:right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Credit Card</w:t>
            </w:r>
          </w:p>
        </w:tc>
        <w:tc>
          <w:tcPr>
            <w:tcW w:w="960" w:type="dxa"/>
            <w:vAlign w:val="bottom"/>
          </w:tcPr>
          <w:p>
            <w:pPr>
              <w:jc w:val="center"/>
              <w:spacing w:after="0" w:line="205" w:lineRule="exact"/>
              <w:rPr>
                <w:sz w:val="20"/>
                <w:szCs w:val="20"/>
                <w:color w:val="auto"/>
              </w:rPr>
            </w:pPr>
            <w:r>
              <w:rPr>
                <w:rFonts w:ascii="Calibri" w:cs="Calibri" w:eastAsia="Calibri" w:hAnsi="Calibri"/>
                <w:sz w:val="17"/>
                <w:szCs w:val="17"/>
                <w:color w:val="auto"/>
              </w:rPr>
              <w:t>4,032</w:t>
            </w:r>
          </w:p>
        </w:tc>
        <w:tc>
          <w:tcPr>
            <w:tcW w:w="820" w:type="dxa"/>
            <w:vAlign w:val="bottom"/>
          </w:tcPr>
          <w:p>
            <w:pPr>
              <w:jc w:val="center"/>
              <w:ind w:left="77"/>
              <w:spacing w:after="0" w:line="205" w:lineRule="exact"/>
              <w:rPr>
                <w:sz w:val="20"/>
                <w:szCs w:val="20"/>
                <w:color w:val="auto"/>
              </w:rPr>
            </w:pPr>
            <w:r>
              <w:rPr>
                <w:rFonts w:ascii="Calibri" w:cs="Calibri" w:eastAsia="Calibri" w:hAnsi="Calibri"/>
                <w:sz w:val="17"/>
                <w:szCs w:val="17"/>
                <w:color w:val="auto"/>
                <w:w w:val="97"/>
              </w:rPr>
              <w:t>5,126</w:t>
            </w:r>
          </w:p>
        </w:tc>
        <w:tc>
          <w:tcPr>
            <w:tcW w:w="1140" w:type="dxa"/>
            <w:vAlign w:val="bottom"/>
            <w:tcBorders>
              <w:right w:val="single" w:sz="8" w:color="auto"/>
            </w:tcBorders>
          </w:tcPr>
          <w:p>
            <w:pPr>
              <w:jc w:val="center"/>
              <w:ind w:left="57"/>
              <w:spacing w:after="0" w:line="205" w:lineRule="exact"/>
              <w:rPr>
                <w:sz w:val="20"/>
                <w:szCs w:val="20"/>
                <w:color w:val="auto"/>
              </w:rPr>
            </w:pPr>
            <w:r>
              <w:rPr>
                <w:rFonts w:ascii="Calibri" w:cs="Calibri" w:eastAsia="Calibri" w:hAnsi="Calibri"/>
                <w:sz w:val="17"/>
                <w:szCs w:val="17"/>
                <w:color w:val="auto"/>
              </w:rPr>
              <w:t>5,420</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294</w:t>
            </w:r>
          </w:p>
        </w:tc>
        <w:tc>
          <w:tcPr>
            <w:tcW w:w="880" w:type="dxa"/>
            <w:vAlign w:val="bottom"/>
            <w:tcBorders>
              <w:right w:val="single" w:sz="8" w:color="auto"/>
            </w:tcBorders>
            <w:shd w:val="clear" w:color="auto" w:fill="26D07C"/>
          </w:tcPr>
          <w:p>
            <w:pPr>
              <w:jc w:val="center"/>
              <w:spacing w:after="0" w:line="205" w:lineRule="exact"/>
              <w:rPr>
                <w:sz w:val="20"/>
                <w:szCs w:val="20"/>
                <w:color w:val="auto"/>
              </w:rPr>
            </w:pPr>
            <w:r>
              <w:rPr>
                <w:rFonts w:ascii="Calibri" w:cs="Calibri" w:eastAsia="Calibri" w:hAnsi="Calibri"/>
                <w:sz w:val="17"/>
                <w:szCs w:val="17"/>
                <w:color w:val="auto"/>
                <w:w w:val="97"/>
              </w:rPr>
              <w:t>1,388</w:t>
            </w:r>
          </w:p>
        </w:tc>
        <w:tc>
          <w:tcPr>
            <w:tcW w:w="780" w:type="dxa"/>
            <w:vAlign w:val="bottom"/>
          </w:tcPr>
          <w:p>
            <w:pPr>
              <w:jc w:val="center"/>
              <w:spacing w:after="0" w:line="205" w:lineRule="exact"/>
              <w:rPr>
                <w:sz w:val="20"/>
                <w:szCs w:val="20"/>
                <w:color w:val="auto"/>
              </w:rPr>
            </w:pPr>
            <w:r>
              <w:rPr>
                <w:rFonts w:ascii="Calibri" w:cs="Calibri" w:eastAsia="Calibri" w:hAnsi="Calibri"/>
                <w:sz w:val="17"/>
                <w:szCs w:val="17"/>
                <w:color w:val="auto"/>
              </w:rPr>
              <w:t>5.7%</w:t>
            </w:r>
          </w:p>
        </w:tc>
        <w:tc>
          <w:tcPr>
            <w:tcW w:w="82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9"/>
              </w:rPr>
              <w:t>34.4%</w:t>
            </w:r>
          </w:p>
        </w:tc>
        <w:tc>
          <w:tcPr>
            <w:tcW w:w="920" w:type="dxa"/>
            <w:vAlign w:val="bottom"/>
          </w:tcPr>
          <w:p>
            <w:pPr>
              <w:jc w:val="center"/>
              <w:spacing w:after="0" w:line="205" w:lineRule="exact"/>
              <w:rPr>
                <w:sz w:val="20"/>
                <w:szCs w:val="20"/>
                <w:color w:val="auto"/>
              </w:rPr>
            </w:pPr>
            <w:r>
              <w:rPr>
                <w:rFonts w:ascii="Calibri" w:cs="Calibri" w:eastAsia="Calibri" w:hAnsi="Calibri"/>
                <w:sz w:val="17"/>
                <w:szCs w:val="17"/>
                <w:color w:val="auto"/>
              </w:rPr>
              <w:t>3.2%</w:t>
            </w:r>
          </w:p>
        </w:tc>
        <w:tc>
          <w:tcPr>
            <w:tcW w:w="940" w:type="dxa"/>
            <w:vAlign w:val="bottom"/>
          </w:tcPr>
          <w:p>
            <w:pPr>
              <w:jc w:val="center"/>
              <w:spacing w:after="0" w:line="205" w:lineRule="exact"/>
              <w:rPr>
                <w:sz w:val="20"/>
                <w:szCs w:val="20"/>
                <w:color w:val="auto"/>
              </w:rPr>
            </w:pPr>
            <w:r>
              <w:rPr>
                <w:rFonts w:ascii="Calibri" w:cs="Calibri" w:eastAsia="Calibri" w:hAnsi="Calibri"/>
                <w:sz w:val="17"/>
                <w:szCs w:val="17"/>
                <w:color w:val="auto"/>
              </w:rPr>
              <w:t>3.7%</w:t>
            </w:r>
          </w:p>
        </w:tc>
        <w:tc>
          <w:tcPr>
            <w:tcW w:w="94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color w:val="auto"/>
              </w:rPr>
              <w:t>4.0%</w:t>
            </w:r>
          </w:p>
        </w:tc>
        <w:tc>
          <w:tcPr>
            <w:tcW w:w="0" w:type="dxa"/>
            <w:vAlign w:val="bottom"/>
          </w:tcPr>
          <w:p>
            <w:pPr>
              <w:spacing w:after="0"/>
              <w:rPr>
                <w:sz w:val="1"/>
                <w:szCs w:val="1"/>
                <w:color w:val="auto"/>
              </w:rPr>
            </w:pPr>
          </w:p>
        </w:tc>
      </w:tr>
      <w:tr>
        <w:trPr>
          <w:trHeight w:val="212"/>
        </w:trPr>
        <w:tc>
          <w:tcPr>
            <w:tcW w:w="2240" w:type="dxa"/>
            <w:vAlign w:val="bottom"/>
            <w:tcBorders>
              <w:left w:val="single" w:sz="8" w:color="auto"/>
              <w:right w:val="single" w:sz="8" w:color="auto"/>
            </w:tcBorders>
            <w:gridSpan w:val="2"/>
          </w:tcPr>
          <w:p>
            <w:pPr>
              <w:ind w:left="20"/>
              <w:spacing w:after="0" w:line="205" w:lineRule="exact"/>
              <w:rPr>
                <w:sz w:val="20"/>
                <w:szCs w:val="20"/>
                <w:color w:val="auto"/>
              </w:rPr>
            </w:pPr>
            <w:r>
              <w:rPr>
                <w:rFonts w:ascii="Calibri" w:cs="Calibri" w:eastAsia="Calibri" w:hAnsi="Calibri"/>
                <w:sz w:val="17"/>
                <w:szCs w:val="17"/>
                <w:b w:val="1"/>
                <w:bCs w:val="1"/>
                <w:color w:val="auto"/>
              </w:rPr>
              <w:t>Mibanco</w:t>
            </w:r>
          </w:p>
        </w:tc>
        <w:tc>
          <w:tcPr>
            <w:tcW w:w="96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rPr>
              <w:t>11,411</w:t>
            </w:r>
          </w:p>
        </w:tc>
        <w:tc>
          <w:tcPr>
            <w:tcW w:w="820" w:type="dxa"/>
            <w:vAlign w:val="bottom"/>
          </w:tcPr>
          <w:p>
            <w:pPr>
              <w:jc w:val="center"/>
              <w:ind w:left="77"/>
              <w:spacing w:after="0" w:line="205" w:lineRule="exact"/>
              <w:rPr>
                <w:sz w:val="20"/>
                <w:szCs w:val="20"/>
                <w:color w:val="auto"/>
              </w:rPr>
            </w:pPr>
            <w:r>
              <w:rPr>
                <w:rFonts w:ascii="Calibri" w:cs="Calibri" w:eastAsia="Calibri" w:hAnsi="Calibri"/>
                <w:sz w:val="17"/>
                <w:szCs w:val="17"/>
                <w:b w:val="1"/>
                <w:bCs w:val="1"/>
                <w:color w:val="auto"/>
                <w:w w:val="96"/>
              </w:rPr>
              <w:t>13,121</w:t>
            </w:r>
          </w:p>
        </w:tc>
        <w:tc>
          <w:tcPr>
            <w:tcW w:w="1140" w:type="dxa"/>
            <w:vAlign w:val="bottom"/>
            <w:tcBorders>
              <w:right w:val="single" w:sz="8" w:color="auto"/>
            </w:tcBorders>
          </w:tcPr>
          <w:p>
            <w:pPr>
              <w:jc w:val="center"/>
              <w:ind w:left="57"/>
              <w:spacing w:after="0" w:line="205" w:lineRule="exact"/>
              <w:rPr>
                <w:sz w:val="20"/>
                <w:szCs w:val="20"/>
                <w:color w:val="auto"/>
              </w:rPr>
            </w:pPr>
            <w:r>
              <w:rPr>
                <w:rFonts w:ascii="Calibri" w:cs="Calibri" w:eastAsia="Calibri" w:hAnsi="Calibri"/>
                <w:sz w:val="17"/>
                <w:szCs w:val="17"/>
                <w:b w:val="1"/>
                <w:bCs w:val="1"/>
                <w:color w:val="auto"/>
              </w:rPr>
              <w:t>13,335</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rPr>
              <w:t>214</w:t>
            </w:r>
          </w:p>
        </w:tc>
        <w:tc>
          <w:tcPr>
            <w:tcW w:w="880" w:type="dxa"/>
            <w:vAlign w:val="bottom"/>
            <w:tcBorders>
              <w:bottom w:val="single" w:sz="8" w:color="26D07C"/>
              <w:right w:val="single" w:sz="8" w:color="auto"/>
            </w:tcBorders>
            <w:shd w:val="clear" w:color="auto" w:fill="26D07C"/>
          </w:tcPr>
          <w:p>
            <w:pPr>
              <w:jc w:val="center"/>
              <w:spacing w:after="0" w:line="205" w:lineRule="exact"/>
              <w:rPr>
                <w:sz w:val="20"/>
                <w:szCs w:val="20"/>
                <w:color w:val="auto"/>
              </w:rPr>
            </w:pPr>
            <w:r>
              <w:rPr>
                <w:rFonts w:ascii="Calibri" w:cs="Calibri" w:eastAsia="Calibri" w:hAnsi="Calibri"/>
                <w:sz w:val="17"/>
                <w:szCs w:val="17"/>
                <w:b w:val="1"/>
                <w:bCs w:val="1"/>
                <w:color w:val="auto"/>
                <w:w w:val="97"/>
              </w:rPr>
              <w:t>1,924</w:t>
            </w:r>
          </w:p>
        </w:tc>
        <w:tc>
          <w:tcPr>
            <w:tcW w:w="78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99"/>
              </w:rPr>
              <w:t>1.6%</w:t>
            </w:r>
          </w:p>
        </w:tc>
        <w:tc>
          <w:tcPr>
            <w:tcW w:w="82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rPr>
              <w:t>16.9%</w:t>
            </w:r>
          </w:p>
        </w:tc>
        <w:tc>
          <w:tcPr>
            <w:tcW w:w="92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99"/>
              </w:rPr>
              <w:t>9.2%</w:t>
            </w:r>
          </w:p>
        </w:tc>
        <w:tc>
          <w:tcPr>
            <w:tcW w:w="94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99"/>
              </w:rPr>
              <w:t>9.5%</w:t>
            </w:r>
          </w:p>
        </w:tc>
        <w:tc>
          <w:tcPr>
            <w:tcW w:w="94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w w:val="99"/>
              </w:rPr>
              <w:t>9.8%</w:t>
            </w:r>
          </w:p>
        </w:tc>
        <w:tc>
          <w:tcPr>
            <w:tcW w:w="0" w:type="dxa"/>
            <w:vAlign w:val="bottom"/>
          </w:tcPr>
          <w:p>
            <w:pPr>
              <w:spacing w:after="0"/>
              <w:rPr>
                <w:sz w:val="1"/>
                <w:szCs w:val="1"/>
                <w:color w:val="auto"/>
              </w:rPr>
            </w:pPr>
          </w:p>
        </w:tc>
      </w:tr>
      <w:tr>
        <w:trPr>
          <w:trHeight w:val="184"/>
        </w:trPr>
        <w:tc>
          <w:tcPr>
            <w:tcW w:w="2240" w:type="dxa"/>
            <w:vAlign w:val="bottom"/>
            <w:tcBorders>
              <w:left w:val="single" w:sz="8" w:color="auto"/>
              <w:right w:val="single" w:sz="8" w:color="auto"/>
            </w:tcBorders>
            <w:gridSpan w:val="2"/>
          </w:tcPr>
          <w:p>
            <w:pPr>
              <w:ind w:left="20"/>
              <w:spacing w:after="0" w:line="176" w:lineRule="exact"/>
              <w:rPr>
                <w:sz w:val="20"/>
                <w:szCs w:val="20"/>
                <w:color w:val="auto"/>
              </w:rPr>
            </w:pPr>
            <w:r>
              <w:rPr>
                <w:rFonts w:ascii="Calibri" w:cs="Calibri" w:eastAsia="Calibri" w:hAnsi="Calibri"/>
                <w:sz w:val="17"/>
                <w:szCs w:val="17"/>
                <w:b w:val="1"/>
                <w:bCs w:val="1"/>
                <w:color w:val="auto"/>
              </w:rPr>
              <w:t>Mibanco Colombia</w:t>
            </w:r>
          </w:p>
        </w:tc>
        <w:tc>
          <w:tcPr>
            <w:tcW w:w="960" w:type="dxa"/>
            <w:vAlign w:val="bottom"/>
          </w:tcPr>
          <w:p>
            <w:pPr>
              <w:jc w:val="center"/>
              <w:spacing w:after="0" w:line="176" w:lineRule="exact"/>
              <w:rPr>
                <w:sz w:val="20"/>
                <w:szCs w:val="20"/>
                <w:color w:val="auto"/>
              </w:rPr>
            </w:pPr>
            <w:r>
              <w:rPr>
                <w:rFonts w:ascii="Calibri" w:cs="Calibri" w:eastAsia="Calibri" w:hAnsi="Calibri"/>
                <w:sz w:val="17"/>
                <w:szCs w:val="17"/>
                <w:b w:val="1"/>
                <w:bCs w:val="1"/>
                <w:color w:val="auto"/>
              </w:rPr>
              <w:t>1,077</w:t>
            </w:r>
          </w:p>
        </w:tc>
        <w:tc>
          <w:tcPr>
            <w:tcW w:w="820" w:type="dxa"/>
            <w:vAlign w:val="bottom"/>
          </w:tcPr>
          <w:p>
            <w:pPr>
              <w:jc w:val="center"/>
              <w:ind w:left="77"/>
              <w:spacing w:after="0" w:line="176" w:lineRule="exact"/>
              <w:rPr>
                <w:sz w:val="20"/>
                <w:szCs w:val="20"/>
                <w:color w:val="auto"/>
              </w:rPr>
            </w:pPr>
            <w:r>
              <w:rPr>
                <w:rFonts w:ascii="Calibri" w:cs="Calibri" w:eastAsia="Calibri" w:hAnsi="Calibri"/>
                <w:sz w:val="17"/>
                <w:szCs w:val="17"/>
                <w:b w:val="1"/>
                <w:bCs w:val="1"/>
                <w:color w:val="auto"/>
                <w:w w:val="97"/>
              </w:rPr>
              <w:t>1,174</w:t>
            </w:r>
          </w:p>
        </w:tc>
        <w:tc>
          <w:tcPr>
            <w:tcW w:w="1140" w:type="dxa"/>
            <w:vAlign w:val="bottom"/>
            <w:tcBorders>
              <w:right w:val="single" w:sz="8" w:color="auto"/>
            </w:tcBorders>
          </w:tcPr>
          <w:p>
            <w:pPr>
              <w:jc w:val="center"/>
              <w:ind w:left="57"/>
              <w:spacing w:after="0" w:line="176" w:lineRule="exact"/>
              <w:rPr>
                <w:sz w:val="20"/>
                <w:szCs w:val="20"/>
                <w:color w:val="auto"/>
              </w:rPr>
            </w:pPr>
            <w:r>
              <w:rPr>
                <w:rFonts w:ascii="Calibri" w:cs="Calibri" w:eastAsia="Calibri" w:hAnsi="Calibri"/>
                <w:sz w:val="17"/>
                <w:szCs w:val="17"/>
                <w:b w:val="1"/>
                <w:bCs w:val="1"/>
                <w:color w:val="auto"/>
              </w:rPr>
              <w:t>1,250</w:t>
            </w:r>
          </w:p>
        </w:tc>
        <w:tc>
          <w:tcPr>
            <w:tcW w:w="820" w:type="dxa"/>
            <w:vAlign w:val="bottom"/>
          </w:tcPr>
          <w:p>
            <w:pPr>
              <w:jc w:val="center"/>
              <w:spacing w:after="0" w:line="176" w:lineRule="exact"/>
              <w:rPr>
                <w:sz w:val="20"/>
                <w:szCs w:val="20"/>
                <w:color w:val="auto"/>
              </w:rPr>
            </w:pPr>
            <w:r>
              <w:rPr>
                <w:rFonts w:ascii="Calibri" w:cs="Calibri" w:eastAsia="Calibri" w:hAnsi="Calibri"/>
                <w:sz w:val="17"/>
                <w:szCs w:val="17"/>
                <w:b w:val="1"/>
                <w:bCs w:val="1"/>
                <w:color w:val="auto"/>
              </w:rPr>
              <w:t>76</w:t>
            </w:r>
          </w:p>
        </w:tc>
        <w:tc>
          <w:tcPr>
            <w:tcW w:w="88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rPr>
              <w:t>173</w:t>
            </w:r>
          </w:p>
        </w:tc>
        <w:tc>
          <w:tcPr>
            <w:tcW w:w="780" w:type="dxa"/>
            <w:vAlign w:val="bottom"/>
          </w:tcPr>
          <w:p>
            <w:pPr>
              <w:jc w:val="center"/>
              <w:spacing w:after="0" w:line="176" w:lineRule="exact"/>
              <w:rPr>
                <w:sz w:val="20"/>
                <w:szCs w:val="20"/>
                <w:color w:val="auto"/>
              </w:rPr>
            </w:pPr>
            <w:r>
              <w:rPr>
                <w:rFonts w:ascii="Calibri" w:cs="Calibri" w:eastAsia="Calibri" w:hAnsi="Calibri"/>
                <w:sz w:val="17"/>
                <w:szCs w:val="17"/>
                <w:b w:val="1"/>
                <w:bCs w:val="1"/>
                <w:color w:val="auto"/>
                <w:w w:val="99"/>
              </w:rPr>
              <w:t>6.5%</w:t>
            </w:r>
          </w:p>
        </w:tc>
        <w:tc>
          <w:tcPr>
            <w:tcW w:w="820" w:type="dxa"/>
            <w:vAlign w:val="bottom"/>
            <w:tcBorders>
              <w:right w:val="single" w:sz="8" w:color="auto"/>
            </w:tcBorders>
          </w:tcPr>
          <w:p>
            <w:pPr>
              <w:jc w:val="center"/>
              <w:spacing w:after="0" w:line="176" w:lineRule="exact"/>
              <w:rPr>
                <w:sz w:val="20"/>
                <w:szCs w:val="20"/>
                <w:color w:val="auto"/>
              </w:rPr>
            </w:pPr>
            <w:r>
              <w:rPr>
                <w:rFonts w:ascii="Calibri" w:cs="Calibri" w:eastAsia="Calibri" w:hAnsi="Calibri"/>
                <w:sz w:val="17"/>
                <w:szCs w:val="17"/>
                <w:b w:val="1"/>
                <w:bCs w:val="1"/>
                <w:color w:val="auto"/>
              </w:rPr>
              <w:t>16.0%</w:t>
            </w:r>
          </w:p>
        </w:tc>
        <w:tc>
          <w:tcPr>
            <w:tcW w:w="920" w:type="dxa"/>
            <w:vAlign w:val="bottom"/>
          </w:tcPr>
          <w:p>
            <w:pPr>
              <w:jc w:val="center"/>
              <w:spacing w:after="0" w:line="176" w:lineRule="exact"/>
              <w:rPr>
                <w:sz w:val="20"/>
                <w:szCs w:val="20"/>
                <w:color w:val="auto"/>
              </w:rPr>
            </w:pPr>
            <w:r>
              <w:rPr>
                <w:rFonts w:ascii="Calibri" w:cs="Calibri" w:eastAsia="Calibri" w:hAnsi="Calibri"/>
                <w:sz w:val="17"/>
                <w:szCs w:val="17"/>
                <w:b w:val="1"/>
                <w:bCs w:val="1"/>
                <w:color w:val="auto"/>
                <w:w w:val="99"/>
              </w:rPr>
              <w:t>0.9%</w:t>
            </w:r>
          </w:p>
        </w:tc>
        <w:tc>
          <w:tcPr>
            <w:tcW w:w="940" w:type="dxa"/>
            <w:vAlign w:val="bottom"/>
          </w:tcPr>
          <w:p>
            <w:pPr>
              <w:jc w:val="center"/>
              <w:spacing w:after="0" w:line="176" w:lineRule="exact"/>
              <w:rPr>
                <w:sz w:val="20"/>
                <w:szCs w:val="20"/>
                <w:color w:val="auto"/>
              </w:rPr>
            </w:pPr>
            <w:r>
              <w:rPr>
                <w:rFonts w:ascii="Calibri" w:cs="Calibri" w:eastAsia="Calibri" w:hAnsi="Calibri"/>
                <w:sz w:val="17"/>
                <w:szCs w:val="17"/>
                <w:b w:val="1"/>
                <w:bCs w:val="1"/>
                <w:color w:val="auto"/>
                <w:w w:val="99"/>
              </w:rPr>
              <w:t>0.9%</w:t>
            </w:r>
          </w:p>
        </w:tc>
        <w:tc>
          <w:tcPr>
            <w:tcW w:w="940" w:type="dxa"/>
            <w:vAlign w:val="bottom"/>
            <w:tcBorders>
              <w:right w:val="single" w:sz="8" w:color="auto"/>
            </w:tcBorders>
          </w:tcPr>
          <w:p>
            <w:pPr>
              <w:jc w:val="center"/>
              <w:spacing w:after="0" w:line="176" w:lineRule="exact"/>
              <w:rPr>
                <w:sz w:val="20"/>
                <w:szCs w:val="20"/>
                <w:color w:val="auto"/>
              </w:rPr>
            </w:pPr>
            <w:r>
              <w:rPr>
                <w:rFonts w:ascii="Calibri" w:cs="Calibri" w:eastAsia="Calibri" w:hAnsi="Calibri"/>
                <w:sz w:val="17"/>
                <w:szCs w:val="17"/>
                <w:b w:val="1"/>
                <w:bCs w:val="1"/>
                <w:color w:val="auto"/>
                <w:w w:val="99"/>
              </w:rPr>
              <w:t>0.9%</w:t>
            </w:r>
          </w:p>
        </w:tc>
        <w:tc>
          <w:tcPr>
            <w:tcW w:w="0" w:type="dxa"/>
            <w:vAlign w:val="bottom"/>
          </w:tcPr>
          <w:p>
            <w:pPr>
              <w:spacing w:after="0"/>
              <w:rPr>
                <w:sz w:val="1"/>
                <w:szCs w:val="1"/>
                <w:color w:val="auto"/>
              </w:rPr>
            </w:pPr>
          </w:p>
        </w:tc>
      </w:tr>
      <w:tr>
        <w:trPr>
          <w:trHeight w:val="197"/>
        </w:trPr>
        <w:tc>
          <w:tcPr>
            <w:tcW w:w="2240" w:type="dxa"/>
            <w:vAlign w:val="bottom"/>
            <w:tcBorders>
              <w:left w:val="single" w:sz="8" w:color="auto"/>
              <w:right w:val="single" w:sz="8" w:color="auto"/>
            </w:tcBorders>
            <w:gridSpan w:val="2"/>
          </w:tcPr>
          <w:p>
            <w:pPr>
              <w:ind w:left="20"/>
              <w:spacing w:after="0" w:line="197" w:lineRule="exact"/>
              <w:rPr>
                <w:sz w:val="20"/>
                <w:szCs w:val="20"/>
                <w:color w:val="auto"/>
              </w:rPr>
            </w:pPr>
            <w:r>
              <w:rPr>
                <w:rFonts w:ascii="Calibri" w:cs="Calibri" w:eastAsia="Calibri" w:hAnsi="Calibri"/>
                <w:sz w:val="17"/>
                <w:szCs w:val="17"/>
                <w:b w:val="1"/>
                <w:bCs w:val="1"/>
                <w:color w:val="auto"/>
              </w:rPr>
              <w:t>Bolivia</w:t>
            </w:r>
          </w:p>
        </w:tc>
        <w:tc>
          <w:tcPr>
            <w:tcW w:w="96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8,602</w:t>
            </w:r>
          </w:p>
        </w:tc>
        <w:tc>
          <w:tcPr>
            <w:tcW w:w="820" w:type="dxa"/>
            <w:vAlign w:val="bottom"/>
          </w:tcPr>
          <w:p>
            <w:pPr>
              <w:jc w:val="center"/>
              <w:ind w:left="77"/>
              <w:spacing w:after="0" w:line="197" w:lineRule="exact"/>
              <w:rPr>
                <w:sz w:val="20"/>
                <w:szCs w:val="20"/>
                <w:color w:val="auto"/>
              </w:rPr>
            </w:pPr>
            <w:r>
              <w:rPr>
                <w:rFonts w:ascii="Calibri" w:cs="Calibri" w:eastAsia="Calibri" w:hAnsi="Calibri"/>
                <w:sz w:val="17"/>
                <w:szCs w:val="17"/>
                <w:b w:val="1"/>
                <w:bCs w:val="1"/>
                <w:color w:val="auto"/>
                <w:w w:val="97"/>
              </w:rPr>
              <w:t>9,034</w:t>
            </w:r>
          </w:p>
        </w:tc>
        <w:tc>
          <w:tcPr>
            <w:tcW w:w="1140" w:type="dxa"/>
            <w:vAlign w:val="bottom"/>
            <w:tcBorders>
              <w:right w:val="single" w:sz="8" w:color="auto"/>
            </w:tcBorders>
          </w:tcPr>
          <w:p>
            <w:pPr>
              <w:jc w:val="center"/>
              <w:ind w:left="57"/>
              <w:spacing w:after="0" w:line="197" w:lineRule="exact"/>
              <w:rPr>
                <w:sz w:val="20"/>
                <w:szCs w:val="20"/>
                <w:color w:val="auto"/>
              </w:rPr>
            </w:pPr>
            <w:r>
              <w:rPr>
                <w:rFonts w:ascii="Calibri" w:cs="Calibri" w:eastAsia="Calibri" w:hAnsi="Calibri"/>
                <w:sz w:val="17"/>
                <w:szCs w:val="17"/>
                <w:b w:val="1"/>
                <w:bCs w:val="1"/>
                <w:color w:val="auto"/>
              </w:rPr>
              <w:t>8,951</w:t>
            </w:r>
          </w:p>
        </w:tc>
        <w:tc>
          <w:tcPr>
            <w:tcW w:w="82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7"/>
              </w:rPr>
              <w:t>-82</w:t>
            </w:r>
          </w:p>
        </w:tc>
        <w:tc>
          <w:tcPr>
            <w:tcW w:w="88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rPr>
              <w:t>349</w:t>
            </w:r>
          </w:p>
        </w:tc>
        <w:tc>
          <w:tcPr>
            <w:tcW w:w="78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6"/>
              </w:rPr>
              <w:t>-0.9%</w:t>
            </w:r>
          </w:p>
        </w:tc>
        <w:tc>
          <w:tcPr>
            <w:tcW w:w="82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4.1%</w:t>
            </w:r>
          </w:p>
        </w:tc>
        <w:tc>
          <w:tcPr>
            <w:tcW w:w="92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9"/>
              </w:rPr>
              <w:t>6.9%</w:t>
            </w:r>
          </w:p>
        </w:tc>
        <w:tc>
          <w:tcPr>
            <w:tcW w:w="94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9"/>
              </w:rPr>
              <w:t>6.6%</w:t>
            </w:r>
          </w:p>
        </w:tc>
        <w:tc>
          <w:tcPr>
            <w:tcW w:w="9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6.5%</w:t>
            </w:r>
          </w:p>
        </w:tc>
        <w:tc>
          <w:tcPr>
            <w:tcW w:w="0" w:type="dxa"/>
            <w:vAlign w:val="bottom"/>
          </w:tcPr>
          <w:p>
            <w:pPr>
              <w:spacing w:after="0"/>
              <w:rPr>
                <w:sz w:val="1"/>
                <w:szCs w:val="1"/>
                <w:color w:val="auto"/>
              </w:rPr>
            </w:pPr>
          </w:p>
        </w:tc>
      </w:tr>
      <w:tr>
        <w:trPr>
          <w:trHeight w:val="204"/>
        </w:trPr>
        <w:tc>
          <w:tcPr>
            <w:tcW w:w="2240" w:type="dxa"/>
            <w:vAlign w:val="bottom"/>
            <w:tcBorders>
              <w:left w:val="single" w:sz="8" w:color="auto"/>
              <w:right w:val="single" w:sz="8" w:color="auto"/>
            </w:tcBorders>
            <w:gridSpan w:val="2"/>
          </w:tcPr>
          <w:p>
            <w:pPr>
              <w:ind w:left="20"/>
              <w:spacing w:after="0" w:line="205" w:lineRule="exact"/>
              <w:rPr>
                <w:sz w:val="20"/>
                <w:szCs w:val="20"/>
                <w:color w:val="auto"/>
              </w:rPr>
            </w:pPr>
            <w:r>
              <w:rPr>
                <w:rFonts w:ascii="Calibri" w:cs="Calibri" w:eastAsia="Calibri" w:hAnsi="Calibri"/>
                <w:sz w:val="17"/>
                <w:szCs w:val="17"/>
                <w:b w:val="1"/>
                <w:bCs w:val="1"/>
                <w:color w:val="auto"/>
              </w:rPr>
              <w:t>ASB</w:t>
            </w:r>
          </w:p>
        </w:tc>
        <w:tc>
          <w:tcPr>
            <w:tcW w:w="96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rPr>
              <w:t>2,103</w:t>
            </w:r>
          </w:p>
        </w:tc>
        <w:tc>
          <w:tcPr>
            <w:tcW w:w="820" w:type="dxa"/>
            <w:vAlign w:val="bottom"/>
          </w:tcPr>
          <w:p>
            <w:pPr>
              <w:jc w:val="center"/>
              <w:ind w:left="77"/>
              <w:spacing w:after="0" w:line="205" w:lineRule="exact"/>
              <w:rPr>
                <w:sz w:val="20"/>
                <w:szCs w:val="20"/>
                <w:color w:val="auto"/>
              </w:rPr>
            </w:pPr>
            <w:r>
              <w:rPr>
                <w:rFonts w:ascii="Calibri" w:cs="Calibri" w:eastAsia="Calibri" w:hAnsi="Calibri"/>
                <w:sz w:val="17"/>
                <w:szCs w:val="17"/>
                <w:b w:val="1"/>
                <w:bCs w:val="1"/>
                <w:color w:val="auto"/>
                <w:w w:val="97"/>
              </w:rPr>
              <w:t>2,039</w:t>
            </w:r>
          </w:p>
        </w:tc>
        <w:tc>
          <w:tcPr>
            <w:tcW w:w="1140" w:type="dxa"/>
            <w:vAlign w:val="bottom"/>
            <w:tcBorders>
              <w:right w:val="single" w:sz="8" w:color="auto"/>
            </w:tcBorders>
          </w:tcPr>
          <w:p>
            <w:pPr>
              <w:jc w:val="center"/>
              <w:ind w:left="57"/>
              <w:spacing w:after="0" w:line="205" w:lineRule="exact"/>
              <w:rPr>
                <w:sz w:val="20"/>
                <w:szCs w:val="20"/>
                <w:color w:val="auto"/>
              </w:rPr>
            </w:pPr>
            <w:r>
              <w:rPr>
                <w:rFonts w:ascii="Calibri" w:cs="Calibri" w:eastAsia="Calibri" w:hAnsi="Calibri"/>
                <w:sz w:val="17"/>
                <w:szCs w:val="17"/>
                <w:b w:val="1"/>
                <w:bCs w:val="1"/>
                <w:color w:val="auto"/>
              </w:rPr>
              <w:t>1,958</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97"/>
              </w:rPr>
              <w:t>-81</w:t>
            </w:r>
          </w:p>
        </w:tc>
        <w:tc>
          <w:tcPr>
            <w:tcW w:w="88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w w:val="96"/>
              </w:rPr>
              <w:t>-145</w:t>
            </w:r>
          </w:p>
        </w:tc>
        <w:tc>
          <w:tcPr>
            <w:tcW w:w="78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96"/>
              </w:rPr>
              <w:t>-4.0%</w:t>
            </w:r>
          </w:p>
        </w:tc>
        <w:tc>
          <w:tcPr>
            <w:tcW w:w="82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rPr>
              <w:t>-6.9%</w:t>
            </w:r>
          </w:p>
        </w:tc>
        <w:tc>
          <w:tcPr>
            <w:tcW w:w="92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99"/>
              </w:rPr>
              <w:t>1.7%</w:t>
            </w:r>
          </w:p>
        </w:tc>
        <w:tc>
          <w:tcPr>
            <w:tcW w:w="94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99"/>
              </w:rPr>
              <w:t>1.5%</w:t>
            </w:r>
          </w:p>
        </w:tc>
        <w:tc>
          <w:tcPr>
            <w:tcW w:w="94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w w:val="99"/>
              </w:rPr>
              <w:t>1.4%</w:t>
            </w:r>
          </w:p>
        </w:tc>
        <w:tc>
          <w:tcPr>
            <w:tcW w:w="0" w:type="dxa"/>
            <w:vAlign w:val="bottom"/>
          </w:tcPr>
          <w:p>
            <w:pPr>
              <w:spacing w:after="0"/>
              <w:rPr>
                <w:sz w:val="1"/>
                <w:szCs w:val="1"/>
                <w:color w:val="auto"/>
              </w:rPr>
            </w:pPr>
          </w:p>
        </w:tc>
      </w:tr>
      <w:tr>
        <w:trPr>
          <w:trHeight w:val="31"/>
        </w:trPr>
        <w:tc>
          <w:tcPr>
            <w:tcW w:w="2240" w:type="dxa"/>
            <w:vAlign w:val="bottom"/>
            <w:tcBorders>
              <w:left w:val="single" w:sz="8" w:color="auto"/>
              <w:bottom w:val="single" w:sz="8" w:color="auto"/>
              <w:right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240" w:type="dxa"/>
            <w:vAlign w:val="bottom"/>
            <w:tcBorders>
              <w:left w:val="single" w:sz="8" w:color="auto"/>
              <w:bottom w:val="single" w:sz="8" w:color="auto"/>
              <w:right w:val="single" w:sz="8" w:color="auto"/>
            </w:tcBorders>
            <w:gridSpan w:val="2"/>
          </w:tcPr>
          <w:p>
            <w:pPr>
              <w:ind w:left="20"/>
              <w:spacing w:after="0" w:line="197" w:lineRule="exact"/>
              <w:rPr>
                <w:sz w:val="20"/>
                <w:szCs w:val="20"/>
                <w:color w:val="auto"/>
              </w:rPr>
            </w:pPr>
            <w:r>
              <w:rPr>
                <w:rFonts w:ascii="Calibri" w:cs="Calibri" w:eastAsia="Calibri" w:hAnsi="Calibri"/>
                <w:sz w:val="17"/>
                <w:szCs w:val="17"/>
                <w:b w:val="1"/>
                <w:bCs w:val="1"/>
                <w:color w:val="auto"/>
              </w:rPr>
              <w:t>BAP's total loans</w:t>
            </w:r>
          </w:p>
        </w:tc>
        <w:tc>
          <w:tcPr>
            <w:tcW w:w="96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124,647</w:t>
            </w:r>
          </w:p>
        </w:tc>
        <w:tc>
          <w:tcPr>
            <w:tcW w:w="820" w:type="dxa"/>
            <w:vAlign w:val="bottom"/>
            <w:tcBorders>
              <w:bottom w:val="single" w:sz="8" w:color="auto"/>
            </w:tcBorders>
          </w:tcPr>
          <w:p>
            <w:pPr>
              <w:jc w:val="center"/>
              <w:ind w:left="57"/>
              <w:spacing w:after="0" w:line="197" w:lineRule="exact"/>
              <w:rPr>
                <w:sz w:val="20"/>
                <w:szCs w:val="20"/>
                <w:color w:val="auto"/>
              </w:rPr>
            </w:pPr>
            <w:r>
              <w:rPr>
                <w:rFonts w:ascii="Calibri" w:cs="Calibri" w:eastAsia="Calibri" w:hAnsi="Calibri"/>
                <w:sz w:val="17"/>
                <w:szCs w:val="17"/>
                <w:b w:val="1"/>
                <w:bCs w:val="1"/>
                <w:color w:val="auto"/>
                <w:w w:val="99"/>
              </w:rPr>
              <w:t>137,710</w:t>
            </w:r>
          </w:p>
        </w:tc>
        <w:tc>
          <w:tcPr>
            <w:tcW w:w="1140" w:type="dxa"/>
            <w:vAlign w:val="bottom"/>
            <w:tcBorders>
              <w:bottom w:val="single" w:sz="8" w:color="auto"/>
              <w:right w:val="single" w:sz="8" w:color="auto"/>
            </w:tcBorders>
          </w:tcPr>
          <w:p>
            <w:pPr>
              <w:jc w:val="center"/>
              <w:ind w:left="57"/>
              <w:spacing w:after="0" w:line="197" w:lineRule="exact"/>
              <w:rPr>
                <w:sz w:val="20"/>
                <w:szCs w:val="20"/>
                <w:color w:val="auto"/>
              </w:rPr>
            </w:pPr>
            <w:r>
              <w:rPr>
                <w:rFonts w:ascii="Calibri" w:cs="Calibri" w:eastAsia="Calibri" w:hAnsi="Calibri"/>
                <w:sz w:val="17"/>
                <w:szCs w:val="17"/>
                <w:b w:val="1"/>
                <w:bCs w:val="1"/>
                <w:color w:val="auto"/>
                <w:w w:val="99"/>
              </w:rPr>
              <w:t>136,758</w:t>
            </w:r>
          </w:p>
        </w:tc>
        <w:tc>
          <w:tcPr>
            <w:tcW w:w="82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6"/>
              </w:rPr>
              <w:t>-952</w:t>
            </w:r>
          </w:p>
        </w:tc>
        <w:tc>
          <w:tcPr>
            <w:tcW w:w="880" w:type="dxa"/>
            <w:vAlign w:val="bottom"/>
            <w:tcBorders>
              <w:bottom w:val="single" w:sz="8" w:color="auto"/>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rPr>
              <w:t>12,112</w:t>
            </w:r>
          </w:p>
        </w:tc>
        <w:tc>
          <w:tcPr>
            <w:tcW w:w="78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6"/>
              </w:rPr>
              <w:t>-0.7%</w:t>
            </w:r>
          </w:p>
        </w:tc>
        <w:tc>
          <w:tcPr>
            <w:tcW w:w="820" w:type="dxa"/>
            <w:vAlign w:val="bottom"/>
            <w:tcBorders>
              <w:bottom w:val="single" w:sz="8" w:color="auto"/>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9.7%</w:t>
            </w:r>
          </w:p>
        </w:tc>
        <w:tc>
          <w:tcPr>
            <w:tcW w:w="92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rPr>
              <w:t>100.0%</w:t>
            </w:r>
          </w:p>
        </w:tc>
        <w:tc>
          <w:tcPr>
            <w:tcW w:w="94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7"/>
              </w:rPr>
              <w:t>100.0%</w:t>
            </w:r>
          </w:p>
        </w:tc>
        <w:tc>
          <w:tcPr>
            <w:tcW w:w="940" w:type="dxa"/>
            <w:vAlign w:val="bottom"/>
            <w:tcBorders>
              <w:bottom w:val="single" w:sz="8" w:color="auto"/>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7"/>
              </w:rPr>
              <w:t>100.0%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0"/>
        <w:spacing w:after="0"/>
        <w:rPr>
          <w:sz w:val="20"/>
          <w:szCs w:val="20"/>
          <w:color w:val="auto"/>
        </w:rPr>
      </w:pPr>
      <w:r>
        <w:rPr>
          <w:rFonts w:ascii="Calibri" w:cs="Calibri" w:eastAsia="Calibri" w:hAnsi="Calibri"/>
          <w:sz w:val="9"/>
          <w:szCs w:val="9"/>
          <w:color w:val="auto"/>
        </w:rPr>
        <w:t>For consolidaton purposes, Loans generated in Foreign Currency (FC) are converted 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-34925</wp:posOffset>
            </wp:positionV>
            <wp:extent cx="936625" cy="2089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6625" cy="208915"/>
                    </a:xfrm>
                    <a:prstGeom prst="rect">
                      <a:avLst/>
                    </a:prstGeom>
                    <a:noFill/>
                  </pic:spPr>
                </pic:pic>
              </a:graphicData>
            </a:graphic>
          </wp:anchor>
        </w:drawing>
      </w:r>
    </w:p>
    <w:p>
      <w:pPr>
        <w:ind w:left="140" w:hanging="129"/>
        <w:spacing w:after="0"/>
        <w:tabs>
          <w:tab w:leader="none" w:pos="140" w:val="left"/>
        </w:tabs>
        <w:numPr>
          <w:ilvl w:val="0"/>
          <w:numId w:val="15"/>
        </w:numPr>
        <w:rPr>
          <w:rFonts w:ascii="Calibri" w:cs="Calibri" w:eastAsia="Calibri" w:hAnsi="Calibri"/>
          <w:sz w:val="9"/>
          <w:szCs w:val="9"/>
          <w:color w:val="auto"/>
        </w:rPr>
      </w:pPr>
      <w:r>
        <w:rPr>
          <w:rFonts w:ascii="Calibri" w:cs="Calibri" w:eastAsia="Calibri" w:hAnsi="Calibri"/>
          <w:sz w:val="9"/>
          <w:szCs w:val="9"/>
          <w:color w:val="auto"/>
        </w:rPr>
        <w:t>Includes Work out unit, and other banking. For Quarter-end Balances fgures, please refer to “12. Annexes – 12.2 Loan Portolio Quality”.</w:t>
      </w:r>
    </w:p>
    <w:p>
      <w:pPr>
        <w:spacing w:after="0" w:line="3" w:lineRule="exact"/>
        <w:rPr>
          <w:rFonts w:ascii="Calibri" w:cs="Calibri" w:eastAsia="Calibri" w:hAnsi="Calibri"/>
          <w:sz w:val="9"/>
          <w:szCs w:val="9"/>
          <w:color w:val="auto"/>
        </w:rPr>
      </w:pPr>
    </w:p>
    <w:p>
      <w:pPr>
        <w:ind w:left="140" w:hanging="129"/>
        <w:spacing w:after="0"/>
        <w:tabs>
          <w:tab w:leader="none" w:pos="140" w:val="left"/>
        </w:tabs>
        <w:numPr>
          <w:ilvl w:val="0"/>
          <w:numId w:val="15"/>
        </w:numPr>
        <w:rPr>
          <w:rFonts w:ascii="Calibri" w:cs="Calibri" w:eastAsia="Calibri" w:hAnsi="Calibri"/>
          <w:sz w:val="9"/>
          <w:szCs w:val="9"/>
          <w:color w:val="auto"/>
        </w:rPr>
      </w:pPr>
      <w:r>
        <w:rPr>
          <w:rFonts w:ascii="Calibri" w:cs="Calibri" w:eastAsia="Calibri" w:hAnsi="Calibri"/>
          <w:sz w:val="9"/>
          <w:szCs w:val="9"/>
          <w:color w:val="auto"/>
        </w:rPr>
        <w:t>Structural Portolio excludes the Loans ofered through Reactva Peru and FAE-Mype Government Programs (GP).</w:t>
      </w:r>
    </w:p>
    <w:p>
      <w:pPr>
        <w:spacing w:after="0" w:line="3" w:lineRule="exact"/>
        <w:rPr>
          <w:rFonts w:ascii="Calibri" w:cs="Calibri" w:eastAsia="Calibri" w:hAnsi="Calibri"/>
          <w:sz w:val="9"/>
          <w:szCs w:val="9"/>
          <w:color w:val="auto"/>
        </w:rPr>
      </w:pPr>
    </w:p>
    <w:p>
      <w:pPr>
        <w:ind w:left="140" w:hanging="129"/>
        <w:spacing w:after="0"/>
        <w:tabs>
          <w:tab w:leader="none" w:pos="140" w:val="left"/>
        </w:tabs>
        <w:numPr>
          <w:ilvl w:val="0"/>
          <w:numId w:val="15"/>
        </w:numPr>
        <w:rPr>
          <w:rFonts w:ascii="Calibri" w:cs="Calibri" w:eastAsia="Calibri" w:hAnsi="Calibri"/>
          <w:sz w:val="9"/>
          <w:szCs w:val="9"/>
          <w:color w:val="auto"/>
        </w:rPr>
      </w:pPr>
      <w:r>
        <w:rPr>
          <w:rFonts w:ascii="Calibri" w:cs="Calibri" w:eastAsia="Calibri" w:hAnsi="Calibri"/>
          <w:sz w:val="9"/>
          <w:szCs w:val="9"/>
          <w:color w:val="auto"/>
        </w:rPr>
        <w:t>Internal Management Figures</w:t>
      </w:r>
    </w:p>
    <w:p>
      <w:pPr>
        <w:sectPr>
          <w:pgSz w:w="11900" w:h="16838" w:orient="portrait"/>
          <w:cols w:equalWidth="0" w:num="1">
            <w:col w:w="11260"/>
          </w:cols>
          <w:pgMar w:left="320" w:top="354" w:right="319" w:bottom="1440" w:gutter="0" w:footer="0" w:header="0"/>
        </w:sectPr>
      </w:pPr>
    </w:p>
    <w:p>
      <w:pPr>
        <w:spacing w:after="0" w:line="194"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 xml:space="preserve">QoQ, </w:t>
      </w:r>
      <w:r>
        <w:rPr>
          <w:rFonts w:ascii="Calibri" w:cs="Calibri" w:eastAsia="Calibri" w:hAnsi="Calibri"/>
          <w:sz w:val="15"/>
          <w:szCs w:val="15"/>
          <w:color w:val="auto"/>
        </w:rPr>
        <w:t>structural loans in average daily balances reported a slight decline due to:</w:t>
      </w:r>
    </w:p>
    <w:p>
      <w:pPr>
        <w:spacing w:after="0" w:line="206" w:lineRule="exact"/>
        <w:rPr>
          <w:sz w:val="20"/>
          <w:szCs w:val="20"/>
          <w:color w:val="auto"/>
        </w:rPr>
      </w:pPr>
    </w:p>
    <w:p>
      <w:pPr>
        <w:jc w:val="both"/>
        <w:ind w:left="540" w:hanging="277"/>
        <w:spacing w:after="0" w:line="237" w:lineRule="auto"/>
        <w:tabs>
          <w:tab w:leader="none" w:pos="540" w:val="left"/>
        </w:tabs>
        <w:numPr>
          <w:ilvl w:val="0"/>
          <w:numId w:val="16"/>
        </w:numPr>
        <w:rPr>
          <w:rFonts w:ascii="Arial" w:cs="Arial" w:eastAsia="Arial" w:hAnsi="Arial"/>
          <w:sz w:val="15"/>
          <w:szCs w:val="15"/>
          <w:color w:val="auto"/>
        </w:rPr>
      </w:pPr>
      <w:r>
        <w:rPr>
          <w:rFonts w:ascii="Calibri" w:cs="Calibri" w:eastAsia="Calibri" w:hAnsi="Calibri"/>
          <w:sz w:val="15"/>
          <w:szCs w:val="15"/>
          <w:b w:val="1"/>
          <w:bCs w:val="1"/>
          <w:color w:val="auto"/>
        </w:rPr>
        <w:t>Wholesale Banking</w:t>
      </w:r>
      <w:r>
        <w:rPr>
          <w:rFonts w:ascii="Calibri" w:cs="Calibri" w:eastAsia="Calibri" w:hAnsi="Calibri"/>
          <w:sz w:val="15"/>
          <w:szCs w:val="15"/>
          <w:color w:val="auto"/>
        </w:rPr>
        <w:t>, where Corporate Banking and Middle Market Banking</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reported a drop in their balances due to seasonality, which refected moves by clients in these segments to amortze working capital loans and fnancing for fxed assets in 1Q23.</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alibri" w:cs="Calibri" w:eastAsia="Calibri" w:hAnsi="Calibri"/>
          <w:sz w:val="15"/>
          <w:szCs w:val="15"/>
          <w:color w:val="auto"/>
        </w:rPr>
        <w:t>The aforementoned was partally ofset by slight growth in:</w:t>
      </w:r>
    </w:p>
    <w:p>
      <w:pPr>
        <w:spacing w:after="0" w:line="116" w:lineRule="exact"/>
        <w:rPr>
          <w:sz w:val="20"/>
          <w:szCs w:val="20"/>
          <w:color w:val="auto"/>
        </w:rPr>
      </w:pPr>
    </w:p>
    <w:p>
      <w:pPr>
        <w:jc w:val="both"/>
        <w:ind w:left="280" w:right="20" w:hanging="271"/>
        <w:spacing w:after="0" w:line="237" w:lineRule="auto"/>
        <w:tabs>
          <w:tab w:leader="none" w:pos="280" w:val="left"/>
        </w:tabs>
        <w:numPr>
          <w:ilvl w:val="0"/>
          <w:numId w:val="17"/>
        </w:numPr>
        <w:rPr>
          <w:rFonts w:ascii="Arial" w:cs="Arial" w:eastAsia="Arial" w:hAnsi="Arial"/>
          <w:sz w:val="15"/>
          <w:szCs w:val="15"/>
          <w:color w:val="auto"/>
        </w:rPr>
      </w:pPr>
      <w:r>
        <w:rPr>
          <w:rFonts w:ascii="Calibri" w:cs="Calibri" w:eastAsia="Calibri" w:hAnsi="Calibri"/>
          <w:sz w:val="15"/>
          <w:szCs w:val="15"/>
          <w:b w:val="1"/>
          <w:bCs w:val="1"/>
          <w:color w:val="auto"/>
        </w:rPr>
        <w:t>Retail Banking</w:t>
      </w:r>
      <w:r>
        <w:rPr>
          <w:rFonts w:ascii="Calibri" w:cs="Calibri" w:eastAsia="Calibri" w:hAnsi="Calibri"/>
          <w:sz w:val="15"/>
          <w:szCs w:val="15"/>
          <w:color w:val="auto"/>
        </w:rPr>
        <w:t>, where all segments, with the excepton of SME-Business, registered</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slight growth with regard to 4Q22 for reasons that will be explained in the YoY dynamics. This growth was partally ofset by the sale of a judicial portolio, which was mainly compromised of SME-Pyme and Mortgage loans in partcular.</w:t>
      </w:r>
    </w:p>
    <w:p>
      <w:pPr>
        <w:spacing w:after="0" w:line="127" w:lineRule="exact"/>
        <w:rPr>
          <w:rFonts w:ascii="Arial" w:cs="Arial" w:eastAsia="Arial" w:hAnsi="Arial"/>
          <w:sz w:val="15"/>
          <w:szCs w:val="15"/>
          <w:color w:val="auto"/>
        </w:rPr>
      </w:pPr>
    </w:p>
    <w:p>
      <w:pPr>
        <w:jc w:val="both"/>
        <w:ind w:left="280" w:hanging="271"/>
        <w:spacing w:after="0" w:line="237" w:lineRule="auto"/>
        <w:tabs>
          <w:tab w:leader="none" w:pos="280" w:val="left"/>
        </w:tabs>
        <w:numPr>
          <w:ilvl w:val="0"/>
          <w:numId w:val="17"/>
        </w:numPr>
        <w:rPr>
          <w:rFonts w:ascii="Arial" w:cs="Arial" w:eastAsia="Arial" w:hAnsi="Arial"/>
          <w:sz w:val="15"/>
          <w:szCs w:val="15"/>
          <w:color w:val="auto"/>
        </w:rPr>
      </w:pPr>
      <w:r>
        <w:rPr>
          <w:rFonts w:ascii="Calibri" w:cs="Calibri" w:eastAsia="Calibri" w:hAnsi="Calibri"/>
          <w:sz w:val="15"/>
          <w:szCs w:val="15"/>
          <w:b w:val="1"/>
          <w:bCs w:val="1"/>
          <w:color w:val="auto"/>
        </w:rPr>
        <w:t>Mibanco</w:t>
      </w:r>
      <w:r>
        <w:rPr>
          <w:rFonts w:ascii="Calibri" w:cs="Calibri" w:eastAsia="Calibri" w:hAnsi="Calibri"/>
          <w:sz w:val="15"/>
          <w:szCs w:val="15"/>
          <w:color w:val="auto"/>
        </w:rPr>
        <w:t>, where despite the adverse context generated by protests in the south of</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the country and intense rains in the north, average daily loan balances have increased.</w:t>
      </w:r>
    </w:p>
    <w:p>
      <w:pPr>
        <w:spacing w:after="0" w:line="200" w:lineRule="exact"/>
        <w:rPr>
          <w:sz w:val="20"/>
          <w:szCs w:val="20"/>
          <w:color w:val="auto"/>
        </w:rPr>
      </w:pPr>
    </w:p>
    <w:p>
      <w:pPr>
        <w:sectPr>
          <w:pgSz w:w="11900" w:h="16838" w:orient="portrait"/>
          <w:cols w:equalWidth="0" w:num="2">
            <w:col w:w="5380" w:space="460"/>
            <w:col w:w="5420"/>
          </w:cols>
          <w:pgMar w:left="320" w:top="354" w:right="319" w:bottom="1440" w:gutter="0" w:footer="0" w:header="0"/>
          <w:type w:val="continuous"/>
        </w:sectPr>
      </w:pPr>
    </w:p>
    <w:p>
      <w:pPr>
        <w:spacing w:after="0" w:line="96"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54" w:right="319" w:bottom="1440" w:gutter="0" w:footer="0" w:header="0"/>
          <w:type w:val="continuous"/>
        </w:sectPr>
      </w:pPr>
    </w:p>
    <w:bookmarkStart w:id="18" w:name="page19"/>
    <w:bookmarkEnd w:id="18"/>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910" cy="432435"/>
                    </a:xfrm>
                    <a:prstGeom prst="rect">
                      <a:avLst/>
                    </a:prstGeom>
                    <a:noFill/>
                  </pic:spPr>
                </pic:pic>
              </a:graphicData>
            </a:graphic>
          </wp:anchor>
        </w:drawing>
      </w:r>
    </w:p>
    <w:p>
      <w:pPr>
        <w:jc w:val="center"/>
        <w:ind w:left="2700"/>
        <w:spacing w:after="0"/>
        <w:tabs>
          <w:tab w:leader="none" w:pos="160" w:val="left"/>
        </w:tabs>
        <w:rPr>
          <w:sz w:val="20"/>
          <w:szCs w:val="20"/>
          <w:color w:val="auto"/>
        </w:rPr>
      </w:pPr>
      <w:r>
        <w:rPr>
          <w:rFonts w:ascii="Arial" w:cs="Arial" w:eastAsia="Arial" w:hAnsi="Arial"/>
          <w:sz w:val="14"/>
          <w:szCs w:val="14"/>
          <w:color w:val="A6A6A6"/>
        </w:rPr>
        <w:t>|</w:t>
      </w:r>
      <w:r>
        <w:rPr>
          <w:sz w:val="20"/>
          <w:szCs w:val="20"/>
          <w:color w:val="auto"/>
        </w:rPr>
        <w:tab/>
      </w:r>
      <w:r>
        <w:rPr>
          <w:rFonts w:ascii="Calibri" w:cs="Calibri" w:eastAsia="Calibri" w:hAnsi="Calibri"/>
          <w:sz w:val="15"/>
          <w:szCs w:val="15"/>
          <w:b w:val="1"/>
          <w:bCs w:val="1"/>
          <w:color w:val="FFFFFF"/>
        </w:rPr>
        <w:t>Earnings Release 1Q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53910" cy="215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910" cy="215900"/>
                    </a:xfrm>
                    <a:prstGeom prst="rect">
                      <a:avLst/>
                    </a:prstGeom>
                    <a:noFill/>
                  </pic:spPr>
                </pic:pic>
              </a:graphicData>
            </a:graphic>
          </wp:anchor>
        </w:drawing>
      </w: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01. Loan Portfolio</w:t>
      </w:r>
    </w:p>
    <w:p>
      <w:pPr>
        <w:spacing w:after="0" w:line="274" w:lineRule="exact"/>
        <w:rPr>
          <w:sz w:val="20"/>
          <w:szCs w:val="20"/>
          <w:color w:val="auto"/>
        </w:rPr>
      </w:pPr>
    </w:p>
    <w:p>
      <w:pPr>
        <w:jc w:val="both"/>
        <w:ind w:left="260"/>
        <w:spacing w:after="0" w:line="237" w:lineRule="auto"/>
        <w:rPr>
          <w:sz w:val="20"/>
          <w:szCs w:val="20"/>
          <w:color w:val="auto"/>
        </w:rPr>
      </w:pPr>
      <w:r>
        <w:rPr>
          <w:rFonts w:ascii="Calibri" w:cs="Calibri" w:eastAsia="Calibri" w:hAnsi="Calibri"/>
          <w:sz w:val="15"/>
          <w:szCs w:val="15"/>
          <w:color w:val="auto"/>
        </w:rPr>
        <w:t>In the current context, Mibanco has chosen to focus on clients that present lower risk according to the adjustments in risk appette implemented in the second half of last year.</w:t>
      </w:r>
    </w:p>
    <w:p>
      <w:pPr>
        <w:spacing w:after="0" w:line="127" w:lineRule="exact"/>
        <w:rPr>
          <w:sz w:val="20"/>
          <w:szCs w:val="20"/>
          <w:color w:val="auto"/>
        </w:rPr>
      </w:pPr>
    </w:p>
    <w:p>
      <w:pPr>
        <w:spacing w:after="0" w:line="236" w:lineRule="auto"/>
        <w:rPr>
          <w:sz w:val="20"/>
          <w:szCs w:val="20"/>
          <w:color w:val="auto"/>
        </w:rPr>
      </w:pPr>
      <w:r>
        <w:rPr>
          <w:rFonts w:ascii="Calibri" w:cs="Calibri" w:eastAsia="Calibri" w:hAnsi="Calibri"/>
          <w:sz w:val="15"/>
          <w:szCs w:val="15"/>
          <w:b w:val="1"/>
          <w:bCs w:val="1"/>
          <w:color w:val="auto"/>
        </w:rPr>
        <w:t>YoY</w:t>
      </w:r>
      <w:r>
        <w:rPr>
          <w:rFonts w:ascii="Calibri" w:cs="Calibri" w:eastAsia="Calibri" w:hAnsi="Calibri"/>
          <w:sz w:val="15"/>
          <w:szCs w:val="15"/>
          <w:color w:val="auto"/>
        </w:rPr>
        <w:t>, structural loans in average daily balances rose 9.7%. This increase was driven</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primarily by:</w:t>
      </w:r>
    </w:p>
    <w:p>
      <w:pPr>
        <w:spacing w:after="0" w:line="184" w:lineRule="exact"/>
        <w:rPr>
          <w:sz w:val="20"/>
          <w:szCs w:val="20"/>
          <w:color w:val="auto"/>
        </w:rPr>
      </w:pPr>
    </w:p>
    <w:p>
      <w:pPr>
        <w:jc w:val="both"/>
        <w:ind w:left="540" w:hanging="277"/>
        <w:spacing w:after="0" w:line="256" w:lineRule="auto"/>
        <w:tabs>
          <w:tab w:leader="none" w:pos="540" w:val="left"/>
        </w:tabs>
        <w:numPr>
          <w:ilvl w:val="0"/>
          <w:numId w:val="18"/>
        </w:numPr>
        <w:rPr>
          <w:rFonts w:ascii="Arial" w:cs="Arial" w:eastAsia="Arial" w:hAnsi="Arial"/>
          <w:sz w:val="14"/>
          <w:szCs w:val="14"/>
          <w:color w:val="auto"/>
        </w:rPr>
      </w:pPr>
      <w:r>
        <w:rPr>
          <w:rFonts w:ascii="Calibri" w:cs="Calibri" w:eastAsia="Calibri" w:hAnsi="Calibri"/>
          <w:sz w:val="14"/>
          <w:szCs w:val="14"/>
          <w:b w:val="1"/>
          <w:bCs w:val="1"/>
          <w:color w:val="auto"/>
        </w:rPr>
        <w:t>Retail Banking</w:t>
      </w:r>
      <w:r>
        <w:rPr>
          <w:rFonts w:ascii="Calibri" w:cs="Calibri" w:eastAsia="Calibri" w:hAnsi="Calibri"/>
          <w:sz w:val="14"/>
          <w:szCs w:val="14"/>
          <w:color w:val="auto"/>
        </w:rPr>
        <w:t>, where all segments evolved positvely with regard to 1Q22. This</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 xml:space="preserve">evoluton was led by the Consumer segment, where higher growth was fueled by wage advances and cash loans through disbursements concentrated in lower-risk clients, followed by </w:t>
      </w:r>
      <w:r>
        <w:rPr>
          <w:rFonts w:ascii="Calibri" w:cs="Calibri" w:eastAsia="Calibri" w:hAnsi="Calibri"/>
          <w:sz w:val="14"/>
          <w:szCs w:val="14"/>
          <w:b w:val="1"/>
          <w:bCs w:val="1"/>
          <w:color w:val="auto"/>
        </w:rPr>
        <w:t>Mortgage</w:t>
      </w:r>
      <w:r>
        <w:rPr>
          <w:rFonts w:ascii="Calibri" w:cs="Calibri" w:eastAsia="Calibri" w:hAnsi="Calibri"/>
          <w:sz w:val="14"/>
          <w:szCs w:val="14"/>
          <w:color w:val="auto"/>
        </w:rPr>
        <w:t xml:space="preserve">, which benefted from an uptck in new loans and a drop in prepayments in comparison to previous quarters. In the case of </w:t>
      </w:r>
      <w:r>
        <w:rPr>
          <w:rFonts w:ascii="Calibri" w:cs="Calibri" w:eastAsia="Calibri" w:hAnsi="Calibri"/>
          <w:sz w:val="14"/>
          <w:szCs w:val="14"/>
          <w:b w:val="1"/>
          <w:bCs w:val="1"/>
          <w:color w:val="auto"/>
        </w:rPr>
        <w:t>SME-Pyme</w:t>
      </w:r>
      <w:r>
        <w:rPr>
          <w:rFonts w:ascii="Calibri" w:cs="Calibri" w:eastAsia="Calibri" w:hAnsi="Calibri"/>
          <w:sz w:val="14"/>
          <w:szCs w:val="14"/>
          <w:color w:val="auto"/>
        </w:rPr>
        <w:t>, growth was concentrated in loans for working capital and refnancing of</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 xml:space="preserve">fxed assets in the case of larger clients with lower risk profles. </w:t>
      </w:r>
      <w:r>
        <w:rPr>
          <w:rFonts w:ascii="Calibri" w:cs="Calibri" w:eastAsia="Calibri" w:hAnsi="Calibri"/>
          <w:sz w:val="14"/>
          <w:szCs w:val="14"/>
          <w:b w:val="1"/>
          <w:bCs w:val="1"/>
          <w:color w:val="auto"/>
        </w:rPr>
        <w:t>Credit Cards</w:t>
      </w:r>
      <w:r>
        <w:rPr>
          <w:rFonts w:ascii="Calibri" w:cs="Calibri" w:eastAsia="Calibri" w:hAnsi="Calibri"/>
          <w:sz w:val="14"/>
          <w:szCs w:val="14"/>
          <w:color w:val="auto"/>
        </w:rPr>
        <w:t xml:space="preserve"> registered growth due to a 37% YoY increase in new card issuances and to growth in consumpton in both physical establishments and online. E-commerce’s share of consumpton rose from 20% in 1Q22 to 31.7% in 1Q23.</w:t>
      </w:r>
    </w:p>
    <w:p>
      <w:pPr>
        <w:spacing w:after="0" w:line="148" w:lineRule="exact"/>
        <w:rPr>
          <w:sz w:val="20"/>
          <w:szCs w:val="20"/>
          <w:color w:val="auto"/>
        </w:rPr>
      </w:pPr>
    </w:p>
    <w:p>
      <w:pPr>
        <w:jc w:val="center"/>
        <w:ind w:right="1520"/>
        <w:spacing w:after="0"/>
        <w:rPr>
          <w:sz w:val="20"/>
          <w:szCs w:val="20"/>
          <w:color w:val="auto"/>
        </w:rPr>
      </w:pPr>
      <w:r>
        <w:rPr>
          <w:rFonts w:ascii="Calibri" w:cs="Calibri" w:eastAsia="Calibri" w:hAnsi="Calibri"/>
          <w:sz w:val="15"/>
          <w:szCs w:val="15"/>
          <w:b w:val="1"/>
          <w:bCs w:val="1"/>
          <w:color w:val="auto"/>
        </w:rPr>
        <w:t>Government Program Loans</w:t>
      </w:r>
    </w:p>
    <w:p>
      <w:pPr>
        <w:jc w:val="center"/>
        <w:ind w:right="1540"/>
        <w:spacing w:after="0" w:line="237" w:lineRule="auto"/>
        <w:rPr>
          <w:sz w:val="20"/>
          <w:szCs w:val="20"/>
          <w:color w:val="auto"/>
        </w:rPr>
      </w:pPr>
      <w:r>
        <w:rPr>
          <w:rFonts w:ascii="Calibri" w:cs="Calibri" w:eastAsia="Calibri" w:hAnsi="Calibri"/>
          <w:sz w:val="15"/>
          <w:szCs w:val="15"/>
          <w:color w:val="auto"/>
        </w:rPr>
        <w:t>(in Average Daily Balances –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1965960</wp:posOffset>
            </wp:positionV>
            <wp:extent cx="715391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910" cy="14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wp:posOffset>
            </wp:positionV>
            <wp:extent cx="2824480" cy="13976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24480" cy="1397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740"/>
        <w:spacing w:after="0"/>
        <w:rPr>
          <w:sz w:val="20"/>
          <w:szCs w:val="20"/>
          <w:color w:val="auto"/>
        </w:rPr>
      </w:pPr>
      <w:r>
        <w:rPr>
          <w:rFonts w:ascii="Calibri" w:cs="Calibri" w:eastAsia="Calibri" w:hAnsi="Calibri"/>
          <w:sz w:val="16"/>
          <w:szCs w:val="16"/>
          <w:b w:val="1"/>
          <w:bCs w:val="1"/>
          <w:color w:val="E93CAC"/>
        </w:rPr>
        <w:t>Analysis of 1Q23 Consolidated Results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0" w:right="180" w:hanging="278"/>
        <w:spacing w:after="0" w:line="236" w:lineRule="auto"/>
        <w:tabs>
          <w:tab w:leader="none" w:pos="560" w:val="left"/>
        </w:tabs>
        <w:numPr>
          <w:ilvl w:val="0"/>
          <w:numId w:val="19"/>
        </w:numPr>
        <w:rPr>
          <w:rFonts w:ascii="Arial" w:cs="Arial" w:eastAsia="Arial" w:hAnsi="Arial"/>
          <w:sz w:val="15"/>
          <w:szCs w:val="15"/>
          <w:color w:val="auto"/>
        </w:rPr>
      </w:pPr>
      <w:r>
        <w:rPr>
          <w:rFonts w:ascii="Calibri" w:cs="Calibri" w:eastAsia="Calibri" w:hAnsi="Calibri"/>
          <w:sz w:val="15"/>
          <w:szCs w:val="15"/>
          <w:b w:val="1"/>
          <w:bCs w:val="1"/>
          <w:color w:val="auto"/>
        </w:rPr>
        <w:t>Wholesale Banking</w:t>
      </w:r>
      <w:r>
        <w:rPr>
          <w:rFonts w:ascii="Calibri" w:cs="Calibri" w:eastAsia="Calibri" w:hAnsi="Calibri"/>
          <w:sz w:val="15"/>
          <w:szCs w:val="15"/>
          <w:color w:val="auto"/>
        </w:rPr>
        <w:t>, where Corporate Banking led growth through an uptck in</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disbursements for working capital.</w:t>
      </w:r>
    </w:p>
    <w:p>
      <w:pPr>
        <w:spacing w:after="0" w:line="184" w:lineRule="exact"/>
        <w:rPr>
          <w:rFonts w:ascii="Arial" w:cs="Arial" w:eastAsia="Arial" w:hAnsi="Arial"/>
          <w:sz w:val="15"/>
          <w:szCs w:val="15"/>
          <w:color w:val="auto"/>
        </w:rPr>
      </w:pPr>
    </w:p>
    <w:p>
      <w:pPr>
        <w:jc w:val="both"/>
        <w:ind w:left="560" w:hanging="278"/>
        <w:spacing w:after="0" w:line="237" w:lineRule="auto"/>
        <w:tabs>
          <w:tab w:leader="none" w:pos="560" w:val="left"/>
        </w:tabs>
        <w:numPr>
          <w:ilvl w:val="0"/>
          <w:numId w:val="19"/>
        </w:numPr>
        <w:rPr>
          <w:rFonts w:ascii="Arial" w:cs="Arial" w:eastAsia="Arial" w:hAnsi="Arial"/>
          <w:sz w:val="15"/>
          <w:szCs w:val="15"/>
          <w:color w:val="auto"/>
        </w:rPr>
      </w:pPr>
      <w:r>
        <w:rPr>
          <w:rFonts w:ascii="Calibri" w:cs="Calibri" w:eastAsia="Calibri" w:hAnsi="Calibri"/>
          <w:sz w:val="15"/>
          <w:szCs w:val="15"/>
          <w:b w:val="1"/>
          <w:bCs w:val="1"/>
          <w:color w:val="auto"/>
        </w:rPr>
        <w:t>Mibanco</w:t>
      </w:r>
      <w:r>
        <w:rPr>
          <w:rFonts w:ascii="Calibri" w:cs="Calibri" w:eastAsia="Calibri" w:hAnsi="Calibri"/>
          <w:sz w:val="15"/>
          <w:szCs w:val="15"/>
          <w:color w:val="auto"/>
        </w:rPr>
        <w:t>, whose balances refect the impact of record-high disbursements in the</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second half of 2022 (see previous quarter); these disbursements were generated through leads and alternatve channels.</w:t>
      </w:r>
    </w:p>
    <w:p>
      <w:pPr>
        <w:spacing w:after="0" w:line="180" w:lineRule="exact"/>
        <w:rPr>
          <w:sz w:val="20"/>
          <w:szCs w:val="20"/>
          <w:color w:val="auto"/>
        </w:rPr>
      </w:pPr>
    </w:p>
    <w:p>
      <w:pPr>
        <w:spacing w:after="0"/>
        <w:rPr>
          <w:sz w:val="20"/>
          <w:szCs w:val="20"/>
          <w:color w:val="auto"/>
        </w:rPr>
      </w:pPr>
      <w:r>
        <w:rPr>
          <w:rFonts w:ascii="Calibri" w:cs="Calibri" w:eastAsia="Calibri" w:hAnsi="Calibri"/>
          <w:sz w:val="15"/>
          <w:szCs w:val="15"/>
          <w:color w:val="auto"/>
        </w:rPr>
        <w:t xml:space="preserve">The aforementoned was partally ofset by the sale of portolio in </w:t>
      </w:r>
      <w:r>
        <w:rPr>
          <w:rFonts w:ascii="Calibri" w:cs="Calibri" w:eastAsia="Calibri" w:hAnsi="Calibri"/>
          <w:sz w:val="15"/>
          <w:szCs w:val="15"/>
          <w:b w:val="1"/>
          <w:bCs w:val="1"/>
          <w:color w:val="auto"/>
        </w:rPr>
        <w:t>Retail Banking</w:t>
      </w:r>
      <w:r>
        <w:rPr>
          <w:rFonts w:ascii="Calibri" w:cs="Calibri" w:eastAsia="Calibri" w:hAnsi="Calibri"/>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ADBs for Government Program loans (GP) dropped -23.7% QoQ and -53-1% YoY. This evoluton was driven mainly by amortzatons at both BCP and Mibanco. GP loans in average daily balances represented 5.7% of total loans (vs 7.2% in December 22 and 12.3% in March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2">
            <w:col w:w="5400" w:space="440"/>
            <w:col w:w="5420"/>
          </w:cols>
          <w:pgMar w:left="320" w:top="357" w:right="319" w:bottom="1440" w:gutter="0" w:footer="0" w:header="0"/>
        </w:sectPr>
      </w:pPr>
    </w:p>
    <w:bookmarkStart w:id="19" w:name="page20"/>
    <w:bookmarkEnd w:id="19"/>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7153910" cy="2159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910" cy="215900"/>
                    </a:xfrm>
                    <a:prstGeom prst="rect">
                      <a:avLst/>
                    </a:prstGeom>
                    <a:noFill/>
                  </pic:spPr>
                </pic:pic>
              </a:graphicData>
            </a:graphic>
          </wp:anchor>
        </w:drawing>
      </w:r>
    </w:p>
    <w:p>
      <w:pPr>
        <w:spacing w:after="0" w:line="292" w:lineRule="exact"/>
        <w:rPr>
          <w:sz w:val="20"/>
          <w:szCs w:val="20"/>
          <w:color w:val="auto"/>
        </w:rPr>
      </w:pPr>
    </w:p>
    <w:p>
      <w:pPr>
        <w:ind w:left="49"/>
        <w:spacing w:after="0"/>
        <w:rPr>
          <w:sz w:val="20"/>
          <w:szCs w:val="20"/>
          <w:color w:val="auto"/>
        </w:rPr>
      </w:pPr>
      <w:r>
        <w:rPr>
          <w:rFonts w:ascii="Arial" w:cs="Arial" w:eastAsia="Arial" w:hAnsi="Arial"/>
          <w:sz w:val="18"/>
          <w:szCs w:val="18"/>
          <w:b w:val="1"/>
          <w:bCs w:val="1"/>
          <w:color w:val="FFFFFF"/>
        </w:rPr>
        <w:t>01. Loan Portfolio</w:t>
      </w:r>
    </w:p>
    <w:p>
      <w:pPr>
        <w:spacing w:after="0" w:line="239" w:lineRule="exact"/>
        <w:rPr>
          <w:sz w:val="20"/>
          <w:szCs w:val="20"/>
          <w:color w:val="auto"/>
        </w:rPr>
      </w:pPr>
    </w:p>
    <w:p>
      <w:pPr>
        <w:jc w:val="center"/>
        <w:ind w:right="71"/>
        <w:spacing w:after="0"/>
        <w:rPr>
          <w:sz w:val="20"/>
          <w:szCs w:val="20"/>
          <w:color w:val="auto"/>
        </w:rPr>
      </w:pPr>
      <w:r>
        <w:rPr>
          <w:rFonts w:ascii="Calibri" w:cs="Calibri" w:eastAsia="Calibri" w:hAnsi="Calibri"/>
          <w:sz w:val="15"/>
          <w:szCs w:val="15"/>
          <w:b w:val="1"/>
          <w:bCs w:val="1"/>
          <w:color w:val="auto"/>
        </w:rPr>
        <w:t xml:space="preserve">Total loans (in Average Daily Balances) </w:t>
      </w:r>
      <w:r>
        <w:rPr>
          <w:rFonts w:ascii="Calibri" w:cs="Calibri" w:eastAsia="Calibri" w:hAnsi="Calibri"/>
          <w:sz w:val="25"/>
          <w:szCs w:val="25"/>
          <w:b w:val="1"/>
          <w:bCs w:val="1"/>
          <w:color w:val="auto"/>
          <w:vertAlign w:val="superscript"/>
        </w:rPr>
        <w:t>(1) (2)</w:t>
      </w:r>
    </w:p>
    <w:p>
      <w:pPr>
        <w:spacing w:after="0" w:line="92" w:lineRule="exact"/>
        <w:rPr>
          <w:sz w:val="20"/>
          <w:szCs w:val="20"/>
          <w:color w:val="auto"/>
        </w:rPr>
      </w:pPr>
    </w:p>
    <w:tbl>
      <w:tblPr>
        <w:tblLayout w:type="fixed"/>
        <w:tblInd w:w="19" w:type="dxa"/>
        <w:tblCellMar>
          <w:top w:w="0" w:type="dxa"/>
          <w:left w:w="0" w:type="dxa"/>
          <w:bottom w:w="0" w:type="dxa"/>
          <w:right w:w="0" w:type="dxa"/>
        </w:tblCellMar>
      </w:tblPr>
      <w:tr>
        <w:trPr>
          <w:trHeight w:val="206"/>
        </w:trPr>
        <w:tc>
          <w:tcPr>
            <w:tcW w:w="2280" w:type="dxa"/>
            <w:vAlign w:val="bottom"/>
            <w:tcBorders>
              <w:top w:val="single" w:sz="8" w:color="auto"/>
              <w:left w:val="single" w:sz="8" w:color="auto"/>
              <w:right w:val="single" w:sz="8" w:color="auto"/>
            </w:tcBorders>
            <w:shd w:val="clear" w:color="auto" w:fill="2AD2C9"/>
          </w:tcPr>
          <w:p>
            <w:pPr>
              <w:ind w:left="20"/>
              <w:spacing w:after="0" w:line="206" w:lineRule="exact"/>
              <w:rPr>
                <w:sz w:val="20"/>
                <w:szCs w:val="20"/>
                <w:color w:val="auto"/>
              </w:rPr>
            </w:pPr>
            <w:r>
              <w:rPr>
                <w:rFonts w:ascii="Calibri" w:cs="Calibri" w:eastAsia="Calibri" w:hAnsi="Calibri"/>
                <w:sz w:val="17"/>
                <w:szCs w:val="17"/>
                <w:b w:val="1"/>
                <w:bCs w:val="1"/>
                <w:color w:val="FFFFFF"/>
              </w:rPr>
              <w:t>Total Loans</w:t>
            </w:r>
          </w:p>
        </w:tc>
        <w:tc>
          <w:tcPr>
            <w:tcW w:w="1000" w:type="dxa"/>
            <w:vAlign w:val="bottom"/>
            <w:tcBorders>
              <w:top w:val="single" w:sz="8" w:color="auto"/>
            </w:tcBorders>
            <w:shd w:val="clear" w:color="auto" w:fill="2AD2C9"/>
          </w:tcPr>
          <w:p>
            <w:pPr>
              <w:spacing w:after="0"/>
              <w:rPr>
                <w:sz w:val="17"/>
                <w:szCs w:val="17"/>
                <w:color w:val="auto"/>
              </w:rPr>
            </w:pPr>
          </w:p>
        </w:tc>
        <w:tc>
          <w:tcPr>
            <w:tcW w:w="1000" w:type="dxa"/>
            <w:vAlign w:val="bottom"/>
            <w:tcBorders>
              <w:top w:val="single" w:sz="8" w:color="auto"/>
            </w:tcBorders>
            <w:shd w:val="clear" w:color="auto" w:fill="2AD2C9"/>
          </w:tcPr>
          <w:p>
            <w:pPr>
              <w:jc w:val="center"/>
              <w:spacing w:after="0" w:line="206" w:lineRule="exact"/>
              <w:rPr>
                <w:sz w:val="20"/>
                <w:szCs w:val="20"/>
                <w:color w:val="auto"/>
              </w:rPr>
            </w:pPr>
            <w:r>
              <w:rPr>
                <w:rFonts w:ascii="Calibri" w:cs="Calibri" w:eastAsia="Calibri" w:hAnsi="Calibri"/>
                <w:sz w:val="17"/>
                <w:szCs w:val="17"/>
                <w:b w:val="1"/>
                <w:bCs w:val="1"/>
                <w:color w:val="FFFFFF"/>
                <w:w w:val="95"/>
              </w:rPr>
              <w:t>As of</w:t>
            </w:r>
          </w:p>
        </w:tc>
        <w:tc>
          <w:tcPr>
            <w:tcW w:w="1000" w:type="dxa"/>
            <w:vAlign w:val="bottom"/>
            <w:tcBorders>
              <w:top w:val="single" w:sz="8" w:color="auto"/>
              <w:right w:val="single" w:sz="8" w:color="auto"/>
            </w:tcBorders>
            <w:shd w:val="clear" w:color="auto" w:fill="2AD2C9"/>
          </w:tcPr>
          <w:p>
            <w:pPr>
              <w:spacing w:after="0"/>
              <w:rPr>
                <w:sz w:val="17"/>
                <w:szCs w:val="17"/>
                <w:color w:val="auto"/>
              </w:rPr>
            </w:pPr>
          </w:p>
        </w:tc>
        <w:tc>
          <w:tcPr>
            <w:tcW w:w="1640" w:type="dxa"/>
            <w:vAlign w:val="bottom"/>
            <w:tcBorders>
              <w:top w:val="single" w:sz="8" w:color="auto"/>
              <w:right w:val="single" w:sz="8" w:color="auto"/>
            </w:tcBorders>
            <w:gridSpan w:val="2"/>
            <w:shd w:val="clear" w:color="auto" w:fill="2AD2C9"/>
          </w:tcPr>
          <w:p>
            <w:pPr>
              <w:ind w:left="260"/>
              <w:spacing w:after="0" w:line="206" w:lineRule="exact"/>
              <w:rPr>
                <w:sz w:val="20"/>
                <w:szCs w:val="20"/>
                <w:color w:val="auto"/>
              </w:rPr>
            </w:pPr>
            <w:r>
              <w:rPr>
                <w:rFonts w:ascii="Calibri" w:cs="Calibri" w:eastAsia="Calibri" w:hAnsi="Calibri"/>
                <w:sz w:val="17"/>
                <w:szCs w:val="17"/>
                <w:b w:val="1"/>
                <w:bCs w:val="1"/>
                <w:color w:val="FFFFFF"/>
              </w:rPr>
              <w:t>Volume change</w:t>
            </w:r>
          </w:p>
        </w:tc>
        <w:tc>
          <w:tcPr>
            <w:tcW w:w="1640" w:type="dxa"/>
            <w:vAlign w:val="bottom"/>
            <w:tcBorders>
              <w:top w:val="single" w:sz="8" w:color="auto"/>
              <w:right w:val="single" w:sz="8" w:color="auto"/>
            </w:tcBorders>
            <w:gridSpan w:val="2"/>
            <w:shd w:val="clear" w:color="auto" w:fill="2AD2C9"/>
          </w:tcPr>
          <w:p>
            <w:pPr>
              <w:ind w:left="480"/>
              <w:spacing w:after="0" w:line="206" w:lineRule="exact"/>
              <w:rPr>
                <w:sz w:val="20"/>
                <w:szCs w:val="20"/>
                <w:color w:val="auto"/>
              </w:rPr>
            </w:pPr>
            <w:r>
              <w:rPr>
                <w:rFonts w:ascii="Calibri" w:cs="Calibri" w:eastAsia="Calibri" w:hAnsi="Calibri"/>
                <w:sz w:val="17"/>
                <w:szCs w:val="17"/>
                <w:b w:val="1"/>
                <w:bCs w:val="1"/>
                <w:color w:val="FFFFFF"/>
              </w:rPr>
              <w:t>% change</w:t>
            </w:r>
          </w:p>
        </w:tc>
        <w:tc>
          <w:tcPr>
            <w:tcW w:w="2700" w:type="dxa"/>
            <w:vAlign w:val="bottom"/>
            <w:tcBorders>
              <w:top w:val="single" w:sz="8" w:color="auto"/>
              <w:right w:val="single" w:sz="8" w:color="auto"/>
            </w:tcBorders>
            <w:gridSpan w:val="3"/>
            <w:shd w:val="clear" w:color="auto" w:fill="2AD2C9"/>
          </w:tcPr>
          <w:p>
            <w:pPr>
              <w:jc w:val="center"/>
              <w:spacing w:after="0" w:line="206" w:lineRule="exact"/>
              <w:rPr>
                <w:sz w:val="20"/>
                <w:szCs w:val="20"/>
                <w:color w:val="auto"/>
              </w:rPr>
            </w:pPr>
            <w:r>
              <w:rPr>
                <w:rFonts w:ascii="Calibri" w:cs="Calibri" w:eastAsia="Calibri" w:hAnsi="Calibri"/>
                <w:sz w:val="17"/>
                <w:szCs w:val="17"/>
                <w:b w:val="1"/>
                <w:bCs w:val="1"/>
                <w:color w:val="FFFFFF"/>
              </w:rPr>
              <w:t>% Part. in total loans</w:t>
            </w:r>
          </w:p>
        </w:tc>
        <w:tc>
          <w:tcPr>
            <w:tcW w:w="0" w:type="dxa"/>
            <w:vAlign w:val="bottom"/>
          </w:tcPr>
          <w:p>
            <w:pPr>
              <w:spacing w:after="0"/>
              <w:rPr>
                <w:sz w:val="1"/>
                <w:szCs w:val="1"/>
                <w:color w:val="auto"/>
              </w:rPr>
            </w:pPr>
          </w:p>
        </w:tc>
      </w:tr>
      <w:tr>
        <w:trPr>
          <w:trHeight w:val="233"/>
        </w:trPr>
        <w:tc>
          <w:tcPr>
            <w:tcW w:w="2280" w:type="dxa"/>
            <w:vAlign w:val="bottom"/>
            <w:tcBorders>
              <w:left w:val="single" w:sz="8" w:color="auto"/>
              <w:bottom w:val="single" w:sz="8" w:color="2AD2C9"/>
              <w:right w:val="single" w:sz="8" w:color="auto"/>
            </w:tcBorders>
            <w:shd w:val="clear" w:color="auto" w:fill="2AD2C9"/>
          </w:tcPr>
          <w:p>
            <w:pPr>
              <w:ind w:left="20"/>
              <w:spacing w:after="0" w:line="197" w:lineRule="exact"/>
              <w:rPr>
                <w:sz w:val="20"/>
                <w:szCs w:val="20"/>
                <w:color w:val="auto"/>
              </w:rPr>
            </w:pPr>
            <w:r>
              <w:rPr>
                <w:rFonts w:ascii="Calibri" w:cs="Calibri" w:eastAsia="Calibri" w:hAnsi="Calibri"/>
                <w:sz w:val="17"/>
                <w:szCs w:val="17"/>
                <w:color w:val="FFFFFF"/>
              </w:rPr>
              <w:t>(S/ millions)</w:t>
            </w:r>
          </w:p>
        </w:tc>
        <w:tc>
          <w:tcPr>
            <w:tcW w:w="1000" w:type="dxa"/>
            <w:vAlign w:val="bottom"/>
            <w:tcBorders>
              <w:bottom w:val="single" w:sz="8" w:color="2AD2C9"/>
            </w:tcBorders>
            <w:shd w:val="clear" w:color="auto" w:fill="2AD2C9"/>
          </w:tcPr>
          <w:p>
            <w:pPr>
              <w:ind w:left="240"/>
              <w:spacing w:after="0" w:line="197" w:lineRule="exact"/>
              <w:rPr>
                <w:sz w:val="20"/>
                <w:szCs w:val="20"/>
                <w:color w:val="auto"/>
              </w:rPr>
            </w:pPr>
            <w:r>
              <w:rPr>
                <w:rFonts w:ascii="Calibri" w:cs="Calibri" w:eastAsia="Calibri" w:hAnsi="Calibri"/>
                <w:sz w:val="17"/>
                <w:szCs w:val="17"/>
                <w:b w:val="1"/>
                <w:bCs w:val="1"/>
                <w:color w:val="FFFFFF"/>
              </w:rPr>
              <w:t>Mar 22</w:t>
            </w:r>
          </w:p>
        </w:tc>
        <w:tc>
          <w:tcPr>
            <w:tcW w:w="1000" w:type="dxa"/>
            <w:vAlign w:val="bottom"/>
            <w:tcBorders>
              <w:bottom w:val="single" w:sz="8" w:color="2AD2C9"/>
            </w:tcBorders>
            <w:shd w:val="clear" w:color="auto" w:fill="2AD2C9"/>
          </w:tcPr>
          <w:p>
            <w:pPr>
              <w:jc w:val="center"/>
              <w:spacing w:after="0" w:line="197" w:lineRule="exact"/>
              <w:rPr>
                <w:sz w:val="20"/>
                <w:szCs w:val="20"/>
                <w:color w:val="auto"/>
              </w:rPr>
            </w:pPr>
            <w:r>
              <w:rPr>
                <w:rFonts w:ascii="Calibri" w:cs="Calibri" w:eastAsia="Calibri" w:hAnsi="Calibri"/>
                <w:sz w:val="17"/>
                <w:szCs w:val="17"/>
                <w:b w:val="1"/>
                <w:bCs w:val="1"/>
                <w:color w:val="FFFFFF"/>
              </w:rPr>
              <w:t>Dec 22</w:t>
            </w:r>
          </w:p>
        </w:tc>
        <w:tc>
          <w:tcPr>
            <w:tcW w:w="1000" w:type="dxa"/>
            <w:vAlign w:val="bottom"/>
            <w:tcBorders>
              <w:bottom w:val="single" w:sz="8" w:color="2AD2C9"/>
              <w:right w:val="single" w:sz="8" w:color="auto"/>
            </w:tcBorders>
            <w:shd w:val="clear" w:color="auto" w:fill="2AD2C9"/>
          </w:tcPr>
          <w:p>
            <w:pPr>
              <w:ind w:left="240"/>
              <w:spacing w:after="0" w:line="197" w:lineRule="exact"/>
              <w:rPr>
                <w:sz w:val="20"/>
                <w:szCs w:val="20"/>
                <w:color w:val="auto"/>
              </w:rPr>
            </w:pPr>
            <w:r>
              <w:rPr>
                <w:rFonts w:ascii="Calibri" w:cs="Calibri" w:eastAsia="Calibri" w:hAnsi="Calibri"/>
                <w:sz w:val="17"/>
                <w:szCs w:val="17"/>
                <w:b w:val="1"/>
                <w:bCs w:val="1"/>
                <w:color w:val="FFFFFF"/>
              </w:rPr>
              <w:t>Mar 23</w:t>
            </w:r>
          </w:p>
        </w:tc>
        <w:tc>
          <w:tcPr>
            <w:tcW w:w="800" w:type="dxa"/>
            <w:vAlign w:val="bottom"/>
            <w:tcBorders>
              <w:bottom w:val="single" w:sz="8" w:color="2AD2C9"/>
            </w:tcBorders>
            <w:shd w:val="clear" w:color="auto" w:fill="2AD2C9"/>
          </w:tcPr>
          <w:p>
            <w:pPr>
              <w:ind w:left="240"/>
              <w:spacing w:after="0" w:line="197" w:lineRule="exact"/>
              <w:rPr>
                <w:sz w:val="20"/>
                <w:szCs w:val="20"/>
                <w:color w:val="auto"/>
              </w:rPr>
            </w:pPr>
            <w:r>
              <w:rPr>
                <w:rFonts w:ascii="Calibri" w:cs="Calibri" w:eastAsia="Calibri" w:hAnsi="Calibri"/>
                <w:sz w:val="17"/>
                <w:szCs w:val="17"/>
                <w:b w:val="1"/>
                <w:bCs w:val="1"/>
                <w:color w:val="FFFFFF"/>
              </w:rPr>
              <w:t>QoQ</w:t>
            </w:r>
          </w:p>
        </w:tc>
        <w:tc>
          <w:tcPr>
            <w:tcW w:w="840" w:type="dxa"/>
            <w:vAlign w:val="bottom"/>
            <w:tcBorders>
              <w:bottom w:val="single" w:sz="8" w:color="2AD2C9"/>
              <w:right w:val="single" w:sz="8" w:color="auto"/>
            </w:tcBorders>
            <w:shd w:val="clear" w:color="auto" w:fill="2AD2C9"/>
          </w:tcPr>
          <w:p>
            <w:pPr>
              <w:ind w:left="280"/>
              <w:spacing w:after="0" w:line="197" w:lineRule="exact"/>
              <w:rPr>
                <w:sz w:val="20"/>
                <w:szCs w:val="20"/>
                <w:color w:val="auto"/>
              </w:rPr>
            </w:pPr>
            <w:r>
              <w:rPr>
                <w:rFonts w:ascii="Calibri" w:cs="Calibri" w:eastAsia="Calibri" w:hAnsi="Calibri"/>
                <w:sz w:val="17"/>
                <w:szCs w:val="17"/>
                <w:b w:val="1"/>
                <w:bCs w:val="1"/>
                <w:color w:val="FFFFFF"/>
              </w:rPr>
              <w:t>YoY</w:t>
            </w:r>
          </w:p>
        </w:tc>
        <w:tc>
          <w:tcPr>
            <w:tcW w:w="760" w:type="dxa"/>
            <w:vAlign w:val="bottom"/>
            <w:tcBorders>
              <w:bottom w:val="single" w:sz="8" w:color="2AD2C9"/>
            </w:tcBorders>
            <w:shd w:val="clear" w:color="auto" w:fill="2AD2C9"/>
          </w:tcPr>
          <w:p>
            <w:pPr>
              <w:ind w:left="220"/>
              <w:spacing w:after="0" w:line="197" w:lineRule="exact"/>
              <w:rPr>
                <w:sz w:val="20"/>
                <w:szCs w:val="20"/>
                <w:color w:val="auto"/>
              </w:rPr>
            </w:pPr>
            <w:r>
              <w:rPr>
                <w:rFonts w:ascii="Calibri" w:cs="Calibri" w:eastAsia="Calibri" w:hAnsi="Calibri"/>
                <w:sz w:val="17"/>
                <w:szCs w:val="17"/>
                <w:b w:val="1"/>
                <w:bCs w:val="1"/>
                <w:color w:val="FFFFFF"/>
              </w:rPr>
              <w:t>QoQ</w:t>
            </w:r>
          </w:p>
        </w:tc>
        <w:tc>
          <w:tcPr>
            <w:tcW w:w="880" w:type="dxa"/>
            <w:vAlign w:val="bottom"/>
            <w:tcBorders>
              <w:bottom w:val="single" w:sz="8" w:color="2AD2C9"/>
              <w:right w:val="single" w:sz="8" w:color="auto"/>
            </w:tcBorders>
            <w:shd w:val="clear" w:color="auto" w:fill="2AD2C9"/>
          </w:tcPr>
          <w:p>
            <w:pPr>
              <w:ind w:left="300"/>
              <w:spacing w:after="0" w:line="197" w:lineRule="exact"/>
              <w:rPr>
                <w:sz w:val="20"/>
                <w:szCs w:val="20"/>
                <w:color w:val="auto"/>
              </w:rPr>
            </w:pPr>
            <w:r>
              <w:rPr>
                <w:rFonts w:ascii="Calibri" w:cs="Calibri" w:eastAsia="Calibri" w:hAnsi="Calibri"/>
                <w:sz w:val="17"/>
                <w:szCs w:val="17"/>
                <w:b w:val="1"/>
                <w:bCs w:val="1"/>
                <w:color w:val="FFFFFF"/>
              </w:rPr>
              <w:t>YoY</w:t>
            </w:r>
          </w:p>
        </w:tc>
        <w:tc>
          <w:tcPr>
            <w:tcW w:w="900" w:type="dxa"/>
            <w:vAlign w:val="bottom"/>
            <w:tcBorders>
              <w:bottom w:val="single" w:sz="8" w:color="2AD2C9"/>
            </w:tcBorders>
            <w:shd w:val="clear" w:color="auto" w:fill="2AD2C9"/>
          </w:tcPr>
          <w:p>
            <w:pPr>
              <w:ind w:left="200"/>
              <w:spacing w:after="0" w:line="197" w:lineRule="exact"/>
              <w:rPr>
                <w:sz w:val="20"/>
                <w:szCs w:val="20"/>
                <w:color w:val="auto"/>
              </w:rPr>
            </w:pPr>
            <w:r>
              <w:rPr>
                <w:rFonts w:ascii="Calibri" w:cs="Calibri" w:eastAsia="Calibri" w:hAnsi="Calibri"/>
                <w:sz w:val="17"/>
                <w:szCs w:val="17"/>
                <w:b w:val="1"/>
                <w:bCs w:val="1"/>
                <w:color w:val="FFFFFF"/>
              </w:rPr>
              <w:t>Mar 22</w:t>
            </w:r>
          </w:p>
        </w:tc>
        <w:tc>
          <w:tcPr>
            <w:tcW w:w="900" w:type="dxa"/>
            <w:vAlign w:val="bottom"/>
            <w:tcBorders>
              <w:bottom w:val="single" w:sz="8" w:color="2AD2C9"/>
            </w:tcBorders>
            <w:shd w:val="clear" w:color="auto" w:fill="2AD2C9"/>
          </w:tcPr>
          <w:p>
            <w:pPr>
              <w:jc w:val="center"/>
              <w:spacing w:after="0" w:line="197" w:lineRule="exact"/>
              <w:rPr>
                <w:sz w:val="20"/>
                <w:szCs w:val="20"/>
                <w:color w:val="auto"/>
              </w:rPr>
            </w:pPr>
            <w:r>
              <w:rPr>
                <w:rFonts w:ascii="Calibri" w:cs="Calibri" w:eastAsia="Calibri" w:hAnsi="Calibri"/>
                <w:sz w:val="17"/>
                <w:szCs w:val="17"/>
                <w:b w:val="1"/>
                <w:bCs w:val="1"/>
                <w:color w:val="FFFFFF"/>
                <w:w w:val="96"/>
              </w:rPr>
              <w:t>Dec 22</w:t>
            </w:r>
          </w:p>
        </w:tc>
        <w:tc>
          <w:tcPr>
            <w:tcW w:w="900" w:type="dxa"/>
            <w:vAlign w:val="bottom"/>
            <w:tcBorders>
              <w:bottom w:val="single" w:sz="8" w:color="2AD2C9"/>
              <w:right w:val="single" w:sz="8" w:color="auto"/>
            </w:tcBorders>
            <w:shd w:val="clear" w:color="auto" w:fill="2AD2C9"/>
          </w:tcPr>
          <w:p>
            <w:pPr>
              <w:ind w:left="200"/>
              <w:spacing w:after="0" w:line="197" w:lineRule="exact"/>
              <w:rPr>
                <w:sz w:val="20"/>
                <w:szCs w:val="20"/>
                <w:color w:val="auto"/>
              </w:rPr>
            </w:pPr>
            <w:r>
              <w:rPr>
                <w:rFonts w:ascii="Calibri" w:cs="Calibri" w:eastAsia="Calibri" w:hAnsi="Calibri"/>
                <w:sz w:val="17"/>
                <w:szCs w:val="17"/>
                <w:b w:val="1"/>
                <w:bCs w:val="1"/>
                <w:color w:val="FFFFFF"/>
              </w:rPr>
              <w:t>Mar 23</w:t>
            </w:r>
          </w:p>
        </w:tc>
        <w:tc>
          <w:tcPr>
            <w:tcW w:w="0" w:type="dxa"/>
            <w:vAlign w:val="bottom"/>
          </w:tcPr>
          <w:p>
            <w:pPr>
              <w:spacing w:after="0"/>
              <w:rPr>
                <w:sz w:val="1"/>
                <w:szCs w:val="1"/>
                <w:color w:val="auto"/>
              </w:rPr>
            </w:pPr>
          </w:p>
        </w:tc>
      </w:tr>
      <w:tr>
        <w:trPr>
          <w:trHeight w:val="184"/>
        </w:trPr>
        <w:tc>
          <w:tcPr>
            <w:tcW w:w="2280" w:type="dxa"/>
            <w:vAlign w:val="bottom"/>
            <w:tcBorders>
              <w:top w:val="single" w:sz="8" w:color="auto"/>
              <w:left w:val="single" w:sz="8" w:color="auto"/>
              <w:right w:val="single" w:sz="8" w:color="auto"/>
            </w:tcBorders>
          </w:tcPr>
          <w:p>
            <w:pPr>
              <w:ind w:left="20"/>
              <w:spacing w:after="0" w:line="184" w:lineRule="exact"/>
              <w:rPr>
                <w:sz w:val="20"/>
                <w:szCs w:val="20"/>
                <w:color w:val="auto"/>
              </w:rPr>
            </w:pPr>
            <w:r>
              <w:rPr>
                <w:rFonts w:ascii="Calibri" w:cs="Calibri" w:eastAsia="Calibri" w:hAnsi="Calibri"/>
                <w:sz w:val="17"/>
                <w:szCs w:val="17"/>
                <w:b w:val="1"/>
                <w:bCs w:val="1"/>
                <w:color w:val="auto"/>
              </w:rPr>
              <w:t>BCP Stand-alone</w:t>
            </w:r>
          </w:p>
        </w:tc>
        <w:tc>
          <w:tcPr>
            <w:tcW w:w="1000" w:type="dxa"/>
            <w:vAlign w:val="bottom"/>
            <w:tcBorders>
              <w:top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9"/>
              </w:rPr>
              <w:t>117,349</w:t>
            </w:r>
          </w:p>
        </w:tc>
        <w:tc>
          <w:tcPr>
            <w:tcW w:w="1000" w:type="dxa"/>
            <w:vAlign w:val="bottom"/>
            <w:tcBorders>
              <w:top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9"/>
              </w:rPr>
              <w:t>121,963</w:t>
            </w:r>
          </w:p>
        </w:tc>
        <w:tc>
          <w:tcPr>
            <w:tcW w:w="1000" w:type="dxa"/>
            <w:vAlign w:val="bottom"/>
            <w:tcBorders>
              <w:top w:val="single" w:sz="8" w:color="auto"/>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9"/>
              </w:rPr>
              <w:t>118,707</w:t>
            </w:r>
          </w:p>
        </w:tc>
        <w:tc>
          <w:tcPr>
            <w:tcW w:w="800" w:type="dxa"/>
            <w:vAlign w:val="bottom"/>
            <w:tcBorders>
              <w:top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9"/>
              </w:rPr>
              <w:t>-3,256</w:t>
            </w:r>
          </w:p>
        </w:tc>
        <w:tc>
          <w:tcPr>
            <w:tcW w:w="840" w:type="dxa"/>
            <w:vAlign w:val="bottom"/>
            <w:tcBorders>
              <w:top w:val="single" w:sz="8" w:color="auto"/>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rPr>
              <w:t>1,358</w:t>
            </w:r>
          </w:p>
        </w:tc>
        <w:tc>
          <w:tcPr>
            <w:tcW w:w="760" w:type="dxa"/>
            <w:vAlign w:val="bottom"/>
            <w:tcBorders>
              <w:top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rPr>
              <w:t>-2.7%</w:t>
            </w:r>
          </w:p>
        </w:tc>
        <w:tc>
          <w:tcPr>
            <w:tcW w:w="880" w:type="dxa"/>
            <w:vAlign w:val="bottom"/>
            <w:tcBorders>
              <w:top w:val="single" w:sz="8" w:color="auto"/>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9"/>
              </w:rPr>
              <w:t>1.2%</w:t>
            </w:r>
          </w:p>
        </w:tc>
        <w:tc>
          <w:tcPr>
            <w:tcW w:w="900" w:type="dxa"/>
            <w:vAlign w:val="bottom"/>
            <w:tcBorders>
              <w:top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8"/>
              </w:rPr>
              <w:t>82.2%</w:t>
            </w:r>
          </w:p>
        </w:tc>
        <w:tc>
          <w:tcPr>
            <w:tcW w:w="900" w:type="dxa"/>
            <w:vAlign w:val="bottom"/>
            <w:tcBorders>
              <w:top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8"/>
              </w:rPr>
              <w:t>82.1%</w:t>
            </w:r>
          </w:p>
        </w:tc>
        <w:tc>
          <w:tcPr>
            <w:tcW w:w="900" w:type="dxa"/>
            <w:vAlign w:val="bottom"/>
            <w:tcBorders>
              <w:top w:val="single" w:sz="8" w:color="auto"/>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rPr>
              <w:t>81.9%</w:t>
            </w:r>
          </w:p>
        </w:tc>
        <w:tc>
          <w:tcPr>
            <w:tcW w:w="0" w:type="dxa"/>
            <w:vAlign w:val="bottom"/>
          </w:tcPr>
          <w:p>
            <w:pPr>
              <w:spacing w:after="0"/>
              <w:rPr>
                <w:sz w:val="1"/>
                <w:szCs w:val="1"/>
                <w:color w:val="auto"/>
              </w:rPr>
            </w:pPr>
          </w:p>
        </w:tc>
      </w:tr>
      <w:tr>
        <w:trPr>
          <w:trHeight w:val="197"/>
        </w:trPr>
        <w:tc>
          <w:tcPr>
            <w:tcW w:w="2280" w:type="dxa"/>
            <w:vAlign w:val="bottom"/>
            <w:tcBorders>
              <w:left w:val="single" w:sz="8" w:color="auto"/>
              <w:right w:val="single" w:sz="8" w:color="auto"/>
            </w:tcBorders>
          </w:tcPr>
          <w:p>
            <w:pPr>
              <w:ind w:left="140"/>
              <w:spacing w:after="0" w:line="197" w:lineRule="exact"/>
              <w:rPr>
                <w:sz w:val="20"/>
                <w:szCs w:val="20"/>
                <w:color w:val="auto"/>
              </w:rPr>
            </w:pPr>
            <w:r>
              <w:rPr>
                <w:rFonts w:ascii="Calibri" w:cs="Calibri" w:eastAsia="Calibri" w:hAnsi="Calibri"/>
                <w:sz w:val="17"/>
                <w:szCs w:val="17"/>
                <w:b w:val="1"/>
                <w:bCs w:val="1"/>
                <w:color w:val="auto"/>
              </w:rPr>
              <w:t>Wholesale Banking</w:t>
            </w:r>
          </w:p>
        </w:tc>
        <w:tc>
          <w:tcPr>
            <w:tcW w:w="10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54,604</w:t>
            </w:r>
          </w:p>
        </w:tc>
        <w:tc>
          <w:tcPr>
            <w:tcW w:w="10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57,497</w:t>
            </w:r>
          </w:p>
        </w:tc>
        <w:tc>
          <w:tcPr>
            <w:tcW w:w="100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6"/>
              </w:rPr>
              <w:t>55,141</w:t>
            </w:r>
          </w:p>
        </w:tc>
        <w:tc>
          <w:tcPr>
            <w:tcW w:w="8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9"/>
              </w:rPr>
              <w:t>-2,356</w:t>
            </w:r>
          </w:p>
        </w:tc>
        <w:tc>
          <w:tcPr>
            <w:tcW w:w="8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2"/>
              </w:rPr>
              <w:t>537</w:t>
            </w:r>
          </w:p>
        </w:tc>
        <w:tc>
          <w:tcPr>
            <w:tcW w:w="76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-4.1%</w:t>
            </w:r>
          </w:p>
        </w:tc>
        <w:tc>
          <w:tcPr>
            <w:tcW w:w="88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1.0%</w:t>
            </w:r>
          </w:p>
        </w:tc>
        <w:tc>
          <w:tcPr>
            <w:tcW w:w="9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8"/>
              </w:rPr>
              <w:t>38.3%</w:t>
            </w:r>
          </w:p>
        </w:tc>
        <w:tc>
          <w:tcPr>
            <w:tcW w:w="9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8"/>
              </w:rPr>
              <w:t>38.7%</w:t>
            </w:r>
          </w:p>
        </w:tc>
        <w:tc>
          <w:tcPr>
            <w:tcW w:w="90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rPr>
              <w:t>38.0%</w:t>
            </w:r>
          </w:p>
        </w:tc>
        <w:tc>
          <w:tcPr>
            <w:tcW w:w="0" w:type="dxa"/>
            <w:vAlign w:val="bottom"/>
          </w:tcPr>
          <w:p>
            <w:pPr>
              <w:spacing w:after="0"/>
              <w:rPr>
                <w:sz w:val="1"/>
                <w:szCs w:val="1"/>
                <w:color w:val="auto"/>
              </w:rPr>
            </w:pPr>
          </w:p>
        </w:tc>
      </w:tr>
      <w:tr>
        <w:trPr>
          <w:trHeight w:val="28"/>
        </w:trPr>
        <w:tc>
          <w:tcPr>
            <w:tcW w:w="2280" w:type="dxa"/>
            <w:vAlign w:val="bottom"/>
            <w:tcBorders>
              <w:left w:val="single" w:sz="8" w:color="auto"/>
              <w:right w:val="single" w:sz="8" w:color="auto"/>
            </w:tcBorders>
            <w:vMerge w:val="restart"/>
          </w:tcPr>
          <w:p>
            <w:pPr>
              <w:ind w:left="280"/>
              <w:spacing w:after="0" w:line="205" w:lineRule="exact"/>
              <w:rPr>
                <w:sz w:val="20"/>
                <w:szCs w:val="20"/>
                <w:color w:val="auto"/>
              </w:rPr>
            </w:pPr>
            <w:r>
              <w:rPr>
                <w:rFonts w:ascii="Calibri" w:cs="Calibri" w:eastAsia="Calibri" w:hAnsi="Calibri"/>
                <w:sz w:val="17"/>
                <w:szCs w:val="17"/>
                <w:color w:val="auto"/>
              </w:rPr>
              <w:t>Corporate</w:t>
            </w:r>
          </w:p>
        </w:tc>
        <w:tc>
          <w:tcPr>
            <w:tcW w:w="100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rPr>
              <w:t>31,054</w:t>
            </w:r>
          </w:p>
        </w:tc>
        <w:tc>
          <w:tcPr>
            <w:tcW w:w="100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rPr>
              <w:t>33,617</w:t>
            </w:r>
          </w:p>
        </w:tc>
        <w:tc>
          <w:tcPr>
            <w:tcW w:w="1000" w:type="dxa"/>
            <w:vAlign w:val="bottom"/>
            <w:tcBorders>
              <w:right w:val="single" w:sz="8" w:color="auto"/>
            </w:tcBorders>
            <w:vMerge w:val="restart"/>
          </w:tcPr>
          <w:p>
            <w:pPr>
              <w:jc w:val="center"/>
              <w:spacing w:after="0" w:line="205" w:lineRule="exact"/>
              <w:rPr>
                <w:sz w:val="20"/>
                <w:szCs w:val="20"/>
                <w:color w:val="auto"/>
              </w:rPr>
            </w:pPr>
            <w:r>
              <w:rPr>
                <w:rFonts w:ascii="Calibri" w:cs="Calibri" w:eastAsia="Calibri" w:hAnsi="Calibri"/>
                <w:sz w:val="17"/>
                <w:szCs w:val="17"/>
                <w:color w:val="auto"/>
                <w:w w:val="97"/>
              </w:rPr>
              <w:t>32,717</w:t>
            </w:r>
          </w:p>
        </w:tc>
        <w:tc>
          <w:tcPr>
            <w:tcW w:w="80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rPr>
              <w:t>-899</w:t>
            </w:r>
          </w:p>
        </w:tc>
        <w:tc>
          <w:tcPr>
            <w:tcW w:w="840" w:type="dxa"/>
            <w:vAlign w:val="bottom"/>
            <w:tcBorders>
              <w:right w:val="single" w:sz="8" w:color="auto"/>
            </w:tcBorders>
          </w:tcPr>
          <w:p>
            <w:pPr>
              <w:spacing w:after="0"/>
              <w:rPr>
                <w:sz w:val="2"/>
                <w:szCs w:val="2"/>
                <w:color w:val="auto"/>
              </w:rPr>
            </w:pPr>
          </w:p>
        </w:tc>
        <w:tc>
          <w:tcPr>
            <w:tcW w:w="76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w w:val="97"/>
              </w:rPr>
              <w:t>-2.7%</w:t>
            </w:r>
          </w:p>
        </w:tc>
        <w:tc>
          <w:tcPr>
            <w:tcW w:w="880" w:type="dxa"/>
            <w:vAlign w:val="bottom"/>
            <w:tcBorders>
              <w:right w:val="single" w:sz="8" w:color="auto"/>
            </w:tcBorders>
            <w:vMerge w:val="restart"/>
          </w:tcPr>
          <w:p>
            <w:pPr>
              <w:jc w:val="center"/>
              <w:spacing w:after="0" w:line="205" w:lineRule="exact"/>
              <w:rPr>
                <w:sz w:val="20"/>
                <w:szCs w:val="20"/>
                <w:color w:val="auto"/>
              </w:rPr>
            </w:pPr>
            <w:r>
              <w:rPr>
                <w:rFonts w:ascii="Calibri" w:cs="Calibri" w:eastAsia="Calibri" w:hAnsi="Calibri"/>
                <w:sz w:val="17"/>
                <w:szCs w:val="17"/>
                <w:color w:val="auto"/>
              </w:rPr>
              <w:t>5.4%</w:t>
            </w:r>
          </w:p>
        </w:tc>
        <w:tc>
          <w:tcPr>
            <w:tcW w:w="90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w w:val="99"/>
              </w:rPr>
              <w:t>21.8%</w:t>
            </w:r>
          </w:p>
        </w:tc>
        <w:tc>
          <w:tcPr>
            <w:tcW w:w="90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w w:val="99"/>
              </w:rPr>
              <w:t>22.6%</w:t>
            </w:r>
          </w:p>
        </w:tc>
        <w:tc>
          <w:tcPr>
            <w:tcW w:w="900" w:type="dxa"/>
            <w:vAlign w:val="bottom"/>
            <w:tcBorders>
              <w:right w:val="single" w:sz="8" w:color="auto"/>
            </w:tcBorders>
            <w:vMerge w:val="restart"/>
          </w:tcPr>
          <w:p>
            <w:pPr>
              <w:jc w:val="center"/>
              <w:spacing w:after="0" w:line="205" w:lineRule="exact"/>
              <w:rPr>
                <w:sz w:val="20"/>
                <w:szCs w:val="20"/>
                <w:color w:val="auto"/>
              </w:rPr>
            </w:pPr>
            <w:r>
              <w:rPr>
                <w:rFonts w:ascii="Calibri" w:cs="Calibri" w:eastAsia="Calibri" w:hAnsi="Calibri"/>
                <w:sz w:val="17"/>
                <w:szCs w:val="17"/>
                <w:color w:val="auto"/>
                <w:w w:val="99"/>
              </w:rPr>
              <w:t>22.6%</w:t>
            </w:r>
          </w:p>
        </w:tc>
        <w:tc>
          <w:tcPr>
            <w:tcW w:w="0" w:type="dxa"/>
            <w:vAlign w:val="bottom"/>
          </w:tcPr>
          <w:p>
            <w:pPr>
              <w:spacing w:after="0" w:line="20" w:lineRule="exact"/>
              <w:rPr>
                <w:sz w:val="1"/>
                <w:szCs w:val="1"/>
                <w:color w:val="auto"/>
              </w:rPr>
            </w:pPr>
          </w:p>
        </w:tc>
      </w:tr>
      <w:tr>
        <w:trPr>
          <w:trHeight w:val="204"/>
        </w:trPr>
        <w:tc>
          <w:tcPr>
            <w:tcW w:w="2280" w:type="dxa"/>
            <w:vAlign w:val="bottom"/>
            <w:tcBorders>
              <w:left w:val="single" w:sz="8" w:color="auto"/>
              <w:right w:val="single" w:sz="8" w:color="auto"/>
            </w:tcBorders>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40" w:type="dxa"/>
            <w:vAlign w:val="bottom"/>
            <w:tcBorders>
              <w:right w:val="single" w:sz="8" w:color="auto"/>
            </w:tcBorders>
            <w:shd w:val="clear" w:color="auto" w:fill="26D07C"/>
          </w:tcPr>
          <w:p>
            <w:pPr>
              <w:jc w:val="center"/>
              <w:spacing w:after="0" w:line="197" w:lineRule="exact"/>
              <w:rPr>
                <w:sz w:val="20"/>
                <w:szCs w:val="20"/>
                <w:color w:val="auto"/>
              </w:rPr>
            </w:pPr>
            <w:r>
              <w:rPr>
                <w:rFonts w:ascii="Calibri" w:cs="Calibri" w:eastAsia="Calibri" w:hAnsi="Calibri"/>
                <w:sz w:val="17"/>
                <w:szCs w:val="17"/>
                <w:color w:val="auto"/>
              </w:rPr>
              <w:t>1,663</w:t>
            </w:r>
          </w:p>
        </w:tc>
        <w:tc>
          <w:tcPr>
            <w:tcW w:w="760" w:type="dxa"/>
            <w:vAlign w:val="bottom"/>
            <w:vMerge w:val="continue"/>
          </w:tcPr>
          <w:p>
            <w:pPr>
              <w:spacing w:after="0"/>
              <w:rPr>
                <w:sz w:val="17"/>
                <w:szCs w:val="17"/>
                <w:color w:val="auto"/>
              </w:rPr>
            </w:pPr>
          </w:p>
        </w:tc>
        <w:tc>
          <w:tcPr>
            <w:tcW w:w="880" w:type="dxa"/>
            <w:vAlign w:val="bottom"/>
            <w:tcBorders>
              <w:right w:val="single" w:sz="8" w:color="auto"/>
            </w:tcBorders>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80" w:type="dxa"/>
            <w:vAlign w:val="bottom"/>
            <w:tcBorders>
              <w:left w:val="single" w:sz="8" w:color="auto"/>
              <w:right w:val="single" w:sz="8" w:color="auto"/>
            </w:tcBorders>
          </w:tcPr>
          <w:p>
            <w:pPr>
              <w:ind w:left="280"/>
              <w:spacing w:after="0" w:line="197" w:lineRule="exact"/>
              <w:rPr>
                <w:sz w:val="20"/>
                <w:szCs w:val="20"/>
                <w:color w:val="auto"/>
              </w:rPr>
            </w:pPr>
            <w:r>
              <w:rPr>
                <w:rFonts w:ascii="Calibri" w:cs="Calibri" w:eastAsia="Calibri" w:hAnsi="Calibri"/>
                <w:sz w:val="17"/>
                <w:szCs w:val="17"/>
                <w:color w:val="auto"/>
              </w:rPr>
              <w:t>Middle - Market</w:t>
            </w:r>
          </w:p>
        </w:tc>
        <w:tc>
          <w:tcPr>
            <w:tcW w:w="1000" w:type="dxa"/>
            <w:vAlign w:val="bottom"/>
          </w:tcPr>
          <w:p>
            <w:pPr>
              <w:jc w:val="center"/>
              <w:spacing w:after="0" w:line="197" w:lineRule="exact"/>
              <w:rPr>
                <w:sz w:val="20"/>
                <w:szCs w:val="20"/>
                <w:color w:val="auto"/>
              </w:rPr>
            </w:pPr>
            <w:r>
              <w:rPr>
                <w:rFonts w:ascii="Calibri" w:cs="Calibri" w:eastAsia="Calibri" w:hAnsi="Calibri"/>
                <w:sz w:val="17"/>
                <w:szCs w:val="17"/>
                <w:color w:val="auto"/>
              </w:rPr>
              <w:t>23,550</w:t>
            </w:r>
          </w:p>
        </w:tc>
        <w:tc>
          <w:tcPr>
            <w:tcW w:w="1000" w:type="dxa"/>
            <w:vAlign w:val="bottom"/>
          </w:tcPr>
          <w:p>
            <w:pPr>
              <w:jc w:val="center"/>
              <w:spacing w:after="0" w:line="197" w:lineRule="exact"/>
              <w:rPr>
                <w:sz w:val="20"/>
                <w:szCs w:val="20"/>
                <w:color w:val="auto"/>
              </w:rPr>
            </w:pPr>
            <w:r>
              <w:rPr>
                <w:rFonts w:ascii="Calibri" w:cs="Calibri" w:eastAsia="Calibri" w:hAnsi="Calibri"/>
                <w:sz w:val="17"/>
                <w:szCs w:val="17"/>
                <w:color w:val="auto"/>
              </w:rPr>
              <w:t>23,881</w:t>
            </w:r>
          </w:p>
        </w:tc>
        <w:tc>
          <w:tcPr>
            <w:tcW w:w="100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7"/>
              </w:rPr>
              <w:t>22,424</w:t>
            </w:r>
          </w:p>
        </w:tc>
        <w:tc>
          <w:tcPr>
            <w:tcW w:w="800" w:type="dxa"/>
            <w:vAlign w:val="bottom"/>
            <w:shd w:val="clear" w:color="auto" w:fill="E93CAC"/>
          </w:tcPr>
          <w:p>
            <w:pPr>
              <w:jc w:val="center"/>
              <w:spacing w:after="0" w:line="197" w:lineRule="exact"/>
              <w:rPr>
                <w:sz w:val="20"/>
                <w:szCs w:val="20"/>
                <w:color w:val="auto"/>
              </w:rPr>
            </w:pPr>
            <w:r>
              <w:rPr>
                <w:rFonts w:ascii="Calibri" w:cs="Calibri" w:eastAsia="Calibri" w:hAnsi="Calibri"/>
                <w:sz w:val="17"/>
                <w:szCs w:val="17"/>
                <w:color w:val="auto"/>
              </w:rPr>
              <w:t>-1,456</w:t>
            </w:r>
          </w:p>
        </w:tc>
        <w:tc>
          <w:tcPr>
            <w:tcW w:w="840" w:type="dxa"/>
            <w:vAlign w:val="bottom"/>
            <w:tcBorders>
              <w:right w:val="single" w:sz="8" w:color="auto"/>
            </w:tcBorders>
            <w:shd w:val="clear" w:color="auto" w:fill="E93CAC"/>
          </w:tcPr>
          <w:p>
            <w:pPr>
              <w:jc w:val="center"/>
              <w:spacing w:after="0" w:line="197" w:lineRule="exact"/>
              <w:rPr>
                <w:sz w:val="20"/>
                <w:szCs w:val="20"/>
                <w:color w:val="auto"/>
              </w:rPr>
            </w:pPr>
            <w:r>
              <w:rPr>
                <w:rFonts w:ascii="Calibri" w:cs="Calibri" w:eastAsia="Calibri" w:hAnsi="Calibri"/>
                <w:sz w:val="17"/>
                <w:szCs w:val="17"/>
                <w:color w:val="auto"/>
              </w:rPr>
              <w:t>-1,126</w:t>
            </w:r>
          </w:p>
        </w:tc>
        <w:tc>
          <w:tcPr>
            <w:tcW w:w="760" w:type="dxa"/>
            <w:vAlign w:val="bottom"/>
          </w:tcPr>
          <w:p>
            <w:pPr>
              <w:jc w:val="center"/>
              <w:spacing w:after="0" w:line="197" w:lineRule="exact"/>
              <w:rPr>
                <w:sz w:val="20"/>
                <w:szCs w:val="20"/>
                <w:color w:val="auto"/>
              </w:rPr>
            </w:pPr>
            <w:r>
              <w:rPr>
                <w:rFonts w:ascii="Calibri" w:cs="Calibri" w:eastAsia="Calibri" w:hAnsi="Calibri"/>
                <w:sz w:val="17"/>
                <w:szCs w:val="17"/>
                <w:color w:val="auto"/>
                <w:w w:val="97"/>
              </w:rPr>
              <w:t>-6.1%</w:t>
            </w:r>
          </w:p>
        </w:tc>
        <w:tc>
          <w:tcPr>
            <w:tcW w:w="88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7"/>
              </w:rPr>
              <w:t>-4.8%</w:t>
            </w:r>
          </w:p>
        </w:tc>
        <w:tc>
          <w:tcPr>
            <w:tcW w:w="900" w:type="dxa"/>
            <w:vAlign w:val="bottom"/>
          </w:tcPr>
          <w:p>
            <w:pPr>
              <w:jc w:val="center"/>
              <w:spacing w:after="0" w:line="197" w:lineRule="exact"/>
              <w:rPr>
                <w:sz w:val="20"/>
                <w:szCs w:val="20"/>
                <w:color w:val="auto"/>
              </w:rPr>
            </w:pPr>
            <w:r>
              <w:rPr>
                <w:rFonts w:ascii="Calibri" w:cs="Calibri" w:eastAsia="Calibri" w:hAnsi="Calibri"/>
                <w:sz w:val="17"/>
                <w:szCs w:val="17"/>
                <w:color w:val="auto"/>
                <w:w w:val="99"/>
              </w:rPr>
              <w:t>16.5%</w:t>
            </w:r>
          </w:p>
        </w:tc>
        <w:tc>
          <w:tcPr>
            <w:tcW w:w="900" w:type="dxa"/>
            <w:vAlign w:val="bottom"/>
          </w:tcPr>
          <w:p>
            <w:pPr>
              <w:jc w:val="center"/>
              <w:spacing w:after="0" w:line="197" w:lineRule="exact"/>
              <w:rPr>
                <w:sz w:val="20"/>
                <w:szCs w:val="20"/>
                <w:color w:val="auto"/>
              </w:rPr>
            </w:pPr>
            <w:r>
              <w:rPr>
                <w:rFonts w:ascii="Calibri" w:cs="Calibri" w:eastAsia="Calibri" w:hAnsi="Calibri"/>
                <w:sz w:val="17"/>
                <w:szCs w:val="17"/>
                <w:color w:val="auto"/>
                <w:w w:val="99"/>
              </w:rPr>
              <w:t>16.1%</w:t>
            </w:r>
          </w:p>
        </w:tc>
        <w:tc>
          <w:tcPr>
            <w:tcW w:w="90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9"/>
              </w:rPr>
              <w:t>15.5%</w:t>
            </w:r>
          </w:p>
        </w:tc>
        <w:tc>
          <w:tcPr>
            <w:tcW w:w="0" w:type="dxa"/>
            <w:vAlign w:val="bottom"/>
          </w:tcPr>
          <w:p>
            <w:pPr>
              <w:spacing w:after="0"/>
              <w:rPr>
                <w:sz w:val="1"/>
                <w:szCs w:val="1"/>
                <w:color w:val="auto"/>
              </w:rPr>
            </w:pPr>
          </w:p>
        </w:tc>
      </w:tr>
      <w:tr>
        <w:trPr>
          <w:trHeight w:val="197"/>
        </w:trPr>
        <w:tc>
          <w:tcPr>
            <w:tcW w:w="2280" w:type="dxa"/>
            <w:vAlign w:val="bottom"/>
            <w:tcBorders>
              <w:left w:val="single" w:sz="8" w:color="auto"/>
              <w:right w:val="single" w:sz="8" w:color="auto"/>
            </w:tcBorders>
          </w:tcPr>
          <w:p>
            <w:pPr>
              <w:ind w:left="140"/>
              <w:spacing w:after="0" w:line="197" w:lineRule="exact"/>
              <w:rPr>
                <w:sz w:val="20"/>
                <w:szCs w:val="20"/>
                <w:color w:val="auto"/>
              </w:rPr>
            </w:pPr>
            <w:r>
              <w:rPr>
                <w:rFonts w:ascii="Calibri" w:cs="Calibri" w:eastAsia="Calibri" w:hAnsi="Calibri"/>
                <w:sz w:val="17"/>
                <w:szCs w:val="17"/>
                <w:b w:val="1"/>
                <w:bCs w:val="1"/>
                <w:color w:val="auto"/>
              </w:rPr>
              <w:t>Retail Banking</w:t>
            </w:r>
          </w:p>
        </w:tc>
        <w:tc>
          <w:tcPr>
            <w:tcW w:w="10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62,744</w:t>
            </w:r>
          </w:p>
        </w:tc>
        <w:tc>
          <w:tcPr>
            <w:tcW w:w="10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64,465</w:t>
            </w:r>
          </w:p>
        </w:tc>
        <w:tc>
          <w:tcPr>
            <w:tcW w:w="100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6"/>
              </w:rPr>
              <w:t>63,566</w:t>
            </w:r>
          </w:p>
        </w:tc>
        <w:tc>
          <w:tcPr>
            <w:tcW w:w="8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-900</w:t>
            </w:r>
          </w:p>
        </w:tc>
        <w:tc>
          <w:tcPr>
            <w:tcW w:w="8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2"/>
              </w:rPr>
              <w:t>821</w:t>
            </w:r>
          </w:p>
        </w:tc>
        <w:tc>
          <w:tcPr>
            <w:tcW w:w="76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-1.4%</w:t>
            </w:r>
          </w:p>
        </w:tc>
        <w:tc>
          <w:tcPr>
            <w:tcW w:w="88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1.3%</w:t>
            </w:r>
          </w:p>
        </w:tc>
        <w:tc>
          <w:tcPr>
            <w:tcW w:w="9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8"/>
              </w:rPr>
              <w:t>44.0%</w:t>
            </w:r>
          </w:p>
        </w:tc>
        <w:tc>
          <w:tcPr>
            <w:tcW w:w="9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8"/>
              </w:rPr>
              <w:t>43.4%</w:t>
            </w:r>
          </w:p>
        </w:tc>
        <w:tc>
          <w:tcPr>
            <w:tcW w:w="90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rPr>
              <w:t>43.8%</w:t>
            </w:r>
          </w:p>
        </w:tc>
        <w:tc>
          <w:tcPr>
            <w:tcW w:w="0" w:type="dxa"/>
            <w:vAlign w:val="bottom"/>
          </w:tcPr>
          <w:p>
            <w:pPr>
              <w:spacing w:after="0"/>
              <w:rPr>
                <w:sz w:val="1"/>
                <w:szCs w:val="1"/>
                <w:color w:val="auto"/>
              </w:rPr>
            </w:pPr>
          </w:p>
        </w:tc>
      </w:tr>
      <w:tr>
        <w:trPr>
          <w:trHeight w:val="204"/>
        </w:trPr>
        <w:tc>
          <w:tcPr>
            <w:tcW w:w="2280" w:type="dxa"/>
            <w:vAlign w:val="bottom"/>
            <w:tcBorders>
              <w:left w:val="single" w:sz="8" w:color="auto"/>
              <w:right w:val="single" w:sz="8" w:color="auto"/>
            </w:tcBorders>
          </w:tcPr>
          <w:p>
            <w:pPr>
              <w:ind w:left="280"/>
              <w:spacing w:after="0" w:line="197" w:lineRule="exact"/>
              <w:rPr>
                <w:sz w:val="20"/>
                <w:szCs w:val="20"/>
                <w:color w:val="auto"/>
              </w:rPr>
            </w:pPr>
            <w:r>
              <w:rPr>
                <w:rFonts w:ascii="Calibri" w:cs="Calibri" w:eastAsia="Calibri" w:hAnsi="Calibri"/>
                <w:sz w:val="17"/>
                <w:szCs w:val="17"/>
                <w:color w:val="auto"/>
              </w:rPr>
              <w:t>SME - Business</w:t>
            </w:r>
          </w:p>
        </w:tc>
        <w:tc>
          <w:tcPr>
            <w:tcW w:w="1000" w:type="dxa"/>
            <w:vAlign w:val="bottom"/>
          </w:tcPr>
          <w:p>
            <w:pPr>
              <w:jc w:val="center"/>
              <w:spacing w:after="0" w:line="197" w:lineRule="exact"/>
              <w:rPr>
                <w:sz w:val="20"/>
                <w:szCs w:val="20"/>
                <w:color w:val="auto"/>
              </w:rPr>
            </w:pPr>
            <w:r>
              <w:rPr>
                <w:rFonts w:ascii="Calibri" w:cs="Calibri" w:eastAsia="Calibri" w:hAnsi="Calibri"/>
                <w:sz w:val="17"/>
                <w:szCs w:val="17"/>
                <w:color w:val="auto"/>
                <w:w w:val="97"/>
              </w:rPr>
              <w:t>9,509</w:t>
            </w:r>
          </w:p>
        </w:tc>
        <w:tc>
          <w:tcPr>
            <w:tcW w:w="1000" w:type="dxa"/>
            <w:vAlign w:val="bottom"/>
          </w:tcPr>
          <w:p>
            <w:pPr>
              <w:jc w:val="center"/>
              <w:spacing w:after="0" w:line="197" w:lineRule="exact"/>
              <w:rPr>
                <w:sz w:val="20"/>
                <w:szCs w:val="20"/>
                <w:color w:val="auto"/>
              </w:rPr>
            </w:pPr>
            <w:r>
              <w:rPr>
                <w:rFonts w:ascii="Calibri" w:cs="Calibri" w:eastAsia="Calibri" w:hAnsi="Calibri"/>
                <w:sz w:val="17"/>
                <w:szCs w:val="17"/>
                <w:color w:val="auto"/>
              </w:rPr>
              <w:t>8,583</w:t>
            </w:r>
          </w:p>
        </w:tc>
        <w:tc>
          <w:tcPr>
            <w:tcW w:w="100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7"/>
              </w:rPr>
              <w:t>7,884</w:t>
            </w:r>
          </w:p>
        </w:tc>
        <w:tc>
          <w:tcPr>
            <w:tcW w:w="800" w:type="dxa"/>
            <w:vAlign w:val="bottom"/>
            <w:shd w:val="clear" w:color="auto" w:fill="E93CAC"/>
          </w:tcPr>
          <w:p>
            <w:pPr>
              <w:jc w:val="center"/>
              <w:spacing w:after="0" w:line="205" w:lineRule="exact"/>
              <w:rPr>
                <w:sz w:val="20"/>
                <w:szCs w:val="20"/>
                <w:color w:val="auto"/>
              </w:rPr>
            </w:pPr>
            <w:r>
              <w:rPr>
                <w:rFonts w:ascii="Calibri" w:cs="Calibri" w:eastAsia="Calibri" w:hAnsi="Calibri"/>
                <w:sz w:val="17"/>
                <w:szCs w:val="17"/>
                <w:color w:val="auto"/>
              </w:rPr>
              <w:t>-699</w:t>
            </w:r>
          </w:p>
        </w:tc>
        <w:tc>
          <w:tcPr>
            <w:tcW w:w="840" w:type="dxa"/>
            <w:vAlign w:val="bottom"/>
            <w:tcBorders>
              <w:right w:val="single" w:sz="8" w:color="auto"/>
            </w:tcBorders>
            <w:shd w:val="clear" w:color="auto" w:fill="E93CAC"/>
          </w:tcPr>
          <w:p>
            <w:pPr>
              <w:jc w:val="center"/>
              <w:spacing w:after="0" w:line="205" w:lineRule="exact"/>
              <w:rPr>
                <w:sz w:val="20"/>
                <w:szCs w:val="20"/>
                <w:color w:val="auto"/>
              </w:rPr>
            </w:pPr>
            <w:r>
              <w:rPr>
                <w:rFonts w:ascii="Calibri" w:cs="Calibri" w:eastAsia="Calibri" w:hAnsi="Calibri"/>
                <w:sz w:val="17"/>
                <w:szCs w:val="17"/>
                <w:color w:val="auto"/>
              </w:rPr>
              <w:t>-1,625</w:t>
            </w:r>
          </w:p>
        </w:tc>
        <w:tc>
          <w:tcPr>
            <w:tcW w:w="760" w:type="dxa"/>
            <w:vAlign w:val="bottom"/>
          </w:tcPr>
          <w:p>
            <w:pPr>
              <w:jc w:val="center"/>
              <w:spacing w:after="0" w:line="197" w:lineRule="exact"/>
              <w:rPr>
                <w:sz w:val="20"/>
                <w:szCs w:val="20"/>
                <w:color w:val="auto"/>
              </w:rPr>
            </w:pPr>
            <w:r>
              <w:rPr>
                <w:rFonts w:ascii="Calibri" w:cs="Calibri" w:eastAsia="Calibri" w:hAnsi="Calibri"/>
                <w:sz w:val="17"/>
                <w:szCs w:val="17"/>
                <w:color w:val="auto"/>
                <w:w w:val="97"/>
              </w:rPr>
              <w:t>-8.1%</w:t>
            </w:r>
          </w:p>
        </w:tc>
        <w:tc>
          <w:tcPr>
            <w:tcW w:w="88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6"/>
              </w:rPr>
              <w:t>-17.1%</w:t>
            </w:r>
          </w:p>
        </w:tc>
        <w:tc>
          <w:tcPr>
            <w:tcW w:w="900" w:type="dxa"/>
            <w:vAlign w:val="bottom"/>
          </w:tcPr>
          <w:p>
            <w:pPr>
              <w:jc w:val="center"/>
              <w:spacing w:after="0" w:line="197" w:lineRule="exact"/>
              <w:rPr>
                <w:sz w:val="20"/>
                <w:szCs w:val="20"/>
                <w:color w:val="auto"/>
              </w:rPr>
            </w:pPr>
            <w:r>
              <w:rPr>
                <w:rFonts w:ascii="Calibri" w:cs="Calibri" w:eastAsia="Calibri" w:hAnsi="Calibri"/>
                <w:sz w:val="17"/>
                <w:szCs w:val="17"/>
                <w:color w:val="auto"/>
              </w:rPr>
              <w:t>6.7%</w:t>
            </w:r>
          </w:p>
        </w:tc>
        <w:tc>
          <w:tcPr>
            <w:tcW w:w="900" w:type="dxa"/>
            <w:vAlign w:val="bottom"/>
          </w:tcPr>
          <w:p>
            <w:pPr>
              <w:jc w:val="center"/>
              <w:spacing w:after="0" w:line="197" w:lineRule="exact"/>
              <w:rPr>
                <w:sz w:val="20"/>
                <w:szCs w:val="20"/>
                <w:color w:val="auto"/>
              </w:rPr>
            </w:pPr>
            <w:r>
              <w:rPr>
                <w:rFonts w:ascii="Calibri" w:cs="Calibri" w:eastAsia="Calibri" w:hAnsi="Calibri"/>
                <w:sz w:val="17"/>
                <w:szCs w:val="17"/>
                <w:color w:val="auto"/>
              </w:rPr>
              <w:t>5.8%</w:t>
            </w:r>
          </w:p>
        </w:tc>
        <w:tc>
          <w:tcPr>
            <w:tcW w:w="90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4"/>
              </w:rPr>
              <w:t>5.4%</w:t>
            </w:r>
          </w:p>
        </w:tc>
        <w:tc>
          <w:tcPr>
            <w:tcW w:w="0" w:type="dxa"/>
            <w:vAlign w:val="bottom"/>
          </w:tcPr>
          <w:p>
            <w:pPr>
              <w:spacing w:after="0"/>
              <w:rPr>
                <w:sz w:val="1"/>
                <w:szCs w:val="1"/>
                <w:color w:val="auto"/>
              </w:rPr>
            </w:pPr>
          </w:p>
        </w:tc>
      </w:tr>
      <w:tr>
        <w:trPr>
          <w:trHeight w:val="212"/>
        </w:trPr>
        <w:tc>
          <w:tcPr>
            <w:tcW w:w="2280" w:type="dxa"/>
            <w:vAlign w:val="bottom"/>
            <w:tcBorders>
              <w:left w:val="single" w:sz="8" w:color="auto"/>
              <w:right w:val="single" w:sz="8" w:color="auto"/>
            </w:tcBorders>
          </w:tcPr>
          <w:p>
            <w:pPr>
              <w:ind w:left="280"/>
              <w:spacing w:after="0" w:line="197" w:lineRule="exact"/>
              <w:rPr>
                <w:sz w:val="20"/>
                <w:szCs w:val="20"/>
                <w:color w:val="auto"/>
              </w:rPr>
            </w:pPr>
            <w:r>
              <w:rPr>
                <w:rFonts w:ascii="Calibri" w:cs="Calibri" w:eastAsia="Calibri" w:hAnsi="Calibri"/>
                <w:sz w:val="17"/>
                <w:szCs w:val="17"/>
                <w:color w:val="auto"/>
              </w:rPr>
              <w:t>SME - Pyme</w:t>
            </w:r>
          </w:p>
        </w:tc>
        <w:tc>
          <w:tcPr>
            <w:tcW w:w="1000" w:type="dxa"/>
            <w:vAlign w:val="bottom"/>
          </w:tcPr>
          <w:p>
            <w:pPr>
              <w:jc w:val="center"/>
              <w:spacing w:after="0" w:line="197" w:lineRule="exact"/>
              <w:rPr>
                <w:sz w:val="20"/>
                <w:szCs w:val="20"/>
                <w:color w:val="auto"/>
              </w:rPr>
            </w:pPr>
            <w:r>
              <w:rPr>
                <w:rFonts w:ascii="Calibri" w:cs="Calibri" w:eastAsia="Calibri" w:hAnsi="Calibri"/>
                <w:sz w:val="17"/>
                <w:szCs w:val="17"/>
                <w:color w:val="auto"/>
              </w:rPr>
              <w:t>19,398</w:t>
            </w:r>
          </w:p>
        </w:tc>
        <w:tc>
          <w:tcPr>
            <w:tcW w:w="1000" w:type="dxa"/>
            <w:vAlign w:val="bottom"/>
          </w:tcPr>
          <w:p>
            <w:pPr>
              <w:jc w:val="center"/>
              <w:spacing w:after="0" w:line="197" w:lineRule="exact"/>
              <w:rPr>
                <w:sz w:val="20"/>
                <w:szCs w:val="20"/>
                <w:color w:val="auto"/>
              </w:rPr>
            </w:pPr>
            <w:r>
              <w:rPr>
                <w:rFonts w:ascii="Calibri" w:cs="Calibri" w:eastAsia="Calibri" w:hAnsi="Calibri"/>
                <w:sz w:val="17"/>
                <w:szCs w:val="17"/>
                <w:color w:val="auto"/>
              </w:rPr>
              <w:t>17,947</w:t>
            </w:r>
          </w:p>
        </w:tc>
        <w:tc>
          <w:tcPr>
            <w:tcW w:w="100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7"/>
              </w:rPr>
              <w:t>16,996</w:t>
            </w:r>
          </w:p>
        </w:tc>
        <w:tc>
          <w:tcPr>
            <w:tcW w:w="800" w:type="dxa"/>
            <w:vAlign w:val="bottom"/>
            <w:shd w:val="clear" w:color="auto" w:fill="E93CAC"/>
          </w:tcPr>
          <w:p>
            <w:pPr>
              <w:jc w:val="center"/>
              <w:spacing w:after="0" w:line="197" w:lineRule="exact"/>
              <w:rPr>
                <w:sz w:val="20"/>
                <w:szCs w:val="20"/>
                <w:color w:val="auto"/>
              </w:rPr>
            </w:pPr>
            <w:r>
              <w:rPr>
                <w:rFonts w:ascii="Calibri" w:cs="Calibri" w:eastAsia="Calibri" w:hAnsi="Calibri"/>
                <w:sz w:val="17"/>
                <w:szCs w:val="17"/>
                <w:color w:val="auto"/>
              </w:rPr>
              <w:t>-951</w:t>
            </w:r>
          </w:p>
        </w:tc>
        <w:tc>
          <w:tcPr>
            <w:tcW w:w="840" w:type="dxa"/>
            <w:vAlign w:val="bottom"/>
            <w:tcBorders>
              <w:right w:val="single" w:sz="8" w:color="auto"/>
            </w:tcBorders>
            <w:shd w:val="clear" w:color="auto" w:fill="E93CAC"/>
          </w:tcPr>
          <w:p>
            <w:pPr>
              <w:jc w:val="center"/>
              <w:spacing w:after="0" w:line="197" w:lineRule="exact"/>
              <w:rPr>
                <w:sz w:val="20"/>
                <w:szCs w:val="20"/>
                <w:color w:val="auto"/>
              </w:rPr>
            </w:pPr>
            <w:r>
              <w:rPr>
                <w:rFonts w:ascii="Calibri" w:cs="Calibri" w:eastAsia="Calibri" w:hAnsi="Calibri"/>
                <w:sz w:val="17"/>
                <w:szCs w:val="17"/>
                <w:color w:val="auto"/>
              </w:rPr>
              <w:t>-2,402</w:t>
            </w:r>
          </w:p>
        </w:tc>
        <w:tc>
          <w:tcPr>
            <w:tcW w:w="760" w:type="dxa"/>
            <w:vAlign w:val="bottom"/>
          </w:tcPr>
          <w:p>
            <w:pPr>
              <w:jc w:val="center"/>
              <w:spacing w:after="0" w:line="197" w:lineRule="exact"/>
              <w:rPr>
                <w:sz w:val="20"/>
                <w:szCs w:val="20"/>
                <w:color w:val="auto"/>
              </w:rPr>
            </w:pPr>
            <w:r>
              <w:rPr>
                <w:rFonts w:ascii="Calibri" w:cs="Calibri" w:eastAsia="Calibri" w:hAnsi="Calibri"/>
                <w:sz w:val="17"/>
                <w:szCs w:val="17"/>
                <w:color w:val="auto"/>
                <w:w w:val="97"/>
              </w:rPr>
              <w:t>-5.3%</w:t>
            </w:r>
          </w:p>
        </w:tc>
        <w:tc>
          <w:tcPr>
            <w:tcW w:w="88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6"/>
              </w:rPr>
              <w:t>-12.4%</w:t>
            </w:r>
          </w:p>
        </w:tc>
        <w:tc>
          <w:tcPr>
            <w:tcW w:w="900" w:type="dxa"/>
            <w:vAlign w:val="bottom"/>
          </w:tcPr>
          <w:p>
            <w:pPr>
              <w:jc w:val="center"/>
              <w:spacing w:after="0" w:line="197" w:lineRule="exact"/>
              <w:rPr>
                <w:sz w:val="20"/>
                <w:szCs w:val="20"/>
                <w:color w:val="auto"/>
              </w:rPr>
            </w:pPr>
            <w:r>
              <w:rPr>
                <w:rFonts w:ascii="Calibri" w:cs="Calibri" w:eastAsia="Calibri" w:hAnsi="Calibri"/>
                <w:sz w:val="17"/>
                <w:szCs w:val="17"/>
                <w:color w:val="auto"/>
                <w:w w:val="99"/>
              </w:rPr>
              <w:t>13.6%</w:t>
            </w:r>
          </w:p>
        </w:tc>
        <w:tc>
          <w:tcPr>
            <w:tcW w:w="900" w:type="dxa"/>
            <w:vAlign w:val="bottom"/>
          </w:tcPr>
          <w:p>
            <w:pPr>
              <w:jc w:val="center"/>
              <w:spacing w:after="0" w:line="197" w:lineRule="exact"/>
              <w:rPr>
                <w:sz w:val="20"/>
                <w:szCs w:val="20"/>
                <w:color w:val="auto"/>
              </w:rPr>
            </w:pPr>
            <w:r>
              <w:rPr>
                <w:rFonts w:ascii="Calibri" w:cs="Calibri" w:eastAsia="Calibri" w:hAnsi="Calibri"/>
                <w:sz w:val="17"/>
                <w:szCs w:val="17"/>
                <w:color w:val="auto"/>
                <w:w w:val="99"/>
              </w:rPr>
              <w:t>12.1%</w:t>
            </w:r>
          </w:p>
        </w:tc>
        <w:tc>
          <w:tcPr>
            <w:tcW w:w="90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9"/>
              </w:rPr>
              <w:t>11.7%</w:t>
            </w:r>
          </w:p>
        </w:tc>
        <w:tc>
          <w:tcPr>
            <w:tcW w:w="0" w:type="dxa"/>
            <w:vAlign w:val="bottom"/>
          </w:tcPr>
          <w:p>
            <w:pPr>
              <w:spacing w:after="0"/>
              <w:rPr>
                <w:sz w:val="1"/>
                <w:szCs w:val="1"/>
                <w:color w:val="auto"/>
              </w:rPr>
            </w:pPr>
          </w:p>
        </w:tc>
      </w:tr>
      <w:tr>
        <w:trPr>
          <w:trHeight w:val="184"/>
        </w:trPr>
        <w:tc>
          <w:tcPr>
            <w:tcW w:w="2280" w:type="dxa"/>
            <w:vAlign w:val="bottom"/>
            <w:tcBorders>
              <w:left w:val="single" w:sz="8" w:color="auto"/>
              <w:right w:val="single" w:sz="8" w:color="auto"/>
            </w:tcBorders>
          </w:tcPr>
          <w:p>
            <w:pPr>
              <w:ind w:left="280"/>
              <w:spacing w:after="0" w:line="184" w:lineRule="exact"/>
              <w:rPr>
                <w:sz w:val="20"/>
                <w:szCs w:val="20"/>
                <w:color w:val="auto"/>
              </w:rPr>
            </w:pPr>
            <w:r>
              <w:rPr>
                <w:rFonts w:ascii="Calibri" w:cs="Calibri" w:eastAsia="Calibri" w:hAnsi="Calibri"/>
                <w:sz w:val="17"/>
                <w:szCs w:val="17"/>
                <w:color w:val="auto"/>
              </w:rPr>
              <w:t>Mortgage</w:t>
            </w:r>
          </w:p>
        </w:tc>
        <w:tc>
          <w:tcPr>
            <w:tcW w:w="1000" w:type="dxa"/>
            <w:vAlign w:val="bottom"/>
          </w:tcPr>
          <w:p>
            <w:pPr>
              <w:jc w:val="center"/>
              <w:spacing w:after="0" w:line="184" w:lineRule="exact"/>
              <w:rPr>
                <w:sz w:val="20"/>
                <w:szCs w:val="20"/>
                <w:color w:val="auto"/>
              </w:rPr>
            </w:pPr>
            <w:r>
              <w:rPr>
                <w:rFonts w:ascii="Calibri" w:cs="Calibri" w:eastAsia="Calibri" w:hAnsi="Calibri"/>
                <w:sz w:val="17"/>
                <w:szCs w:val="17"/>
                <w:color w:val="auto"/>
              </w:rPr>
              <w:t>18,830</w:t>
            </w:r>
          </w:p>
        </w:tc>
        <w:tc>
          <w:tcPr>
            <w:tcW w:w="1000" w:type="dxa"/>
            <w:vAlign w:val="bottom"/>
          </w:tcPr>
          <w:p>
            <w:pPr>
              <w:jc w:val="center"/>
              <w:spacing w:after="0" w:line="184" w:lineRule="exact"/>
              <w:rPr>
                <w:sz w:val="20"/>
                <w:szCs w:val="20"/>
                <w:color w:val="auto"/>
              </w:rPr>
            </w:pPr>
            <w:r>
              <w:rPr>
                <w:rFonts w:ascii="Calibri" w:cs="Calibri" w:eastAsia="Calibri" w:hAnsi="Calibri"/>
                <w:sz w:val="17"/>
                <w:szCs w:val="17"/>
                <w:color w:val="auto"/>
              </w:rPr>
              <w:t>20,073</w:t>
            </w:r>
          </w:p>
        </w:tc>
        <w:tc>
          <w:tcPr>
            <w:tcW w:w="100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color w:val="auto"/>
                <w:w w:val="97"/>
              </w:rPr>
              <w:t>20,282</w:t>
            </w:r>
          </w:p>
        </w:tc>
        <w:tc>
          <w:tcPr>
            <w:tcW w:w="800" w:type="dxa"/>
            <w:vAlign w:val="bottom"/>
          </w:tcPr>
          <w:p>
            <w:pPr>
              <w:jc w:val="center"/>
              <w:spacing w:after="0" w:line="184" w:lineRule="exact"/>
              <w:rPr>
                <w:sz w:val="20"/>
                <w:szCs w:val="20"/>
                <w:color w:val="auto"/>
              </w:rPr>
            </w:pPr>
            <w:r>
              <w:rPr>
                <w:rFonts w:ascii="Calibri" w:cs="Calibri" w:eastAsia="Calibri" w:hAnsi="Calibri"/>
                <w:sz w:val="17"/>
                <w:szCs w:val="17"/>
                <w:color w:val="auto"/>
                <w:w w:val="92"/>
              </w:rPr>
              <w:t>209</w:t>
            </w:r>
          </w:p>
        </w:tc>
        <w:tc>
          <w:tcPr>
            <w:tcW w:w="840" w:type="dxa"/>
            <w:vAlign w:val="bottom"/>
            <w:tcBorders>
              <w:right w:val="single" w:sz="8" w:color="auto"/>
            </w:tcBorders>
            <w:shd w:val="clear" w:color="auto" w:fill="26D07C"/>
          </w:tcPr>
          <w:p>
            <w:pPr>
              <w:jc w:val="center"/>
              <w:spacing w:after="0" w:line="184" w:lineRule="exact"/>
              <w:rPr>
                <w:sz w:val="20"/>
                <w:szCs w:val="20"/>
                <w:color w:val="auto"/>
              </w:rPr>
            </w:pPr>
            <w:r>
              <w:rPr>
                <w:rFonts w:ascii="Calibri" w:cs="Calibri" w:eastAsia="Calibri" w:hAnsi="Calibri"/>
                <w:sz w:val="17"/>
                <w:szCs w:val="17"/>
                <w:color w:val="auto"/>
              </w:rPr>
              <w:t>1,452</w:t>
            </w:r>
          </w:p>
        </w:tc>
        <w:tc>
          <w:tcPr>
            <w:tcW w:w="760" w:type="dxa"/>
            <w:vAlign w:val="bottom"/>
          </w:tcPr>
          <w:p>
            <w:pPr>
              <w:jc w:val="center"/>
              <w:spacing w:after="0" w:line="184" w:lineRule="exact"/>
              <w:rPr>
                <w:sz w:val="20"/>
                <w:szCs w:val="20"/>
                <w:color w:val="auto"/>
              </w:rPr>
            </w:pPr>
            <w:r>
              <w:rPr>
                <w:rFonts w:ascii="Calibri" w:cs="Calibri" w:eastAsia="Calibri" w:hAnsi="Calibri"/>
                <w:sz w:val="17"/>
                <w:szCs w:val="17"/>
                <w:color w:val="auto"/>
              </w:rPr>
              <w:t>1.0%</w:t>
            </w:r>
          </w:p>
        </w:tc>
        <w:tc>
          <w:tcPr>
            <w:tcW w:w="88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color w:val="auto"/>
              </w:rPr>
              <w:t>7.7%</w:t>
            </w:r>
          </w:p>
        </w:tc>
        <w:tc>
          <w:tcPr>
            <w:tcW w:w="900" w:type="dxa"/>
            <w:vAlign w:val="bottom"/>
          </w:tcPr>
          <w:p>
            <w:pPr>
              <w:jc w:val="center"/>
              <w:spacing w:after="0" w:line="184" w:lineRule="exact"/>
              <w:rPr>
                <w:sz w:val="20"/>
                <w:szCs w:val="20"/>
                <w:color w:val="auto"/>
              </w:rPr>
            </w:pPr>
            <w:r>
              <w:rPr>
                <w:rFonts w:ascii="Calibri" w:cs="Calibri" w:eastAsia="Calibri" w:hAnsi="Calibri"/>
                <w:sz w:val="17"/>
                <w:szCs w:val="17"/>
                <w:color w:val="auto"/>
                <w:w w:val="99"/>
              </w:rPr>
              <w:t>13.2%</w:t>
            </w:r>
          </w:p>
        </w:tc>
        <w:tc>
          <w:tcPr>
            <w:tcW w:w="900" w:type="dxa"/>
            <w:vAlign w:val="bottom"/>
          </w:tcPr>
          <w:p>
            <w:pPr>
              <w:jc w:val="center"/>
              <w:spacing w:after="0" w:line="184" w:lineRule="exact"/>
              <w:rPr>
                <w:sz w:val="20"/>
                <w:szCs w:val="20"/>
                <w:color w:val="auto"/>
              </w:rPr>
            </w:pPr>
            <w:r>
              <w:rPr>
                <w:rFonts w:ascii="Calibri" w:cs="Calibri" w:eastAsia="Calibri" w:hAnsi="Calibri"/>
                <w:sz w:val="17"/>
                <w:szCs w:val="17"/>
                <w:color w:val="auto"/>
                <w:w w:val="99"/>
              </w:rPr>
              <w:t>13.5%</w:t>
            </w:r>
          </w:p>
        </w:tc>
        <w:tc>
          <w:tcPr>
            <w:tcW w:w="90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color w:val="auto"/>
                <w:w w:val="99"/>
              </w:rPr>
              <w:t>14.0%</w:t>
            </w:r>
          </w:p>
        </w:tc>
        <w:tc>
          <w:tcPr>
            <w:tcW w:w="0" w:type="dxa"/>
            <w:vAlign w:val="bottom"/>
          </w:tcPr>
          <w:p>
            <w:pPr>
              <w:spacing w:after="0"/>
              <w:rPr>
                <w:sz w:val="1"/>
                <w:szCs w:val="1"/>
                <w:color w:val="auto"/>
              </w:rPr>
            </w:pPr>
          </w:p>
        </w:tc>
      </w:tr>
      <w:tr>
        <w:trPr>
          <w:trHeight w:val="197"/>
        </w:trPr>
        <w:tc>
          <w:tcPr>
            <w:tcW w:w="2280" w:type="dxa"/>
            <w:vAlign w:val="bottom"/>
            <w:tcBorders>
              <w:left w:val="single" w:sz="8" w:color="auto"/>
              <w:right w:val="single" w:sz="8" w:color="auto"/>
            </w:tcBorders>
          </w:tcPr>
          <w:p>
            <w:pPr>
              <w:ind w:left="280"/>
              <w:spacing w:after="0" w:line="197" w:lineRule="exact"/>
              <w:rPr>
                <w:sz w:val="20"/>
                <w:szCs w:val="20"/>
                <w:color w:val="auto"/>
              </w:rPr>
            </w:pPr>
            <w:r>
              <w:rPr>
                <w:rFonts w:ascii="Calibri" w:cs="Calibri" w:eastAsia="Calibri" w:hAnsi="Calibri"/>
                <w:sz w:val="17"/>
                <w:szCs w:val="17"/>
                <w:color w:val="auto"/>
              </w:rPr>
              <w:t>Consumer</w:t>
            </w:r>
          </w:p>
        </w:tc>
        <w:tc>
          <w:tcPr>
            <w:tcW w:w="1000" w:type="dxa"/>
            <w:vAlign w:val="bottom"/>
          </w:tcPr>
          <w:p>
            <w:pPr>
              <w:jc w:val="center"/>
              <w:spacing w:after="0" w:line="197" w:lineRule="exact"/>
              <w:rPr>
                <w:sz w:val="20"/>
                <w:szCs w:val="20"/>
                <w:color w:val="auto"/>
              </w:rPr>
            </w:pPr>
            <w:r>
              <w:rPr>
                <w:rFonts w:ascii="Calibri" w:cs="Calibri" w:eastAsia="Calibri" w:hAnsi="Calibri"/>
                <w:sz w:val="17"/>
                <w:szCs w:val="17"/>
                <w:color w:val="auto"/>
              </w:rPr>
              <w:t>10,975</w:t>
            </w:r>
          </w:p>
        </w:tc>
        <w:tc>
          <w:tcPr>
            <w:tcW w:w="1000" w:type="dxa"/>
            <w:vAlign w:val="bottom"/>
          </w:tcPr>
          <w:p>
            <w:pPr>
              <w:jc w:val="center"/>
              <w:spacing w:after="0" w:line="197" w:lineRule="exact"/>
              <w:rPr>
                <w:sz w:val="20"/>
                <w:szCs w:val="20"/>
                <w:color w:val="auto"/>
              </w:rPr>
            </w:pPr>
            <w:r>
              <w:rPr>
                <w:rFonts w:ascii="Calibri" w:cs="Calibri" w:eastAsia="Calibri" w:hAnsi="Calibri"/>
                <w:sz w:val="17"/>
                <w:szCs w:val="17"/>
                <w:color w:val="auto"/>
              </w:rPr>
              <w:t>12,738</w:t>
            </w:r>
          </w:p>
        </w:tc>
        <w:tc>
          <w:tcPr>
            <w:tcW w:w="100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7"/>
              </w:rPr>
              <w:t>12,984</w:t>
            </w:r>
          </w:p>
        </w:tc>
        <w:tc>
          <w:tcPr>
            <w:tcW w:w="800" w:type="dxa"/>
            <w:vAlign w:val="bottom"/>
          </w:tcPr>
          <w:p>
            <w:pPr>
              <w:jc w:val="center"/>
              <w:spacing w:after="0" w:line="197" w:lineRule="exact"/>
              <w:rPr>
                <w:sz w:val="20"/>
                <w:szCs w:val="20"/>
                <w:color w:val="auto"/>
              </w:rPr>
            </w:pPr>
            <w:r>
              <w:rPr>
                <w:rFonts w:ascii="Calibri" w:cs="Calibri" w:eastAsia="Calibri" w:hAnsi="Calibri"/>
                <w:sz w:val="17"/>
                <w:szCs w:val="17"/>
                <w:color w:val="auto"/>
                <w:w w:val="92"/>
              </w:rPr>
              <w:t>247</w:t>
            </w:r>
          </w:p>
        </w:tc>
        <w:tc>
          <w:tcPr>
            <w:tcW w:w="840" w:type="dxa"/>
            <w:vAlign w:val="bottom"/>
            <w:tcBorders>
              <w:right w:val="single" w:sz="8" w:color="auto"/>
            </w:tcBorders>
            <w:shd w:val="clear" w:color="auto" w:fill="26D07C"/>
          </w:tcPr>
          <w:p>
            <w:pPr>
              <w:jc w:val="center"/>
              <w:spacing w:after="0" w:line="197" w:lineRule="exact"/>
              <w:rPr>
                <w:sz w:val="20"/>
                <w:szCs w:val="20"/>
                <w:color w:val="auto"/>
              </w:rPr>
            </w:pPr>
            <w:r>
              <w:rPr>
                <w:rFonts w:ascii="Calibri" w:cs="Calibri" w:eastAsia="Calibri" w:hAnsi="Calibri"/>
                <w:sz w:val="17"/>
                <w:szCs w:val="17"/>
                <w:color w:val="auto"/>
              </w:rPr>
              <w:t>2,009</w:t>
            </w:r>
          </w:p>
        </w:tc>
        <w:tc>
          <w:tcPr>
            <w:tcW w:w="760" w:type="dxa"/>
            <w:vAlign w:val="bottom"/>
          </w:tcPr>
          <w:p>
            <w:pPr>
              <w:jc w:val="center"/>
              <w:spacing w:after="0" w:line="197" w:lineRule="exact"/>
              <w:rPr>
                <w:sz w:val="20"/>
                <w:szCs w:val="20"/>
                <w:color w:val="auto"/>
              </w:rPr>
            </w:pPr>
            <w:r>
              <w:rPr>
                <w:rFonts w:ascii="Calibri" w:cs="Calibri" w:eastAsia="Calibri" w:hAnsi="Calibri"/>
                <w:sz w:val="17"/>
                <w:szCs w:val="17"/>
                <w:color w:val="auto"/>
              </w:rPr>
              <w:t>1.9%</w:t>
            </w:r>
          </w:p>
        </w:tc>
        <w:tc>
          <w:tcPr>
            <w:tcW w:w="88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9"/>
              </w:rPr>
              <w:t>18.3%</w:t>
            </w:r>
          </w:p>
        </w:tc>
        <w:tc>
          <w:tcPr>
            <w:tcW w:w="900" w:type="dxa"/>
            <w:vAlign w:val="bottom"/>
          </w:tcPr>
          <w:p>
            <w:pPr>
              <w:jc w:val="center"/>
              <w:spacing w:after="0" w:line="197" w:lineRule="exact"/>
              <w:rPr>
                <w:sz w:val="20"/>
                <w:szCs w:val="20"/>
                <w:color w:val="auto"/>
              </w:rPr>
            </w:pPr>
            <w:r>
              <w:rPr>
                <w:rFonts w:ascii="Calibri" w:cs="Calibri" w:eastAsia="Calibri" w:hAnsi="Calibri"/>
                <w:sz w:val="17"/>
                <w:szCs w:val="17"/>
                <w:color w:val="auto"/>
              </w:rPr>
              <w:t>7.7%</w:t>
            </w:r>
          </w:p>
        </w:tc>
        <w:tc>
          <w:tcPr>
            <w:tcW w:w="900" w:type="dxa"/>
            <w:vAlign w:val="bottom"/>
          </w:tcPr>
          <w:p>
            <w:pPr>
              <w:jc w:val="center"/>
              <w:spacing w:after="0" w:line="197" w:lineRule="exact"/>
              <w:rPr>
                <w:sz w:val="20"/>
                <w:szCs w:val="20"/>
                <w:color w:val="auto"/>
              </w:rPr>
            </w:pPr>
            <w:r>
              <w:rPr>
                <w:rFonts w:ascii="Calibri" w:cs="Calibri" w:eastAsia="Calibri" w:hAnsi="Calibri"/>
                <w:sz w:val="17"/>
                <w:szCs w:val="17"/>
                <w:color w:val="auto"/>
              </w:rPr>
              <w:t>8.6%</w:t>
            </w:r>
          </w:p>
        </w:tc>
        <w:tc>
          <w:tcPr>
            <w:tcW w:w="90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4"/>
              </w:rPr>
              <w:t>9.0%</w:t>
            </w:r>
          </w:p>
        </w:tc>
        <w:tc>
          <w:tcPr>
            <w:tcW w:w="0" w:type="dxa"/>
            <w:vAlign w:val="bottom"/>
          </w:tcPr>
          <w:p>
            <w:pPr>
              <w:spacing w:after="0"/>
              <w:rPr>
                <w:sz w:val="1"/>
                <w:szCs w:val="1"/>
                <w:color w:val="auto"/>
              </w:rPr>
            </w:pPr>
          </w:p>
        </w:tc>
      </w:tr>
      <w:tr>
        <w:trPr>
          <w:trHeight w:val="212"/>
        </w:trPr>
        <w:tc>
          <w:tcPr>
            <w:tcW w:w="2280" w:type="dxa"/>
            <w:vAlign w:val="bottom"/>
            <w:tcBorders>
              <w:left w:val="single" w:sz="8" w:color="auto"/>
              <w:right w:val="single" w:sz="8" w:color="auto"/>
            </w:tcBorders>
          </w:tcPr>
          <w:p>
            <w:pPr>
              <w:ind w:left="280"/>
              <w:spacing w:after="0" w:line="205" w:lineRule="exact"/>
              <w:rPr>
                <w:sz w:val="20"/>
                <w:szCs w:val="20"/>
                <w:color w:val="auto"/>
              </w:rPr>
            </w:pPr>
            <w:r>
              <w:rPr>
                <w:rFonts w:ascii="Calibri" w:cs="Calibri" w:eastAsia="Calibri" w:hAnsi="Calibri"/>
                <w:sz w:val="17"/>
                <w:szCs w:val="17"/>
                <w:color w:val="auto"/>
              </w:rPr>
              <w:t>Credit Card</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w w:val="97"/>
              </w:rPr>
              <w:t>4,032</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color w:val="auto"/>
              </w:rPr>
              <w:t>5,126</w:t>
            </w:r>
          </w:p>
        </w:tc>
        <w:tc>
          <w:tcPr>
            <w:tcW w:w="100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7"/>
              </w:rPr>
              <w:t>5,420</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294</w:t>
            </w:r>
          </w:p>
        </w:tc>
        <w:tc>
          <w:tcPr>
            <w:tcW w:w="840" w:type="dxa"/>
            <w:vAlign w:val="bottom"/>
            <w:tcBorders>
              <w:bottom w:val="single" w:sz="8" w:color="26D07C"/>
              <w:right w:val="single" w:sz="8" w:color="auto"/>
            </w:tcBorders>
            <w:shd w:val="clear" w:color="auto" w:fill="26D07C"/>
          </w:tcPr>
          <w:p>
            <w:pPr>
              <w:jc w:val="center"/>
              <w:spacing w:after="0" w:line="205" w:lineRule="exact"/>
              <w:rPr>
                <w:sz w:val="20"/>
                <w:szCs w:val="20"/>
                <w:color w:val="auto"/>
              </w:rPr>
            </w:pPr>
            <w:r>
              <w:rPr>
                <w:rFonts w:ascii="Calibri" w:cs="Calibri" w:eastAsia="Calibri" w:hAnsi="Calibri"/>
                <w:sz w:val="17"/>
                <w:szCs w:val="17"/>
                <w:color w:val="auto"/>
              </w:rPr>
              <w:t>1,388</w:t>
            </w:r>
          </w:p>
        </w:tc>
        <w:tc>
          <w:tcPr>
            <w:tcW w:w="760" w:type="dxa"/>
            <w:vAlign w:val="bottom"/>
          </w:tcPr>
          <w:p>
            <w:pPr>
              <w:jc w:val="center"/>
              <w:spacing w:after="0" w:line="205" w:lineRule="exact"/>
              <w:rPr>
                <w:sz w:val="20"/>
                <w:szCs w:val="20"/>
                <w:color w:val="auto"/>
              </w:rPr>
            </w:pPr>
            <w:r>
              <w:rPr>
                <w:rFonts w:ascii="Calibri" w:cs="Calibri" w:eastAsia="Calibri" w:hAnsi="Calibri"/>
                <w:sz w:val="17"/>
                <w:szCs w:val="17"/>
                <w:color w:val="auto"/>
              </w:rPr>
              <w:t>5.7%</w:t>
            </w:r>
          </w:p>
        </w:tc>
        <w:tc>
          <w:tcPr>
            <w:tcW w:w="88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9"/>
              </w:rPr>
              <w:t>34.4%</w:t>
            </w:r>
          </w:p>
        </w:tc>
        <w:tc>
          <w:tcPr>
            <w:tcW w:w="900" w:type="dxa"/>
            <w:vAlign w:val="bottom"/>
          </w:tcPr>
          <w:p>
            <w:pPr>
              <w:jc w:val="center"/>
              <w:spacing w:after="0" w:line="205" w:lineRule="exact"/>
              <w:rPr>
                <w:sz w:val="20"/>
                <w:szCs w:val="20"/>
                <w:color w:val="auto"/>
              </w:rPr>
            </w:pPr>
            <w:r>
              <w:rPr>
                <w:rFonts w:ascii="Calibri" w:cs="Calibri" w:eastAsia="Calibri" w:hAnsi="Calibri"/>
                <w:sz w:val="17"/>
                <w:szCs w:val="17"/>
                <w:color w:val="auto"/>
              </w:rPr>
              <w:t>2.8%</w:t>
            </w:r>
          </w:p>
        </w:tc>
        <w:tc>
          <w:tcPr>
            <w:tcW w:w="900" w:type="dxa"/>
            <w:vAlign w:val="bottom"/>
          </w:tcPr>
          <w:p>
            <w:pPr>
              <w:jc w:val="center"/>
              <w:spacing w:after="0" w:line="205" w:lineRule="exact"/>
              <w:rPr>
                <w:sz w:val="20"/>
                <w:szCs w:val="20"/>
                <w:color w:val="auto"/>
              </w:rPr>
            </w:pPr>
            <w:r>
              <w:rPr>
                <w:rFonts w:ascii="Calibri" w:cs="Calibri" w:eastAsia="Calibri" w:hAnsi="Calibri"/>
                <w:sz w:val="17"/>
                <w:szCs w:val="17"/>
                <w:color w:val="auto"/>
              </w:rPr>
              <w:t>3.5%</w:t>
            </w:r>
          </w:p>
        </w:tc>
        <w:tc>
          <w:tcPr>
            <w:tcW w:w="90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4"/>
              </w:rPr>
              <w:t>3.7%</w:t>
            </w:r>
          </w:p>
        </w:tc>
        <w:tc>
          <w:tcPr>
            <w:tcW w:w="0" w:type="dxa"/>
            <w:vAlign w:val="bottom"/>
          </w:tcPr>
          <w:p>
            <w:pPr>
              <w:spacing w:after="0"/>
              <w:rPr>
                <w:sz w:val="1"/>
                <w:szCs w:val="1"/>
                <w:color w:val="auto"/>
              </w:rPr>
            </w:pPr>
          </w:p>
        </w:tc>
      </w:tr>
      <w:tr>
        <w:trPr>
          <w:trHeight w:val="184"/>
        </w:trPr>
        <w:tc>
          <w:tcPr>
            <w:tcW w:w="2280" w:type="dxa"/>
            <w:vAlign w:val="bottom"/>
            <w:tcBorders>
              <w:left w:val="single" w:sz="8" w:color="auto"/>
              <w:right w:val="single" w:sz="8" w:color="auto"/>
            </w:tcBorders>
          </w:tcPr>
          <w:p>
            <w:pPr>
              <w:ind w:left="20"/>
              <w:spacing w:after="0" w:line="176" w:lineRule="exact"/>
              <w:rPr>
                <w:sz w:val="20"/>
                <w:szCs w:val="20"/>
                <w:color w:val="auto"/>
              </w:rPr>
            </w:pPr>
            <w:r>
              <w:rPr>
                <w:rFonts w:ascii="Calibri" w:cs="Calibri" w:eastAsia="Calibri" w:hAnsi="Calibri"/>
                <w:sz w:val="17"/>
                <w:szCs w:val="17"/>
                <w:b w:val="1"/>
                <w:bCs w:val="1"/>
                <w:color w:val="auto"/>
              </w:rPr>
              <w:t>Mibanco</w:t>
            </w:r>
          </w:p>
        </w:tc>
        <w:tc>
          <w:tcPr>
            <w:tcW w:w="1000" w:type="dxa"/>
            <w:vAlign w:val="bottom"/>
          </w:tcPr>
          <w:p>
            <w:pPr>
              <w:jc w:val="center"/>
              <w:spacing w:after="0" w:line="176" w:lineRule="exact"/>
              <w:rPr>
                <w:sz w:val="20"/>
                <w:szCs w:val="20"/>
                <w:color w:val="auto"/>
              </w:rPr>
            </w:pPr>
            <w:r>
              <w:rPr>
                <w:rFonts w:ascii="Calibri" w:cs="Calibri" w:eastAsia="Calibri" w:hAnsi="Calibri"/>
                <w:sz w:val="17"/>
                <w:szCs w:val="17"/>
                <w:b w:val="1"/>
                <w:bCs w:val="1"/>
                <w:color w:val="auto"/>
              </w:rPr>
              <w:t>13,582</w:t>
            </w:r>
          </w:p>
        </w:tc>
        <w:tc>
          <w:tcPr>
            <w:tcW w:w="1000" w:type="dxa"/>
            <w:vAlign w:val="bottom"/>
          </w:tcPr>
          <w:p>
            <w:pPr>
              <w:jc w:val="center"/>
              <w:spacing w:after="0" w:line="176" w:lineRule="exact"/>
              <w:rPr>
                <w:sz w:val="20"/>
                <w:szCs w:val="20"/>
                <w:color w:val="auto"/>
              </w:rPr>
            </w:pPr>
            <w:r>
              <w:rPr>
                <w:rFonts w:ascii="Calibri" w:cs="Calibri" w:eastAsia="Calibri" w:hAnsi="Calibri"/>
                <w:sz w:val="17"/>
                <w:szCs w:val="17"/>
                <w:b w:val="1"/>
                <w:bCs w:val="1"/>
                <w:color w:val="auto"/>
              </w:rPr>
              <w:t>14,261</w:t>
            </w:r>
          </w:p>
        </w:tc>
        <w:tc>
          <w:tcPr>
            <w:tcW w:w="1000" w:type="dxa"/>
            <w:vAlign w:val="bottom"/>
            <w:tcBorders>
              <w:right w:val="single" w:sz="8" w:color="auto"/>
            </w:tcBorders>
          </w:tcPr>
          <w:p>
            <w:pPr>
              <w:jc w:val="center"/>
              <w:spacing w:after="0" w:line="176" w:lineRule="exact"/>
              <w:rPr>
                <w:sz w:val="20"/>
                <w:szCs w:val="20"/>
                <w:color w:val="auto"/>
              </w:rPr>
            </w:pPr>
            <w:r>
              <w:rPr>
                <w:rFonts w:ascii="Calibri" w:cs="Calibri" w:eastAsia="Calibri" w:hAnsi="Calibri"/>
                <w:sz w:val="17"/>
                <w:szCs w:val="17"/>
                <w:b w:val="1"/>
                <w:bCs w:val="1"/>
                <w:color w:val="auto"/>
                <w:w w:val="96"/>
              </w:rPr>
              <w:t>14,098</w:t>
            </w:r>
          </w:p>
        </w:tc>
        <w:tc>
          <w:tcPr>
            <w:tcW w:w="800" w:type="dxa"/>
            <w:vAlign w:val="bottom"/>
          </w:tcPr>
          <w:p>
            <w:pPr>
              <w:jc w:val="center"/>
              <w:spacing w:after="0" w:line="176" w:lineRule="exact"/>
              <w:rPr>
                <w:sz w:val="20"/>
                <w:szCs w:val="20"/>
                <w:color w:val="auto"/>
              </w:rPr>
            </w:pPr>
            <w:r>
              <w:rPr>
                <w:rFonts w:ascii="Calibri" w:cs="Calibri" w:eastAsia="Calibri" w:hAnsi="Calibri"/>
                <w:sz w:val="17"/>
                <w:szCs w:val="17"/>
                <w:b w:val="1"/>
                <w:bCs w:val="1"/>
                <w:color w:val="auto"/>
              </w:rPr>
              <w:t>-163</w:t>
            </w:r>
          </w:p>
        </w:tc>
        <w:tc>
          <w:tcPr>
            <w:tcW w:w="84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2"/>
              </w:rPr>
              <w:t>516</w:t>
            </w:r>
          </w:p>
        </w:tc>
        <w:tc>
          <w:tcPr>
            <w:tcW w:w="760" w:type="dxa"/>
            <w:vAlign w:val="bottom"/>
          </w:tcPr>
          <w:p>
            <w:pPr>
              <w:jc w:val="center"/>
              <w:spacing w:after="0" w:line="176" w:lineRule="exact"/>
              <w:rPr>
                <w:sz w:val="20"/>
                <w:szCs w:val="20"/>
                <w:color w:val="auto"/>
              </w:rPr>
            </w:pPr>
            <w:r>
              <w:rPr>
                <w:rFonts w:ascii="Calibri" w:cs="Calibri" w:eastAsia="Calibri" w:hAnsi="Calibri"/>
                <w:sz w:val="17"/>
                <w:szCs w:val="17"/>
                <w:b w:val="1"/>
                <w:bCs w:val="1"/>
                <w:color w:val="auto"/>
              </w:rPr>
              <w:t>-1.1%</w:t>
            </w:r>
          </w:p>
        </w:tc>
        <w:tc>
          <w:tcPr>
            <w:tcW w:w="880" w:type="dxa"/>
            <w:vAlign w:val="bottom"/>
            <w:tcBorders>
              <w:right w:val="single" w:sz="8" w:color="auto"/>
            </w:tcBorders>
          </w:tcPr>
          <w:p>
            <w:pPr>
              <w:jc w:val="center"/>
              <w:spacing w:after="0" w:line="176" w:lineRule="exact"/>
              <w:rPr>
                <w:sz w:val="20"/>
                <w:szCs w:val="20"/>
                <w:color w:val="auto"/>
              </w:rPr>
            </w:pPr>
            <w:r>
              <w:rPr>
                <w:rFonts w:ascii="Calibri" w:cs="Calibri" w:eastAsia="Calibri" w:hAnsi="Calibri"/>
                <w:sz w:val="17"/>
                <w:szCs w:val="17"/>
                <w:b w:val="1"/>
                <w:bCs w:val="1"/>
                <w:color w:val="auto"/>
                <w:w w:val="99"/>
              </w:rPr>
              <w:t>3.8%</w:t>
            </w:r>
          </w:p>
        </w:tc>
        <w:tc>
          <w:tcPr>
            <w:tcW w:w="900" w:type="dxa"/>
            <w:vAlign w:val="bottom"/>
          </w:tcPr>
          <w:p>
            <w:pPr>
              <w:jc w:val="center"/>
              <w:spacing w:after="0" w:line="176" w:lineRule="exact"/>
              <w:rPr>
                <w:sz w:val="20"/>
                <w:szCs w:val="20"/>
                <w:color w:val="auto"/>
              </w:rPr>
            </w:pPr>
            <w:r>
              <w:rPr>
                <w:rFonts w:ascii="Calibri" w:cs="Calibri" w:eastAsia="Calibri" w:hAnsi="Calibri"/>
                <w:sz w:val="17"/>
                <w:szCs w:val="17"/>
                <w:b w:val="1"/>
                <w:bCs w:val="1"/>
                <w:color w:val="auto"/>
                <w:w w:val="99"/>
              </w:rPr>
              <w:t>9.5%</w:t>
            </w:r>
          </w:p>
        </w:tc>
        <w:tc>
          <w:tcPr>
            <w:tcW w:w="900" w:type="dxa"/>
            <w:vAlign w:val="bottom"/>
          </w:tcPr>
          <w:p>
            <w:pPr>
              <w:jc w:val="center"/>
              <w:spacing w:after="0" w:line="176" w:lineRule="exact"/>
              <w:rPr>
                <w:sz w:val="20"/>
                <w:szCs w:val="20"/>
                <w:color w:val="auto"/>
              </w:rPr>
            </w:pPr>
            <w:r>
              <w:rPr>
                <w:rFonts w:ascii="Calibri" w:cs="Calibri" w:eastAsia="Calibri" w:hAnsi="Calibri"/>
                <w:sz w:val="17"/>
                <w:szCs w:val="17"/>
                <w:b w:val="1"/>
                <w:bCs w:val="1"/>
                <w:color w:val="auto"/>
                <w:w w:val="99"/>
              </w:rPr>
              <w:t>9.6%</w:t>
            </w:r>
          </w:p>
        </w:tc>
        <w:tc>
          <w:tcPr>
            <w:tcW w:w="900" w:type="dxa"/>
            <w:vAlign w:val="bottom"/>
            <w:tcBorders>
              <w:right w:val="single" w:sz="8" w:color="auto"/>
            </w:tcBorders>
          </w:tcPr>
          <w:p>
            <w:pPr>
              <w:jc w:val="center"/>
              <w:spacing w:after="0" w:line="176" w:lineRule="exact"/>
              <w:rPr>
                <w:sz w:val="20"/>
                <w:szCs w:val="20"/>
                <w:color w:val="auto"/>
              </w:rPr>
            </w:pPr>
            <w:r>
              <w:rPr>
                <w:rFonts w:ascii="Calibri" w:cs="Calibri" w:eastAsia="Calibri" w:hAnsi="Calibri"/>
                <w:sz w:val="17"/>
                <w:szCs w:val="17"/>
                <w:b w:val="1"/>
                <w:bCs w:val="1"/>
                <w:color w:val="auto"/>
                <w:w w:val="99"/>
              </w:rPr>
              <w:t>9.7%</w:t>
            </w:r>
          </w:p>
        </w:tc>
        <w:tc>
          <w:tcPr>
            <w:tcW w:w="0" w:type="dxa"/>
            <w:vAlign w:val="bottom"/>
          </w:tcPr>
          <w:p>
            <w:pPr>
              <w:spacing w:after="0"/>
              <w:rPr>
                <w:sz w:val="1"/>
                <w:szCs w:val="1"/>
                <w:color w:val="auto"/>
              </w:rPr>
            </w:pPr>
          </w:p>
        </w:tc>
      </w:tr>
      <w:tr>
        <w:trPr>
          <w:trHeight w:val="197"/>
        </w:trPr>
        <w:tc>
          <w:tcPr>
            <w:tcW w:w="2280" w:type="dxa"/>
            <w:vAlign w:val="bottom"/>
            <w:tcBorders>
              <w:left w:val="single" w:sz="8" w:color="auto"/>
              <w:right w:val="single" w:sz="8" w:color="auto"/>
            </w:tcBorders>
          </w:tcPr>
          <w:p>
            <w:pPr>
              <w:ind w:left="20"/>
              <w:spacing w:after="0" w:line="197" w:lineRule="exact"/>
              <w:rPr>
                <w:sz w:val="20"/>
                <w:szCs w:val="20"/>
                <w:color w:val="auto"/>
              </w:rPr>
            </w:pPr>
            <w:r>
              <w:rPr>
                <w:rFonts w:ascii="Calibri" w:cs="Calibri" w:eastAsia="Calibri" w:hAnsi="Calibri"/>
                <w:sz w:val="17"/>
                <w:szCs w:val="17"/>
                <w:b w:val="1"/>
                <w:bCs w:val="1"/>
                <w:color w:val="auto"/>
              </w:rPr>
              <w:t>Mibanco Colombia</w:t>
            </w:r>
          </w:p>
        </w:tc>
        <w:tc>
          <w:tcPr>
            <w:tcW w:w="10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7"/>
              </w:rPr>
              <w:t>1,077</w:t>
            </w:r>
          </w:p>
        </w:tc>
        <w:tc>
          <w:tcPr>
            <w:tcW w:w="10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1,174</w:t>
            </w:r>
          </w:p>
        </w:tc>
        <w:tc>
          <w:tcPr>
            <w:tcW w:w="100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7"/>
              </w:rPr>
              <w:t>1,250</w:t>
            </w:r>
          </w:p>
        </w:tc>
        <w:tc>
          <w:tcPr>
            <w:tcW w:w="8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2"/>
              </w:rPr>
              <w:t>76</w:t>
            </w:r>
          </w:p>
        </w:tc>
        <w:tc>
          <w:tcPr>
            <w:tcW w:w="8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2"/>
              </w:rPr>
              <w:t>173</w:t>
            </w:r>
          </w:p>
        </w:tc>
        <w:tc>
          <w:tcPr>
            <w:tcW w:w="76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9"/>
              </w:rPr>
              <w:t>6.5%</w:t>
            </w:r>
          </w:p>
        </w:tc>
        <w:tc>
          <w:tcPr>
            <w:tcW w:w="88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8"/>
              </w:rPr>
              <w:t>16.0%</w:t>
            </w:r>
          </w:p>
        </w:tc>
        <w:tc>
          <w:tcPr>
            <w:tcW w:w="9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9"/>
              </w:rPr>
              <w:t>0.8%</w:t>
            </w:r>
          </w:p>
        </w:tc>
        <w:tc>
          <w:tcPr>
            <w:tcW w:w="9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9"/>
              </w:rPr>
              <w:t>0.8%</w:t>
            </w:r>
          </w:p>
        </w:tc>
        <w:tc>
          <w:tcPr>
            <w:tcW w:w="90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0.9%</w:t>
            </w:r>
          </w:p>
        </w:tc>
        <w:tc>
          <w:tcPr>
            <w:tcW w:w="0" w:type="dxa"/>
            <w:vAlign w:val="bottom"/>
          </w:tcPr>
          <w:p>
            <w:pPr>
              <w:spacing w:after="0"/>
              <w:rPr>
                <w:sz w:val="1"/>
                <w:szCs w:val="1"/>
                <w:color w:val="auto"/>
              </w:rPr>
            </w:pPr>
          </w:p>
        </w:tc>
      </w:tr>
      <w:tr>
        <w:trPr>
          <w:trHeight w:val="204"/>
        </w:trPr>
        <w:tc>
          <w:tcPr>
            <w:tcW w:w="2280" w:type="dxa"/>
            <w:vAlign w:val="bottom"/>
            <w:tcBorders>
              <w:left w:val="single" w:sz="8" w:color="auto"/>
              <w:right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auto"/>
              </w:rPr>
              <w:t>Bolivia</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97"/>
              </w:rPr>
              <w:t>8,602</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rPr>
              <w:t>9,034</w:t>
            </w:r>
          </w:p>
        </w:tc>
        <w:tc>
          <w:tcPr>
            <w:tcW w:w="100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w w:val="97"/>
              </w:rPr>
              <w:t>8,951</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rPr>
              <w:t>-82</w:t>
            </w:r>
          </w:p>
        </w:tc>
        <w:tc>
          <w:tcPr>
            <w:tcW w:w="84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w w:val="92"/>
              </w:rPr>
              <w:t>349</w:t>
            </w:r>
          </w:p>
        </w:tc>
        <w:tc>
          <w:tcPr>
            <w:tcW w:w="76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rPr>
              <w:t>-0.9%</w:t>
            </w:r>
          </w:p>
        </w:tc>
        <w:tc>
          <w:tcPr>
            <w:tcW w:w="88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w w:val="99"/>
              </w:rPr>
              <w:t>4.1%</w:t>
            </w:r>
          </w:p>
        </w:tc>
        <w:tc>
          <w:tcPr>
            <w:tcW w:w="90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99"/>
              </w:rPr>
              <w:t>6.0%</w:t>
            </w:r>
          </w:p>
        </w:tc>
        <w:tc>
          <w:tcPr>
            <w:tcW w:w="90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99"/>
              </w:rPr>
              <w:t>6.1%</w:t>
            </w:r>
          </w:p>
        </w:tc>
        <w:tc>
          <w:tcPr>
            <w:tcW w:w="90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w w:val="99"/>
              </w:rPr>
              <w:t>6.2%</w:t>
            </w:r>
          </w:p>
        </w:tc>
        <w:tc>
          <w:tcPr>
            <w:tcW w:w="0" w:type="dxa"/>
            <w:vAlign w:val="bottom"/>
          </w:tcPr>
          <w:p>
            <w:pPr>
              <w:spacing w:after="0"/>
              <w:rPr>
                <w:sz w:val="1"/>
                <w:szCs w:val="1"/>
                <w:color w:val="auto"/>
              </w:rPr>
            </w:pPr>
          </w:p>
        </w:tc>
      </w:tr>
      <w:tr>
        <w:trPr>
          <w:trHeight w:val="204"/>
        </w:trPr>
        <w:tc>
          <w:tcPr>
            <w:tcW w:w="2280" w:type="dxa"/>
            <w:vAlign w:val="bottom"/>
            <w:tcBorders>
              <w:left w:val="single" w:sz="8" w:color="auto"/>
              <w:right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auto"/>
              </w:rPr>
              <w:t>ASB</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97"/>
              </w:rPr>
              <w:t>2,103</w:t>
            </w:r>
          </w:p>
        </w:tc>
        <w:tc>
          <w:tcPr>
            <w:tcW w:w="100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rPr>
              <w:t>2,039</w:t>
            </w:r>
          </w:p>
        </w:tc>
        <w:tc>
          <w:tcPr>
            <w:tcW w:w="100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w w:val="97"/>
              </w:rPr>
              <w:t>1,958</w:t>
            </w:r>
          </w:p>
        </w:tc>
        <w:tc>
          <w:tcPr>
            <w:tcW w:w="80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rPr>
              <w:t>-81</w:t>
            </w:r>
          </w:p>
        </w:tc>
        <w:tc>
          <w:tcPr>
            <w:tcW w:w="84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rPr>
              <w:t>-145</w:t>
            </w:r>
          </w:p>
        </w:tc>
        <w:tc>
          <w:tcPr>
            <w:tcW w:w="76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rPr>
              <w:t>-4.0%</w:t>
            </w:r>
          </w:p>
        </w:tc>
        <w:tc>
          <w:tcPr>
            <w:tcW w:w="88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w w:val="96"/>
              </w:rPr>
              <w:t>-6.9%</w:t>
            </w:r>
          </w:p>
        </w:tc>
        <w:tc>
          <w:tcPr>
            <w:tcW w:w="90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99"/>
              </w:rPr>
              <w:t>1.5%</w:t>
            </w:r>
          </w:p>
        </w:tc>
        <w:tc>
          <w:tcPr>
            <w:tcW w:w="90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99"/>
              </w:rPr>
              <w:t>1.4%</w:t>
            </w:r>
          </w:p>
        </w:tc>
        <w:tc>
          <w:tcPr>
            <w:tcW w:w="90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w w:val="99"/>
              </w:rPr>
              <w:t>1.4%</w:t>
            </w:r>
          </w:p>
        </w:tc>
        <w:tc>
          <w:tcPr>
            <w:tcW w:w="0" w:type="dxa"/>
            <w:vAlign w:val="bottom"/>
          </w:tcPr>
          <w:p>
            <w:pPr>
              <w:spacing w:after="0"/>
              <w:rPr>
                <w:sz w:val="1"/>
                <w:szCs w:val="1"/>
                <w:color w:val="auto"/>
              </w:rPr>
            </w:pPr>
          </w:p>
        </w:tc>
      </w:tr>
      <w:tr>
        <w:trPr>
          <w:trHeight w:val="31"/>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280" w:type="dxa"/>
            <w:vAlign w:val="bottom"/>
            <w:tcBorders>
              <w:left w:val="single" w:sz="8" w:color="auto"/>
              <w:bottom w:val="single" w:sz="8" w:color="auto"/>
              <w:right w:val="single" w:sz="8" w:color="auto"/>
            </w:tcBorders>
          </w:tcPr>
          <w:p>
            <w:pPr>
              <w:ind w:left="20"/>
              <w:spacing w:after="0" w:line="197" w:lineRule="exact"/>
              <w:rPr>
                <w:sz w:val="20"/>
                <w:szCs w:val="20"/>
                <w:color w:val="auto"/>
              </w:rPr>
            </w:pPr>
            <w:r>
              <w:rPr>
                <w:rFonts w:ascii="Calibri" w:cs="Calibri" w:eastAsia="Calibri" w:hAnsi="Calibri"/>
                <w:sz w:val="17"/>
                <w:szCs w:val="17"/>
                <w:b w:val="1"/>
                <w:bCs w:val="1"/>
                <w:color w:val="auto"/>
              </w:rPr>
              <w:t>BAP's total loans</w:t>
            </w:r>
          </w:p>
        </w:tc>
        <w:tc>
          <w:tcPr>
            <w:tcW w:w="100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142,713</w:t>
            </w:r>
          </w:p>
        </w:tc>
        <w:tc>
          <w:tcPr>
            <w:tcW w:w="100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148,471</w:t>
            </w:r>
          </w:p>
        </w:tc>
        <w:tc>
          <w:tcPr>
            <w:tcW w:w="1000" w:type="dxa"/>
            <w:vAlign w:val="bottom"/>
            <w:tcBorders>
              <w:bottom w:val="single" w:sz="8" w:color="auto"/>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144,964</w:t>
            </w:r>
          </w:p>
        </w:tc>
        <w:tc>
          <w:tcPr>
            <w:tcW w:w="80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-3,507</w:t>
            </w:r>
          </w:p>
        </w:tc>
        <w:tc>
          <w:tcPr>
            <w:tcW w:w="840" w:type="dxa"/>
            <w:vAlign w:val="bottom"/>
            <w:tcBorders>
              <w:bottom w:val="single" w:sz="8" w:color="auto"/>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rPr>
              <w:t>2,251</w:t>
            </w:r>
          </w:p>
        </w:tc>
        <w:tc>
          <w:tcPr>
            <w:tcW w:w="76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rPr>
              <w:t>-2.4%</w:t>
            </w:r>
          </w:p>
        </w:tc>
        <w:tc>
          <w:tcPr>
            <w:tcW w:w="880" w:type="dxa"/>
            <w:vAlign w:val="bottom"/>
            <w:tcBorders>
              <w:bottom w:val="single" w:sz="8" w:color="auto"/>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1.6%</w:t>
            </w:r>
          </w:p>
        </w:tc>
        <w:tc>
          <w:tcPr>
            <w:tcW w:w="90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7"/>
              </w:rPr>
              <w:t>100.0%</w:t>
            </w:r>
          </w:p>
        </w:tc>
        <w:tc>
          <w:tcPr>
            <w:tcW w:w="90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7"/>
              </w:rPr>
              <w:t>100.0%</w:t>
            </w:r>
          </w:p>
        </w:tc>
        <w:tc>
          <w:tcPr>
            <w:tcW w:w="900" w:type="dxa"/>
            <w:vAlign w:val="bottom"/>
            <w:tcBorders>
              <w:bottom w:val="single" w:sz="8" w:color="auto"/>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rPr>
              <w:t>100.0%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
        <w:spacing w:after="0"/>
        <w:rPr>
          <w:sz w:val="20"/>
          <w:szCs w:val="20"/>
          <w:color w:val="auto"/>
        </w:rPr>
      </w:pPr>
      <w:r>
        <w:rPr>
          <w:rFonts w:ascii="Arial" w:cs="Arial" w:eastAsia="Arial" w:hAnsi="Arial"/>
          <w:sz w:val="9"/>
          <w:szCs w:val="9"/>
          <w:color w:val="auto"/>
        </w:rPr>
        <w:t>For consolidation purposes, Loans generated in Foreign Currency (FC) are converted 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5734685</wp:posOffset>
            </wp:positionH>
            <wp:positionV relativeFrom="paragraph">
              <wp:posOffset>-22225</wp:posOffset>
            </wp:positionV>
            <wp:extent cx="727710" cy="1155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710" cy="115570"/>
                    </a:xfrm>
                    <a:prstGeom prst="rect">
                      <a:avLst/>
                    </a:prstGeom>
                    <a:noFill/>
                  </pic:spPr>
                </pic:pic>
              </a:graphicData>
            </a:graphic>
          </wp:anchor>
        </w:drawing>
      </w:r>
    </w:p>
    <w:p>
      <w:pPr>
        <w:ind w:left="129" w:hanging="129"/>
        <w:spacing w:after="0"/>
        <w:tabs>
          <w:tab w:leader="none" w:pos="129" w:val="left"/>
        </w:tabs>
        <w:numPr>
          <w:ilvl w:val="0"/>
          <w:numId w:val="20"/>
        </w:numPr>
        <w:rPr>
          <w:rFonts w:ascii="Calibri" w:cs="Calibri" w:eastAsia="Calibri" w:hAnsi="Calibri"/>
          <w:sz w:val="9"/>
          <w:szCs w:val="9"/>
          <w:color w:val="auto"/>
        </w:rPr>
      </w:pPr>
      <w:r>
        <w:rPr>
          <w:rFonts w:ascii="Calibri" w:cs="Calibri" w:eastAsia="Calibri" w:hAnsi="Calibri"/>
          <w:sz w:val="9"/>
          <w:szCs w:val="9"/>
          <w:color w:val="auto"/>
        </w:rPr>
        <w:t>Includes Work out unit, and other banking. For Quarter-end Balances fgures, please refer to “12. Annexes – 12.2 Loan Portolio Quality”.</w:t>
      </w:r>
    </w:p>
    <w:p>
      <w:pPr>
        <w:spacing w:after="0" w:line="3" w:lineRule="exact"/>
        <w:rPr>
          <w:rFonts w:ascii="Calibri" w:cs="Calibri" w:eastAsia="Calibri" w:hAnsi="Calibri"/>
          <w:sz w:val="9"/>
          <w:szCs w:val="9"/>
          <w:color w:val="auto"/>
        </w:rPr>
      </w:pPr>
    </w:p>
    <w:p>
      <w:pPr>
        <w:ind w:left="129" w:hanging="129"/>
        <w:spacing w:after="0"/>
        <w:tabs>
          <w:tab w:leader="none" w:pos="129" w:val="left"/>
        </w:tabs>
        <w:numPr>
          <w:ilvl w:val="0"/>
          <w:numId w:val="20"/>
        </w:numPr>
        <w:rPr>
          <w:rFonts w:ascii="Calibri" w:cs="Calibri" w:eastAsia="Calibri" w:hAnsi="Calibri"/>
          <w:sz w:val="9"/>
          <w:szCs w:val="9"/>
          <w:color w:val="auto"/>
        </w:rPr>
      </w:pPr>
      <w:r>
        <w:rPr>
          <w:rFonts w:ascii="Calibri" w:cs="Calibri" w:eastAsia="Calibri" w:hAnsi="Calibri"/>
          <w:sz w:val="9"/>
          <w:szCs w:val="9"/>
          <w:color w:val="auto"/>
        </w:rPr>
        <w:t>Internal Management Figures</w:t>
      </w:r>
    </w:p>
    <w:p>
      <w:pPr>
        <w:spacing w:after="0" w:line="198" w:lineRule="exact"/>
        <w:rPr>
          <w:sz w:val="20"/>
          <w:szCs w:val="20"/>
          <w:color w:val="auto"/>
        </w:rPr>
      </w:pPr>
    </w:p>
    <w:p>
      <w:pPr>
        <w:ind w:left="9" w:right="80"/>
        <w:spacing w:after="0" w:line="236" w:lineRule="auto"/>
        <w:rPr>
          <w:sz w:val="20"/>
          <w:szCs w:val="20"/>
          <w:color w:val="auto"/>
        </w:rPr>
      </w:pPr>
      <w:r>
        <w:rPr>
          <w:rFonts w:ascii="Calibri" w:cs="Calibri" w:eastAsia="Calibri" w:hAnsi="Calibri"/>
          <w:sz w:val="15"/>
          <w:szCs w:val="15"/>
          <w:b w:val="1"/>
          <w:bCs w:val="1"/>
          <w:color w:val="auto"/>
        </w:rPr>
        <w:t xml:space="preserve">QoQ </w:t>
      </w:r>
      <w:r>
        <w:rPr>
          <w:rFonts w:ascii="Calibri" w:cs="Calibri" w:eastAsia="Calibri" w:hAnsi="Calibri"/>
          <w:sz w:val="15"/>
          <w:szCs w:val="15"/>
          <w:color w:val="auto"/>
        </w:rPr>
        <w:t>total loans dropped and refected the fact that growth in structural loans was insufcient to ofset the drop in GP loans.</w:t>
      </w:r>
      <w:r>
        <w:rPr>
          <w:rFonts w:ascii="Calibri" w:cs="Calibri" w:eastAsia="Calibri" w:hAnsi="Calibri"/>
          <w:sz w:val="15"/>
          <w:szCs w:val="15"/>
          <w:b w:val="1"/>
          <w:bCs w:val="1"/>
          <w:color w:val="auto"/>
        </w:rPr>
        <w:t xml:space="preserve"> YoY </w:t>
      </w:r>
      <w:r>
        <w:rPr>
          <w:rFonts w:ascii="Calibri" w:cs="Calibri" w:eastAsia="Calibri" w:hAnsi="Calibri"/>
          <w:sz w:val="15"/>
          <w:szCs w:val="15"/>
          <w:color w:val="auto"/>
        </w:rPr>
        <w:t>total loans were up, driven by the positve evoluton of the</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structural portolio at BCP Stand-alone and Mibanco; this improvement was partally ofset by a contracton in GP loans.</w:t>
      </w:r>
    </w:p>
    <w:p>
      <w:pPr>
        <w:spacing w:after="0" w:line="102" w:lineRule="exact"/>
        <w:rPr>
          <w:sz w:val="20"/>
          <w:szCs w:val="20"/>
          <w:color w:val="auto"/>
        </w:rPr>
      </w:pPr>
    </w:p>
    <w:p>
      <w:pPr>
        <w:jc w:val="center"/>
        <w:ind w:right="71"/>
        <w:spacing w:after="0"/>
        <w:rPr>
          <w:sz w:val="20"/>
          <w:szCs w:val="20"/>
          <w:color w:val="auto"/>
        </w:rPr>
      </w:pPr>
      <w:r>
        <w:rPr>
          <w:rFonts w:ascii="Calibri" w:cs="Calibri" w:eastAsia="Calibri" w:hAnsi="Calibri"/>
          <w:sz w:val="15"/>
          <w:szCs w:val="15"/>
          <w:b w:val="1"/>
          <w:bCs w:val="1"/>
          <w:color w:val="auto"/>
        </w:rPr>
        <w:t xml:space="preserve">Evoluton of the Dollarizaton Level of Loans (in Average Daily Balances) </w:t>
      </w:r>
      <w:r>
        <w:rPr>
          <w:rFonts w:ascii="Calibri" w:cs="Calibri" w:eastAsia="Calibri" w:hAnsi="Calibri"/>
          <w:sz w:val="25"/>
          <w:szCs w:val="25"/>
          <w:b w:val="1"/>
          <w:bCs w:val="1"/>
          <w:color w:val="auto"/>
          <w:vertAlign w:val="superscript"/>
        </w:rPr>
        <w:t>(1)(2)</w:t>
      </w:r>
    </w:p>
    <w:tbl>
      <w:tblPr>
        <w:tblLayout w:type="fixed"/>
        <w:tblInd w:w="19" w:type="dxa"/>
        <w:tblCellMar>
          <w:top w:w="0" w:type="dxa"/>
          <w:left w:w="0" w:type="dxa"/>
          <w:bottom w:w="0" w:type="dxa"/>
          <w:right w:w="0" w:type="dxa"/>
        </w:tblCellMar>
      </w:tblPr>
      <w:tr>
        <w:trPr>
          <w:trHeight w:val="199"/>
        </w:trPr>
        <w:tc>
          <w:tcPr>
            <w:tcW w:w="1520" w:type="dxa"/>
            <w:vAlign w:val="bottom"/>
            <w:tcBorders>
              <w:top w:val="single" w:sz="8" w:color="auto"/>
              <w:left w:val="single" w:sz="8" w:color="auto"/>
              <w:right w:val="single" w:sz="8" w:color="auto"/>
            </w:tcBorders>
            <w:shd w:val="clear" w:color="auto" w:fill="2AD2C9"/>
          </w:tcPr>
          <w:p>
            <w:pPr>
              <w:spacing w:after="0"/>
              <w:rPr>
                <w:sz w:val="17"/>
                <w:szCs w:val="17"/>
                <w:color w:val="auto"/>
              </w:rPr>
            </w:pPr>
          </w:p>
        </w:tc>
        <w:tc>
          <w:tcPr>
            <w:tcW w:w="480" w:type="dxa"/>
            <w:vAlign w:val="bottom"/>
            <w:tcBorders>
              <w:top w:val="single" w:sz="8" w:color="auto"/>
            </w:tcBorders>
            <w:shd w:val="clear" w:color="auto" w:fill="2AD2C9"/>
          </w:tcPr>
          <w:p>
            <w:pPr>
              <w:spacing w:after="0"/>
              <w:rPr>
                <w:sz w:val="17"/>
                <w:szCs w:val="17"/>
                <w:color w:val="auto"/>
              </w:rPr>
            </w:pPr>
          </w:p>
        </w:tc>
        <w:tc>
          <w:tcPr>
            <w:tcW w:w="2740" w:type="dxa"/>
            <w:vAlign w:val="bottom"/>
            <w:tcBorders>
              <w:top w:val="single" w:sz="8" w:color="auto"/>
              <w:right w:val="single" w:sz="8" w:color="auto"/>
            </w:tcBorders>
            <w:gridSpan w:val="5"/>
            <w:shd w:val="clear" w:color="auto" w:fill="2AD2C9"/>
          </w:tcPr>
          <w:p>
            <w:pPr>
              <w:jc w:val="right"/>
              <w:ind w:right="437"/>
              <w:spacing w:after="0" w:line="199" w:lineRule="exact"/>
              <w:rPr>
                <w:sz w:val="20"/>
                <w:szCs w:val="20"/>
                <w:color w:val="auto"/>
              </w:rPr>
            </w:pPr>
            <w:r>
              <w:rPr>
                <w:rFonts w:ascii="Calibri" w:cs="Calibri" w:eastAsia="Calibri" w:hAnsi="Calibri"/>
                <w:sz w:val="17"/>
                <w:szCs w:val="17"/>
                <w:b w:val="1"/>
                <w:bCs w:val="1"/>
                <w:color w:val="FFFFFF"/>
                <w:w w:val="99"/>
              </w:rPr>
              <w:t>Local Currency (LC) - S/ millions</w:t>
            </w:r>
          </w:p>
        </w:tc>
        <w:tc>
          <w:tcPr>
            <w:tcW w:w="980" w:type="dxa"/>
            <w:vAlign w:val="bottom"/>
            <w:tcBorders>
              <w:top w:val="single" w:sz="8" w:color="auto"/>
              <w:right w:val="single" w:sz="8" w:color="auto"/>
            </w:tcBorders>
            <w:gridSpan w:val="2"/>
            <w:vMerge w:val="restart"/>
            <w:shd w:val="clear" w:color="auto" w:fill="2AD2C9"/>
          </w:tcPr>
          <w:p>
            <w:pPr>
              <w:jc w:val="center"/>
              <w:spacing w:after="0"/>
              <w:rPr>
                <w:sz w:val="20"/>
                <w:szCs w:val="20"/>
                <w:color w:val="auto"/>
              </w:rPr>
            </w:pPr>
            <w:r>
              <w:rPr>
                <w:rFonts w:ascii="Calibri" w:cs="Calibri" w:eastAsia="Calibri" w:hAnsi="Calibri"/>
                <w:sz w:val="17"/>
                <w:szCs w:val="17"/>
                <w:b w:val="1"/>
                <w:bCs w:val="1"/>
                <w:color w:val="FFFFFF"/>
                <w:w w:val="99"/>
              </w:rPr>
              <w:t>% change</w:t>
            </w:r>
          </w:p>
        </w:tc>
        <w:tc>
          <w:tcPr>
            <w:tcW w:w="880" w:type="dxa"/>
            <w:vAlign w:val="bottom"/>
            <w:tcBorders>
              <w:top w:val="single" w:sz="8" w:color="auto"/>
              <w:right w:val="single" w:sz="8" w:color="auto"/>
            </w:tcBorders>
            <w:gridSpan w:val="2"/>
            <w:shd w:val="clear" w:color="auto" w:fill="2AD2C9"/>
          </w:tcPr>
          <w:p>
            <w:pPr>
              <w:spacing w:after="0" w:line="199" w:lineRule="exact"/>
              <w:rPr>
                <w:sz w:val="20"/>
                <w:szCs w:val="20"/>
                <w:color w:val="auto"/>
              </w:rPr>
            </w:pPr>
            <w:r>
              <w:rPr>
                <w:rFonts w:ascii="Calibri" w:cs="Calibri" w:eastAsia="Calibri" w:hAnsi="Calibri"/>
                <w:sz w:val="17"/>
                <w:szCs w:val="17"/>
                <w:b w:val="1"/>
                <w:bCs w:val="1"/>
                <w:color w:val="FFFFFF"/>
                <w:w w:val="97"/>
              </w:rPr>
              <w:t>% Structural</w:t>
            </w:r>
          </w:p>
        </w:tc>
        <w:tc>
          <w:tcPr>
            <w:tcW w:w="2520" w:type="dxa"/>
            <w:vAlign w:val="bottom"/>
            <w:tcBorders>
              <w:top w:val="single" w:sz="8" w:color="auto"/>
              <w:right w:val="single" w:sz="8" w:color="auto"/>
            </w:tcBorders>
            <w:gridSpan w:val="3"/>
            <w:shd w:val="clear" w:color="auto" w:fill="2AD2C9"/>
          </w:tcPr>
          <w:p>
            <w:pPr>
              <w:jc w:val="center"/>
              <w:spacing w:after="0" w:line="199" w:lineRule="exact"/>
              <w:rPr>
                <w:sz w:val="20"/>
                <w:szCs w:val="20"/>
                <w:color w:val="auto"/>
              </w:rPr>
            </w:pPr>
            <w:r>
              <w:rPr>
                <w:rFonts w:ascii="Calibri" w:cs="Calibri" w:eastAsia="Calibri" w:hAnsi="Calibri"/>
                <w:sz w:val="17"/>
                <w:szCs w:val="17"/>
                <w:b w:val="1"/>
                <w:bCs w:val="1"/>
                <w:color w:val="FFFFFF"/>
                <w:w w:val="99"/>
              </w:rPr>
              <w:t>Foreign Currency (FC) - US$ millions</w:t>
            </w:r>
          </w:p>
        </w:tc>
        <w:tc>
          <w:tcPr>
            <w:tcW w:w="840" w:type="dxa"/>
            <w:vAlign w:val="bottom"/>
            <w:tcBorders>
              <w:top w:val="single" w:sz="8" w:color="auto"/>
              <w:right w:val="single" w:sz="8" w:color="auto"/>
            </w:tcBorders>
            <w:gridSpan w:val="2"/>
            <w:vMerge w:val="restart"/>
            <w:shd w:val="clear" w:color="auto" w:fill="2AD2C9"/>
          </w:tcPr>
          <w:p>
            <w:pPr>
              <w:jc w:val="right"/>
              <w:ind w:right="17"/>
              <w:spacing w:after="0"/>
              <w:rPr>
                <w:sz w:val="20"/>
                <w:szCs w:val="20"/>
                <w:color w:val="auto"/>
              </w:rPr>
            </w:pPr>
            <w:r>
              <w:rPr>
                <w:rFonts w:ascii="Calibri" w:cs="Calibri" w:eastAsia="Calibri" w:hAnsi="Calibri"/>
                <w:sz w:val="17"/>
                <w:szCs w:val="17"/>
                <w:b w:val="1"/>
                <w:bCs w:val="1"/>
                <w:color w:val="FFFFFF"/>
              </w:rPr>
              <w:t>% change</w:t>
            </w:r>
          </w:p>
        </w:tc>
        <w:tc>
          <w:tcPr>
            <w:tcW w:w="1380" w:type="dxa"/>
            <w:vAlign w:val="bottom"/>
            <w:tcBorders>
              <w:top w:val="single" w:sz="8" w:color="auto"/>
              <w:right w:val="single" w:sz="8" w:color="auto"/>
            </w:tcBorders>
            <w:gridSpan w:val="2"/>
            <w:shd w:val="clear" w:color="auto" w:fill="2AD2C9"/>
          </w:tcPr>
          <w:p>
            <w:pPr>
              <w:jc w:val="right"/>
              <w:spacing w:after="0" w:line="199" w:lineRule="exact"/>
              <w:rPr>
                <w:sz w:val="20"/>
                <w:szCs w:val="20"/>
                <w:color w:val="auto"/>
              </w:rPr>
            </w:pPr>
            <w:r>
              <w:rPr>
                <w:rFonts w:ascii="Calibri" w:cs="Calibri" w:eastAsia="Calibri" w:hAnsi="Calibri"/>
                <w:sz w:val="17"/>
                <w:szCs w:val="17"/>
                <w:b w:val="1"/>
                <w:bCs w:val="1"/>
                <w:color w:val="FFFFFF"/>
                <w:w w:val="98"/>
              </w:rPr>
              <w:t>% part. by currency</w:t>
            </w:r>
          </w:p>
        </w:tc>
        <w:tc>
          <w:tcPr>
            <w:tcW w:w="0" w:type="dxa"/>
            <w:vAlign w:val="bottom"/>
          </w:tcPr>
          <w:p>
            <w:pPr>
              <w:spacing w:after="0"/>
              <w:rPr>
                <w:sz w:val="1"/>
                <w:szCs w:val="1"/>
                <w:color w:val="auto"/>
              </w:rPr>
            </w:pPr>
          </w:p>
        </w:tc>
      </w:tr>
      <w:tr>
        <w:trPr>
          <w:trHeight w:val="82"/>
        </w:trPr>
        <w:tc>
          <w:tcPr>
            <w:tcW w:w="1520" w:type="dxa"/>
            <w:vAlign w:val="bottom"/>
            <w:tcBorders>
              <w:left w:val="single" w:sz="8" w:color="auto"/>
              <w:right w:val="single" w:sz="8" w:color="auto"/>
            </w:tcBorders>
            <w:vMerge w:val="restart"/>
            <w:shd w:val="clear" w:color="auto" w:fill="2AD2C9"/>
          </w:tcPr>
          <w:p>
            <w:pPr>
              <w:ind w:left="20"/>
              <w:spacing w:after="0" w:line="197" w:lineRule="exact"/>
              <w:rPr>
                <w:sz w:val="20"/>
                <w:szCs w:val="20"/>
                <w:color w:val="auto"/>
              </w:rPr>
            </w:pPr>
            <w:r>
              <w:rPr>
                <w:rFonts w:ascii="Calibri" w:cs="Calibri" w:eastAsia="Calibri" w:hAnsi="Calibri"/>
                <w:sz w:val="17"/>
                <w:szCs w:val="17"/>
                <w:b w:val="1"/>
                <w:bCs w:val="1"/>
                <w:color w:val="FFFFFF"/>
              </w:rPr>
              <w:t>Total Loans</w:t>
            </w:r>
          </w:p>
        </w:tc>
        <w:tc>
          <w:tcPr>
            <w:tcW w:w="480" w:type="dxa"/>
            <w:vAlign w:val="bottom"/>
            <w:vMerge w:val="restart"/>
            <w:shd w:val="clear" w:color="auto" w:fill="2AD2C9"/>
          </w:tcPr>
          <w:p>
            <w:pPr>
              <w:ind w:left="80"/>
              <w:spacing w:after="0" w:line="197" w:lineRule="exact"/>
              <w:rPr>
                <w:sz w:val="20"/>
                <w:szCs w:val="20"/>
                <w:color w:val="auto"/>
              </w:rPr>
            </w:pPr>
            <w:r>
              <w:rPr>
                <w:rFonts w:ascii="Calibri" w:cs="Calibri" w:eastAsia="Calibri" w:hAnsi="Calibri"/>
                <w:sz w:val="17"/>
                <w:szCs w:val="17"/>
                <w:b w:val="1"/>
                <w:bCs w:val="1"/>
                <w:color w:val="FFFFFF"/>
              </w:rPr>
              <w:t>Total</w:t>
            </w:r>
          </w:p>
        </w:tc>
        <w:tc>
          <w:tcPr>
            <w:tcW w:w="520" w:type="dxa"/>
            <w:vAlign w:val="bottom"/>
            <w:shd w:val="clear" w:color="auto" w:fill="2AD2C9"/>
          </w:tcPr>
          <w:p>
            <w:pPr>
              <w:spacing w:after="0"/>
              <w:rPr>
                <w:sz w:val="7"/>
                <w:szCs w:val="7"/>
                <w:color w:val="auto"/>
              </w:rPr>
            </w:pPr>
          </w:p>
        </w:tc>
        <w:tc>
          <w:tcPr>
            <w:tcW w:w="500" w:type="dxa"/>
            <w:vAlign w:val="bottom"/>
            <w:shd w:val="clear" w:color="auto" w:fill="2AD2C9"/>
          </w:tcPr>
          <w:p>
            <w:pPr>
              <w:spacing w:after="0"/>
              <w:rPr>
                <w:sz w:val="7"/>
                <w:szCs w:val="7"/>
                <w:color w:val="auto"/>
              </w:rPr>
            </w:pPr>
          </w:p>
        </w:tc>
        <w:tc>
          <w:tcPr>
            <w:tcW w:w="700" w:type="dxa"/>
            <w:vAlign w:val="bottom"/>
            <w:vMerge w:val="restart"/>
            <w:shd w:val="clear" w:color="auto" w:fill="2AD2C9"/>
          </w:tcPr>
          <w:p>
            <w:pPr>
              <w:jc w:val="center"/>
              <w:spacing w:after="0" w:line="197" w:lineRule="exact"/>
              <w:rPr>
                <w:sz w:val="20"/>
                <w:szCs w:val="20"/>
                <w:color w:val="auto"/>
              </w:rPr>
            </w:pPr>
            <w:r>
              <w:rPr>
                <w:rFonts w:ascii="Calibri" w:cs="Calibri" w:eastAsia="Calibri" w:hAnsi="Calibri"/>
                <w:sz w:val="17"/>
                <w:szCs w:val="17"/>
                <w:b w:val="1"/>
                <w:bCs w:val="1"/>
                <w:color w:val="FFFFFF"/>
              </w:rPr>
              <w:t>Structural</w:t>
            </w:r>
          </w:p>
        </w:tc>
        <w:tc>
          <w:tcPr>
            <w:tcW w:w="480" w:type="dxa"/>
            <w:vAlign w:val="bottom"/>
            <w:shd w:val="clear" w:color="auto" w:fill="2AD2C9"/>
          </w:tcPr>
          <w:p>
            <w:pPr>
              <w:spacing w:after="0"/>
              <w:rPr>
                <w:sz w:val="7"/>
                <w:szCs w:val="7"/>
                <w:color w:val="auto"/>
              </w:rPr>
            </w:pPr>
          </w:p>
        </w:tc>
        <w:tc>
          <w:tcPr>
            <w:tcW w:w="540" w:type="dxa"/>
            <w:vAlign w:val="bottom"/>
            <w:tcBorders>
              <w:right w:val="single" w:sz="8" w:color="auto"/>
            </w:tcBorders>
            <w:shd w:val="clear" w:color="auto" w:fill="2AD2C9"/>
          </w:tcPr>
          <w:p>
            <w:pPr>
              <w:spacing w:after="0"/>
              <w:rPr>
                <w:sz w:val="7"/>
                <w:szCs w:val="7"/>
                <w:color w:val="auto"/>
              </w:rPr>
            </w:pPr>
          </w:p>
        </w:tc>
        <w:tc>
          <w:tcPr>
            <w:tcW w:w="980" w:type="dxa"/>
            <w:vAlign w:val="bottom"/>
            <w:tcBorders>
              <w:right w:val="single" w:sz="8" w:color="auto"/>
            </w:tcBorders>
            <w:gridSpan w:val="2"/>
            <w:vMerge w:val="continue"/>
            <w:shd w:val="clear" w:color="auto" w:fill="2AD2C9"/>
          </w:tcPr>
          <w:p>
            <w:pPr>
              <w:spacing w:after="0"/>
              <w:rPr>
                <w:sz w:val="7"/>
                <w:szCs w:val="7"/>
                <w:color w:val="auto"/>
              </w:rPr>
            </w:pPr>
          </w:p>
        </w:tc>
        <w:tc>
          <w:tcPr>
            <w:tcW w:w="880" w:type="dxa"/>
            <w:vAlign w:val="bottom"/>
            <w:tcBorders>
              <w:right w:val="single" w:sz="8" w:color="auto"/>
            </w:tcBorders>
            <w:gridSpan w:val="2"/>
            <w:vMerge w:val="restart"/>
            <w:shd w:val="clear" w:color="auto" w:fill="2AD2C9"/>
          </w:tcPr>
          <w:p>
            <w:pPr>
              <w:ind w:left="180"/>
              <w:spacing w:after="0" w:line="197" w:lineRule="exact"/>
              <w:rPr>
                <w:sz w:val="20"/>
                <w:szCs w:val="20"/>
                <w:color w:val="auto"/>
              </w:rPr>
            </w:pPr>
            <w:r>
              <w:rPr>
                <w:rFonts w:ascii="Calibri" w:cs="Calibri" w:eastAsia="Calibri" w:hAnsi="Calibri"/>
                <w:sz w:val="17"/>
                <w:szCs w:val="17"/>
                <w:b w:val="1"/>
                <w:bCs w:val="1"/>
                <w:color w:val="FFFFFF"/>
              </w:rPr>
              <w:t>change</w:t>
            </w:r>
          </w:p>
        </w:tc>
        <w:tc>
          <w:tcPr>
            <w:tcW w:w="840" w:type="dxa"/>
            <w:vAlign w:val="bottom"/>
            <w:shd w:val="clear" w:color="auto" w:fill="2AD2C9"/>
          </w:tcPr>
          <w:p>
            <w:pPr>
              <w:spacing w:after="0"/>
              <w:rPr>
                <w:sz w:val="7"/>
                <w:szCs w:val="7"/>
                <w:color w:val="auto"/>
              </w:rPr>
            </w:pPr>
          </w:p>
        </w:tc>
        <w:tc>
          <w:tcPr>
            <w:tcW w:w="820" w:type="dxa"/>
            <w:vAlign w:val="bottom"/>
            <w:vMerge w:val="restart"/>
            <w:shd w:val="clear" w:color="auto" w:fill="2AD2C9"/>
          </w:tcPr>
          <w:p>
            <w:pPr>
              <w:jc w:val="center"/>
              <w:spacing w:after="0" w:line="197" w:lineRule="exact"/>
              <w:rPr>
                <w:sz w:val="20"/>
                <w:szCs w:val="20"/>
                <w:color w:val="auto"/>
              </w:rPr>
            </w:pPr>
            <w:r>
              <w:rPr>
                <w:rFonts w:ascii="Calibri" w:cs="Calibri" w:eastAsia="Calibri" w:hAnsi="Calibri"/>
                <w:sz w:val="17"/>
                <w:szCs w:val="17"/>
                <w:b w:val="1"/>
                <w:bCs w:val="1"/>
                <w:color w:val="FFFFFF"/>
                <w:w w:val="99"/>
              </w:rPr>
              <w:t>Total</w:t>
            </w:r>
          </w:p>
        </w:tc>
        <w:tc>
          <w:tcPr>
            <w:tcW w:w="860" w:type="dxa"/>
            <w:vAlign w:val="bottom"/>
            <w:tcBorders>
              <w:right w:val="single" w:sz="8" w:color="auto"/>
            </w:tcBorders>
            <w:shd w:val="clear" w:color="auto" w:fill="2AD2C9"/>
          </w:tcPr>
          <w:p>
            <w:pPr>
              <w:spacing w:after="0"/>
              <w:rPr>
                <w:sz w:val="7"/>
                <w:szCs w:val="7"/>
                <w:color w:val="auto"/>
              </w:rPr>
            </w:pPr>
          </w:p>
        </w:tc>
        <w:tc>
          <w:tcPr>
            <w:tcW w:w="840" w:type="dxa"/>
            <w:vAlign w:val="bottom"/>
            <w:tcBorders>
              <w:right w:val="single" w:sz="8" w:color="auto"/>
            </w:tcBorders>
            <w:gridSpan w:val="2"/>
            <w:vMerge w:val="continue"/>
            <w:shd w:val="clear" w:color="auto" w:fill="2AD2C9"/>
          </w:tcPr>
          <w:p>
            <w:pPr>
              <w:spacing w:after="0"/>
              <w:rPr>
                <w:sz w:val="7"/>
                <w:szCs w:val="7"/>
                <w:color w:val="auto"/>
              </w:rPr>
            </w:pPr>
          </w:p>
        </w:tc>
        <w:tc>
          <w:tcPr>
            <w:tcW w:w="1380" w:type="dxa"/>
            <w:vAlign w:val="bottom"/>
            <w:tcBorders>
              <w:right w:val="single" w:sz="8" w:color="auto"/>
            </w:tcBorders>
            <w:gridSpan w:val="2"/>
            <w:vMerge w:val="restart"/>
            <w:shd w:val="clear" w:color="auto" w:fill="2AD2C9"/>
          </w:tcPr>
          <w:p>
            <w:pPr>
              <w:jc w:val="right"/>
              <w:ind w:right="377"/>
              <w:spacing w:after="0" w:line="197" w:lineRule="exact"/>
              <w:rPr>
                <w:sz w:val="20"/>
                <w:szCs w:val="20"/>
                <w:color w:val="auto"/>
              </w:rPr>
            </w:pPr>
            <w:r>
              <w:rPr>
                <w:rFonts w:ascii="Calibri" w:cs="Calibri" w:eastAsia="Calibri" w:hAnsi="Calibri"/>
                <w:sz w:val="17"/>
                <w:szCs w:val="17"/>
                <w:b w:val="1"/>
                <w:bCs w:val="1"/>
                <w:color w:val="FFFFFF"/>
              </w:rPr>
              <w:t>Dec 22</w:t>
            </w:r>
          </w:p>
        </w:tc>
        <w:tc>
          <w:tcPr>
            <w:tcW w:w="0" w:type="dxa"/>
            <w:vAlign w:val="bottom"/>
          </w:tcPr>
          <w:p>
            <w:pPr>
              <w:spacing w:after="0"/>
              <w:rPr>
                <w:sz w:val="1"/>
                <w:szCs w:val="1"/>
                <w:color w:val="auto"/>
              </w:rPr>
            </w:pPr>
          </w:p>
        </w:tc>
      </w:tr>
      <w:tr>
        <w:trPr>
          <w:trHeight w:val="130"/>
        </w:trPr>
        <w:tc>
          <w:tcPr>
            <w:tcW w:w="1520" w:type="dxa"/>
            <w:vAlign w:val="bottom"/>
            <w:tcBorders>
              <w:left w:val="single" w:sz="8" w:color="auto"/>
              <w:right w:val="single" w:sz="8" w:color="auto"/>
            </w:tcBorders>
            <w:vMerge w:val="continue"/>
            <w:shd w:val="clear" w:color="auto" w:fill="2AD2C9"/>
          </w:tcPr>
          <w:p>
            <w:pPr>
              <w:spacing w:after="0"/>
              <w:rPr>
                <w:sz w:val="11"/>
                <w:szCs w:val="11"/>
                <w:color w:val="auto"/>
              </w:rPr>
            </w:pPr>
          </w:p>
        </w:tc>
        <w:tc>
          <w:tcPr>
            <w:tcW w:w="480" w:type="dxa"/>
            <w:vAlign w:val="bottom"/>
            <w:vMerge w:val="continue"/>
            <w:shd w:val="clear" w:color="auto" w:fill="2AD2C9"/>
          </w:tcPr>
          <w:p>
            <w:pPr>
              <w:spacing w:after="0"/>
              <w:rPr>
                <w:sz w:val="11"/>
                <w:szCs w:val="11"/>
                <w:color w:val="auto"/>
              </w:rPr>
            </w:pPr>
          </w:p>
        </w:tc>
        <w:tc>
          <w:tcPr>
            <w:tcW w:w="520" w:type="dxa"/>
            <w:vAlign w:val="bottom"/>
            <w:shd w:val="clear" w:color="auto" w:fill="2AD2C9"/>
          </w:tcPr>
          <w:p>
            <w:pPr>
              <w:spacing w:after="0"/>
              <w:rPr>
                <w:sz w:val="11"/>
                <w:szCs w:val="11"/>
                <w:color w:val="auto"/>
              </w:rPr>
            </w:pPr>
          </w:p>
        </w:tc>
        <w:tc>
          <w:tcPr>
            <w:tcW w:w="500" w:type="dxa"/>
            <w:vAlign w:val="bottom"/>
            <w:shd w:val="clear" w:color="auto" w:fill="2AD2C9"/>
          </w:tcPr>
          <w:p>
            <w:pPr>
              <w:spacing w:after="0"/>
              <w:rPr>
                <w:sz w:val="11"/>
                <w:szCs w:val="11"/>
                <w:color w:val="auto"/>
              </w:rPr>
            </w:pPr>
          </w:p>
        </w:tc>
        <w:tc>
          <w:tcPr>
            <w:tcW w:w="700" w:type="dxa"/>
            <w:vAlign w:val="bottom"/>
            <w:vMerge w:val="continue"/>
            <w:shd w:val="clear" w:color="auto" w:fill="2AD2C9"/>
          </w:tcPr>
          <w:p>
            <w:pPr>
              <w:spacing w:after="0"/>
              <w:rPr>
                <w:sz w:val="11"/>
                <w:szCs w:val="11"/>
                <w:color w:val="auto"/>
              </w:rPr>
            </w:pPr>
          </w:p>
        </w:tc>
        <w:tc>
          <w:tcPr>
            <w:tcW w:w="480" w:type="dxa"/>
            <w:vAlign w:val="bottom"/>
            <w:shd w:val="clear" w:color="auto" w:fill="2AD2C9"/>
          </w:tcPr>
          <w:p>
            <w:pPr>
              <w:spacing w:after="0"/>
              <w:rPr>
                <w:sz w:val="11"/>
                <w:szCs w:val="11"/>
                <w:color w:val="auto"/>
              </w:rPr>
            </w:pPr>
          </w:p>
        </w:tc>
        <w:tc>
          <w:tcPr>
            <w:tcW w:w="540" w:type="dxa"/>
            <w:vAlign w:val="bottom"/>
            <w:tcBorders>
              <w:right w:val="single" w:sz="8" w:color="auto"/>
            </w:tcBorders>
            <w:shd w:val="clear" w:color="auto" w:fill="2AD2C9"/>
          </w:tcPr>
          <w:p>
            <w:pPr>
              <w:spacing w:after="0"/>
              <w:rPr>
                <w:sz w:val="11"/>
                <w:szCs w:val="11"/>
                <w:color w:val="auto"/>
              </w:rPr>
            </w:pPr>
          </w:p>
        </w:tc>
        <w:tc>
          <w:tcPr>
            <w:tcW w:w="460" w:type="dxa"/>
            <w:vAlign w:val="bottom"/>
            <w:shd w:val="clear" w:color="auto" w:fill="2AD2C9"/>
          </w:tcPr>
          <w:p>
            <w:pPr>
              <w:spacing w:after="0"/>
              <w:rPr>
                <w:sz w:val="11"/>
                <w:szCs w:val="11"/>
                <w:color w:val="auto"/>
              </w:rPr>
            </w:pPr>
          </w:p>
        </w:tc>
        <w:tc>
          <w:tcPr>
            <w:tcW w:w="520" w:type="dxa"/>
            <w:vAlign w:val="bottom"/>
            <w:tcBorders>
              <w:right w:val="single" w:sz="8" w:color="auto"/>
            </w:tcBorders>
            <w:shd w:val="clear" w:color="auto" w:fill="2AD2C9"/>
          </w:tcPr>
          <w:p>
            <w:pPr>
              <w:spacing w:after="0"/>
              <w:rPr>
                <w:sz w:val="11"/>
                <w:szCs w:val="11"/>
                <w:color w:val="auto"/>
              </w:rPr>
            </w:pPr>
          </w:p>
        </w:tc>
        <w:tc>
          <w:tcPr>
            <w:tcW w:w="880" w:type="dxa"/>
            <w:vAlign w:val="bottom"/>
            <w:tcBorders>
              <w:right w:val="single" w:sz="8" w:color="auto"/>
            </w:tcBorders>
            <w:gridSpan w:val="2"/>
            <w:vMerge w:val="continue"/>
            <w:shd w:val="clear" w:color="auto" w:fill="2AD2C9"/>
          </w:tcPr>
          <w:p>
            <w:pPr>
              <w:spacing w:after="0"/>
              <w:rPr>
                <w:sz w:val="11"/>
                <w:szCs w:val="11"/>
                <w:color w:val="auto"/>
              </w:rPr>
            </w:pPr>
          </w:p>
        </w:tc>
        <w:tc>
          <w:tcPr>
            <w:tcW w:w="840" w:type="dxa"/>
            <w:vAlign w:val="bottom"/>
            <w:shd w:val="clear" w:color="auto" w:fill="2AD2C9"/>
          </w:tcPr>
          <w:p>
            <w:pPr>
              <w:spacing w:after="0"/>
              <w:rPr>
                <w:sz w:val="11"/>
                <w:szCs w:val="11"/>
                <w:color w:val="auto"/>
              </w:rPr>
            </w:pPr>
          </w:p>
        </w:tc>
        <w:tc>
          <w:tcPr>
            <w:tcW w:w="820" w:type="dxa"/>
            <w:vAlign w:val="bottom"/>
            <w:vMerge w:val="continue"/>
            <w:shd w:val="clear" w:color="auto" w:fill="2AD2C9"/>
          </w:tcPr>
          <w:p>
            <w:pPr>
              <w:spacing w:after="0"/>
              <w:rPr>
                <w:sz w:val="11"/>
                <w:szCs w:val="11"/>
                <w:color w:val="auto"/>
              </w:rPr>
            </w:pPr>
          </w:p>
        </w:tc>
        <w:tc>
          <w:tcPr>
            <w:tcW w:w="860" w:type="dxa"/>
            <w:vAlign w:val="bottom"/>
            <w:tcBorders>
              <w:right w:val="single" w:sz="8" w:color="auto"/>
            </w:tcBorders>
            <w:shd w:val="clear" w:color="auto" w:fill="2AD2C9"/>
          </w:tcPr>
          <w:p>
            <w:pPr>
              <w:spacing w:after="0"/>
              <w:rPr>
                <w:sz w:val="11"/>
                <w:szCs w:val="11"/>
                <w:color w:val="auto"/>
              </w:rPr>
            </w:pPr>
          </w:p>
        </w:tc>
        <w:tc>
          <w:tcPr>
            <w:tcW w:w="380" w:type="dxa"/>
            <w:vAlign w:val="bottom"/>
            <w:shd w:val="clear" w:color="auto" w:fill="2AD2C9"/>
          </w:tcPr>
          <w:p>
            <w:pPr>
              <w:spacing w:after="0"/>
              <w:rPr>
                <w:sz w:val="11"/>
                <w:szCs w:val="11"/>
                <w:color w:val="auto"/>
              </w:rPr>
            </w:pPr>
          </w:p>
        </w:tc>
        <w:tc>
          <w:tcPr>
            <w:tcW w:w="460" w:type="dxa"/>
            <w:vAlign w:val="bottom"/>
            <w:tcBorders>
              <w:right w:val="single" w:sz="8" w:color="auto"/>
            </w:tcBorders>
            <w:shd w:val="clear" w:color="auto" w:fill="2AD2C9"/>
          </w:tcPr>
          <w:p>
            <w:pPr>
              <w:spacing w:after="0"/>
              <w:rPr>
                <w:sz w:val="11"/>
                <w:szCs w:val="11"/>
                <w:color w:val="auto"/>
              </w:rPr>
            </w:pPr>
          </w:p>
        </w:tc>
        <w:tc>
          <w:tcPr>
            <w:tcW w:w="1380" w:type="dxa"/>
            <w:vAlign w:val="bottom"/>
            <w:tcBorders>
              <w:right w:val="single" w:sz="8" w:color="auto"/>
            </w:tcBorders>
            <w:gridSpan w:val="2"/>
            <w:vMerge w:val="continue"/>
            <w:shd w:val="clear" w:color="auto" w:fill="2AD2C9"/>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520" w:type="dxa"/>
            <w:vAlign w:val="bottom"/>
            <w:tcBorders>
              <w:left w:val="single" w:sz="8" w:color="auto"/>
              <w:bottom w:val="single" w:sz="8" w:color="auto"/>
              <w:right w:val="single" w:sz="8" w:color="auto"/>
            </w:tcBorders>
            <w:shd w:val="clear" w:color="auto" w:fill="2AD2C9"/>
          </w:tcPr>
          <w:p>
            <w:pPr>
              <w:spacing w:after="0"/>
              <w:rPr>
                <w:sz w:val="17"/>
                <w:szCs w:val="17"/>
                <w:color w:val="auto"/>
              </w:rPr>
            </w:pPr>
          </w:p>
        </w:tc>
        <w:tc>
          <w:tcPr>
            <w:tcW w:w="1500" w:type="dxa"/>
            <w:vAlign w:val="bottom"/>
            <w:tcBorders>
              <w:bottom w:val="single" w:sz="8" w:color="auto"/>
            </w:tcBorders>
            <w:gridSpan w:val="3"/>
          </w:tcPr>
          <w:p>
            <w:pPr>
              <w:jc w:val="right"/>
              <w:spacing w:after="0" w:line="197" w:lineRule="exact"/>
              <w:rPr>
                <w:sz w:val="20"/>
                <w:szCs w:val="20"/>
                <w:color w:val="auto"/>
              </w:rPr>
            </w:pPr>
            <w:r>
              <w:rPr>
                <w:rFonts w:ascii="Calibri" w:cs="Calibri" w:eastAsia="Calibri" w:hAnsi="Calibri"/>
                <w:sz w:val="17"/>
                <w:szCs w:val="17"/>
                <w:b w:val="1"/>
                <w:bCs w:val="1"/>
                <w:color w:val="FFFFFF"/>
                <w:w w:val="99"/>
              </w:rPr>
              <w:t>Mar 22Dec 22Mar 23</w:t>
            </w:r>
          </w:p>
        </w:tc>
        <w:tc>
          <w:tcPr>
            <w:tcW w:w="70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FFFFFF"/>
                <w:w w:val="99"/>
              </w:rPr>
              <w:t>Mar 22</w:t>
            </w:r>
          </w:p>
        </w:tc>
        <w:tc>
          <w:tcPr>
            <w:tcW w:w="1020" w:type="dxa"/>
            <w:vAlign w:val="bottom"/>
            <w:tcBorders>
              <w:bottom w:val="single" w:sz="8" w:color="auto"/>
              <w:right w:val="single" w:sz="8" w:color="auto"/>
            </w:tcBorders>
            <w:gridSpan w:val="2"/>
          </w:tcPr>
          <w:p>
            <w:pPr>
              <w:jc w:val="right"/>
              <w:spacing w:after="0" w:line="197" w:lineRule="exact"/>
              <w:rPr>
                <w:sz w:val="20"/>
                <w:szCs w:val="20"/>
                <w:color w:val="auto"/>
              </w:rPr>
            </w:pPr>
            <w:r>
              <w:rPr>
                <w:rFonts w:ascii="Calibri" w:cs="Calibri" w:eastAsia="Calibri" w:hAnsi="Calibri"/>
                <w:sz w:val="17"/>
                <w:szCs w:val="17"/>
                <w:b w:val="1"/>
                <w:bCs w:val="1"/>
                <w:color w:val="FFFFFF"/>
                <w:w w:val="98"/>
              </w:rPr>
              <w:t>Dec 22Mar 23</w:t>
            </w:r>
          </w:p>
        </w:tc>
        <w:tc>
          <w:tcPr>
            <w:tcW w:w="460" w:type="dxa"/>
            <w:vAlign w:val="bottom"/>
            <w:tcBorders>
              <w:bottom w:val="single" w:sz="8" w:color="auto"/>
            </w:tcBorders>
          </w:tcPr>
          <w:p>
            <w:pPr>
              <w:ind w:left="60"/>
              <w:spacing w:after="0" w:line="197" w:lineRule="exact"/>
              <w:rPr>
                <w:sz w:val="20"/>
                <w:szCs w:val="20"/>
                <w:color w:val="auto"/>
              </w:rPr>
            </w:pPr>
            <w:r>
              <w:rPr>
                <w:rFonts w:ascii="Calibri" w:cs="Calibri" w:eastAsia="Calibri" w:hAnsi="Calibri"/>
                <w:sz w:val="17"/>
                <w:szCs w:val="17"/>
                <w:b w:val="1"/>
                <w:bCs w:val="1"/>
                <w:color w:val="FFFFFF"/>
              </w:rPr>
              <w:t>QoQ</w:t>
            </w:r>
          </w:p>
        </w:tc>
        <w:tc>
          <w:tcPr>
            <w:tcW w:w="520" w:type="dxa"/>
            <w:vAlign w:val="bottom"/>
            <w:tcBorders>
              <w:bottom w:val="single" w:sz="8" w:color="auto"/>
              <w:right w:val="single" w:sz="8" w:color="auto"/>
            </w:tcBorders>
          </w:tcPr>
          <w:p>
            <w:pPr>
              <w:ind w:left="120"/>
              <w:spacing w:after="0" w:line="197" w:lineRule="exact"/>
              <w:rPr>
                <w:sz w:val="20"/>
                <w:szCs w:val="20"/>
                <w:color w:val="auto"/>
              </w:rPr>
            </w:pPr>
            <w:r>
              <w:rPr>
                <w:rFonts w:ascii="Calibri" w:cs="Calibri" w:eastAsia="Calibri" w:hAnsi="Calibri"/>
                <w:sz w:val="17"/>
                <w:szCs w:val="17"/>
                <w:b w:val="1"/>
                <w:bCs w:val="1"/>
                <w:color w:val="FFFFFF"/>
              </w:rPr>
              <w:t>YoY</w:t>
            </w:r>
          </w:p>
        </w:tc>
        <w:tc>
          <w:tcPr>
            <w:tcW w:w="400" w:type="dxa"/>
            <w:vAlign w:val="bottom"/>
            <w:tcBorders>
              <w:bottom w:val="single" w:sz="8" w:color="auto"/>
            </w:tcBorders>
          </w:tcPr>
          <w:p>
            <w:pPr>
              <w:ind w:left="40"/>
              <w:spacing w:after="0" w:line="197" w:lineRule="exact"/>
              <w:rPr>
                <w:sz w:val="20"/>
                <w:szCs w:val="20"/>
                <w:color w:val="auto"/>
              </w:rPr>
            </w:pPr>
            <w:r>
              <w:rPr>
                <w:rFonts w:ascii="Calibri" w:cs="Calibri" w:eastAsia="Calibri" w:hAnsi="Calibri"/>
                <w:sz w:val="17"/>
                <w:szCs w:val="17"/>
                <w:b w:val="1"/>
                <w:bCs w:val="1"/>
                <w:color w:val="FFFFFF"/>
              </w:rPr>
              <w:t>QoQ</w:t>
            </w:r>
          </w:p>
        </w:tc>
        <w:tc>
          <w:tcPr>
            <w:tcW w:w="480" w:type="dxa"/>
            <w:vAlign w:val="bottom"/>
            <w:tcBorders>
              <w:bottom w:val="single" w:sz="8" w:color="auto"/>
              <w:right w:val="single" w:sz="8" w:color="auto"/>
            </w:tcBorders>
          </w:tcPr>
          <w:p>
            <w:pPr>
              <w:ind w:left="100"/>
              <w:spacing w:after="0" w:line="197" w:lineRule="exact"/>
              <w:rPr>
                <w:sz w:val="20"/>
                <w:szCs w:val="20"/>
                <w:color w:val="auto"/>
              </w:rPr>
            </w:pPr>
            <w:r>
              <w:rPr>
                <w:rFonts w:ascii="Calibri" w:cs="Calibri" w:eastAsia="Calibri" w:hAnsi="Calibri"/>
                <w:sz w:val="17"/>
                <w:szCs w:val="17"/>
                <w:b w:val="1"/>
                <w:bCs w:val="1"/>
                <w:color w:val="FFFFFF"/>
              </w:rPr>
              <w:t>YoY</w:t>
            </w:r>
          </w:p>
        </w:tc>
        <w:tc>
          <w:tcPr>
            <w:tcW w:w="840" w:type="dxa"/>
            <w:vAlign w:val="bottom"/>
            <w:tcBorders>
              <w:bottom w:val="single" w:sz="8" w:color="auto"/>
            </w:tcBorders>
          </w:tcPr>
          <w:p>
            <w:pPr>
              <w:ind w:left="160"/>
              <w:spacing w:after="0" w:line="197" w:lineRule="exact"/>
              <w:rPr>
                <w:sz w:val="20"/>
                <w:szCs w:val="20"/>
                <w:color w:val="auto"/>
              </w:rPr>
            </w:pPr>
            <w:r>
              <w:rPr>
                <w:rFonts w:ascii="Calibri" w:cs="Calibri" w:eastAsia="Calibri" w:hAnsi="Calibri"/>
                <w:sz w:val="17"/>
                <w:szCs w:val="17"/>
                <w:b w:val="1"/>
                <w:bCs w:val="1"/>
                <w:color w:val="FFFFFF"/>
              </w:rPr>
              <w:t>Mar 22</w:t>
            </w:r>
          </w:p>
        </w:tc>
        <w:tc>
          <w:tcPr>
            <w:tcW w:w="82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FFFFFF"/>
                <w:w w:val="96"/>
              </w:rPr>
              <w:t>Dec 22</w:t>
            </w:r>
          </w:p>
        </w:tc>
        <w:tc>
          <w:tcPr>
            <w:tcW w:w="860" w:type="dxa"/>
            <w:vAlign w:val="bottom"/>
            <w:tcBorders>
              <w:bottom w:val="single" w:sz="8" w:color="auto"/>
              <w:right w:val="single" w:sz="8" w:color="auto"/>
            </w:tcBorders>
          </w:tcPr>
          <w:p>
            <w:pPr>
              <w:ind w:left="160"/>
              <w:spacing w:after="0" w:line="197" w:lineRule="exact"/>
              <w:rPr>
                <w:sz w:val="20"/>
                <w:szCs w:val="20"/>
                <w:color w:val="auto"/>
              </w:rPr>
            </w:pPr>
            <w:r>
              <w:rPr>
                <w:rFonts w:ascii="Calibri" w:cs="Calibri" w:eastAsia="Calibri" w:hAnsi="Calibri"/>
                <w:sz w:val="17"/>
                <w:szCs w:val="17"/>
                <w:b w:val="1"/>
                <w:bCs w:val="1"/>
                <w:color w:val="FFFFFF"/>
              </w:rPr>
              <w:t>Mar 23</w:t>
            </w:r>
          </w:p>
        </w:tc>
        <w:tc>
          <w:tcPr>
            <w:tcW w:w="840" w:type="dxa"/>
            <w:vAlign w:val="bottom"/>
            <w:tcBorders>
              <w:bottom w:val="single" w:sz="8" w:color="auto"/>
              <w:right w:val="single" w:sz="8" w:color="auto"/>
            </w:tcBorders>
            <w:gridSpan w:val="2"/>
          </w:tcPr>
          <w:p>
            <w:pPr>
              <w:jc w:val="right"/>
              <w:ind w:right="17"/>
              <w:spacing w:after="0" w:line="197" w:lineRule="exact"/>
              <w:rPr>
                <w:sz w:val="20"/>
                <w:szCs w:val="20"/>
                <w:color w:val="auto"/>
              </w:rPr>
            </w:pPr>
            <w:r>
              <w:rPr>
                <w:rFonts w:ascii="Calibri" w:cs="Calibri" w:eastAsia="Calibri" w:hAnsi="Calibri"/>
                <w:sz w:val="17"/>
                <w:szCs w:val="17"/>
                <w:b w:val="1"/>
                <w:bCs w:val="1"/>
                <w:color w:val="FFFFFF"/>
              </w:rPr>
              <w:t>QoQ  YoY</w:t>
            </w:r>
          </w:p>
        </w:tc>
        <w:tc>
          <w:tcPr>
            <w:tcW w:w="700" w:type="dxa"/>
            <w:vAlign w:val="bottom"/>
            <w:tcBorders>
              <w:bottom w:val="single" w:sz="8" w:color="auto"/>
            </w:tcBorders>
          </w:tcPr>
          <w:p>
            <w:pPr>
              <w:jc w:val="center"/>
              <w:ind w:left="57"/>
              <w:spacing w:after="0" w:line="197" w:lineRule="exact"/>
              <w:rPr>
                <w:sz w:val="20"/>
                <w:szCs w:val="20"/>
                <w:color w:val="auto"/>
              </w:rPr>
            </w:pPr>
            <w:r>
              <w:rPr>
                <w:rFonts w:ascii="Calibri" w:cs="Calibri" w:eastAsia="Calibri" w:hAnsi="Calibri"/>
                <w:sz w:val="17"/>
                <w:szCs w:val="17"/>
                <w:b w:val="1"/>
                <w:bCs w:val="1"/>
                <w:color w:val="FFFFFF"/>
                <w:w w:val="98"/>
              </w:rPr>
              <w:t>LC</w:t>
            </w:r>
          </w:p>
        </w:tc>
        <w:tc>
          <w:tcPr>
            <w:tcW w:w="680" w:type="dxa"/>
            <w:vAlign w:val="bottom"/>
            <w:tcBorders>
              <w:bottom w:val="single" w:sz="8" w:color="auto"/>
              <w:right w:val="single" w:sz="8" w:color="auto"/>
            </w:tcBorders>
          </w:tcPr>
          <w:p>
            <w:pPr>
              <w:jc w:val="right"/>
              <w:ind w:right="117"/>
              <w:spacing w:after="0" w:line="197" w:lineRule="exact"/>
              <w:rPr>
                <w:sz w:val="20"/>
                <w:szCs w:val="20"/>
                <w:color w:val="auto"/>
              </w:rPr>
            </w:pPr>
            <w:r>
              <w:rPr>
                <w:rFonts w:ascii="Calibri" w:cs="Calibri" w:eastAsia="Calibri" w:hAnsi="Calibri"/>
                <w:sz w:val="17"/>
                <w:szCs w:val="17"/>
                <w:b w:val="1"/>
                <w:bCs w:val="1"/>
                <w:color w:val="FFFFFF"/>
              </w:rPr>
              <w:t>FC</w:t>
            </w:r>
          </w:p>
        </w:tc>
        <w:tc>
          <w:tcPr>
            <w:tcW w:w="0" w:type="dxa"/>
            <w:vAlign w:val="bottom"/>
          </w:tcPr>
          <w:p>
            <w:pPr>
              <w:spacing w:after="0"/>
              <w:rPr>
                <w:sz w:val="1"/>
                <w:szCs w:val="1"/>
                <w:color w:val="auto"/>
              </w:rPr>
            </w:pPr>
          </w:p>
        </w:tc>
      </w:tr>
      <w:tr>
        <w:trPr>
          <w:trHeight w:val="184"/>
        </w:trPr>
        <w:tc>
          <w:tcPr>
            <w:tcW w:w="1520" w:type="dxa"/>
            <w:vAlign w:val="bottom"/>
            <w:tcBorders>
              <w:left w:val="single" w:sz="8" w:color="auto"/>
              <w:right w:val="single" w:sz="8" w:color="auto"/>
            </w:tcBorders>
          </w:tcPr>
          <w:p>
            <w:pPr>
              <w:ind w:left="20"/>
              <w:spacing w:after="0" w:line="184" w:lineRule="exact"/>
              <w:rPr>
                <w:sz w:val="20"/>
                <w:szCs w:val="20"/>
                <w:color w:val="auto"/>
              </w:rPr>
            </w:pPr>
            <w:r>
              <w:rPr>
                <w:rFonts w:ascii="Calibri" w:cs="Calibri" w:eastAsia="Calibri" w:hAnsi="Calibri"/>
                <w:sz w:val="17"/>
                <w:szCs w:val="17"/>
                <w:b w:val="1"/>
                <w:bCs w:val="1"/>
                <w:color w:val="auto"/>
              </w:rPr>
              <w:t>BCP Stand-alone</w:t>
            </w:r>
          </w:p>
        </w:tc>
        <w:tc>
          <w:tcPr>
            <w:tcW w:w="1500" w:type="dxa"/>
            <w:vAlign w:val="bottom"/>
            <w:gridSpan w:val="3"/>
          </w:tcPr>
          <w:p>
            <w:pPr>
              <w:jc w:val="right"/>
              <w:spacing w:after="0" w:line="184" w:lineRule="exact"/>
              <w:rPr>
                <w:sz w:val="20"/>
                <w:szCs w:val="20"/>
                <w:color w:val="auto"/>
              </w:rPr>
            </w:pPr>
            <w:r>
              <w:rPr>
                <w:rFonts w:ascii="Calibri" w:cs="Calibri" w:eastAsia="Calibri" w:hAnsi="Calibri"/>
                <w:sz w:val="17"/>
                <w:szCs w:val="17"/>
                <w:b w:val="1"/>
                <w:bCs w:val="1"/>
                <w:color w:val="auto"/>
              </w:rPr>
              <w:t>85,29085,10682,117</w:t>
            </w:r>
          </w:p>
        </w:tc>
        <w:tc>
          <w:tcPr>
            <w:tcW w:w="70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w w:val="96"/>
              </w:rPr>
              <w:t>67,221</w:t>
            </w:r>
          </w:p>
        </w:tc>
        <w:tc>
          <w:tcPr>
            <w:tcW w:w="1020" w:type="dxa"/>
            <w:vAlign w:val="bottom"/>
            <w:tcBorders>
              <w:right w:val="single" w:sz="8" w:color="auto"/>
            </w:tcBorders>
            <w:gridSpan w:val="2"/>
          </w:tcPr>
          <w:p>
            <w:pPr>
              <w:jc w:val="right"/>
              <w:spacing w:after="0" w:line="184" w:lineRule="exact"/>
              <w:rPr>
                <w:sz w:val="20"/>
                <w:szCs w:val="20"/>
                <w:color w:val="auto"/>
              </w:rPr>
            </w:pPr>
            <w:r>
              <w:rPr>
                <w:rFonts w:ascii="Calibri" w:cs="Calibri" w:eastAsia="Calibri" w:hAnsi="Calibri"/>
                <w:sz w:val="17"/>
                <w:szCs w:val="17"/>
                <w:b w:val="1"/>
                <w:bCs w:val="1"/>
                <w:color w:val="auto"/>
              </w:rPr>
              <w:t>74,05975,485</w:t>
            </w:r>
          </w:p>
        </w:tc>
        <w:tc>
          <w:tcPr>
            <w:tcW w:w="46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w w:val="96"/>
              </w:rPr>
              <w:t>-3.5%</w:t>
            </w:r>
          </w:p>
        </w:tc>
        <w:tc>
          <w:tcPr>
            <w:tcW w:w="52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6"/>
              </w:rPr>
              <w:t>-3.7%</w:t>
            </w:r>
          </w:p>
        </w:tc>
        <w:tc>
          <w:tcPr>
            <w:tcW w:w="40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w w:val="99"/>
              </w:rPr>
              <w:t>1.9%</w:t>
            </w:r>
          </w:p>
        </w:tc>
        <w:tc>
          <w:tcPr>
            <w:tcW w:w="48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8"/>
              </w:rPr>
              <w:t>12.3%</w:t>
            </w:r>
          </w:p>
        </w:tc>
        <w:tc>
          <w:tcPr>
            <w:tcW w:w="84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rPr>
              <w:t>8,513</w:t>
            </w:r>
          </w:p>
        </w:tc>
        <w:tc>
          <w:tcPr>
            <w:tcW w:w="82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w w:val="97"/>
              </w:rPr>
              <w:t>9,490</w:t>
            </w:r>
          </w:p>
        </w:tc>
        <w:tc>
          <w:tcPr>
            <w:tcW w:w="86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7"/>
              </w:rPr>
              <w:t>9,615</w:t>
            </w:r>
          </w:p>
        </w:tc>
        <w:tc>
          <w:tcPr>
            <w:tcW w:w="840" w:type="dxa"/>
            <w:vAlign w:val="bottom"/>
            <w:tcBorders>
              <w:right w:val="single" w:sz="8" w:color="auto"/>
            </w:tcBorders>
            <w:gridSpan w:val="2"/>
          </w:tcPr>
          <w:p>
            <w:pPr>
              <w:jc w:val="right"/>
              <w:spacing w:after="0" w:line="184" w:lineRule="exact"/>
              <w:rPr>
                <w:sz w:val="20"/>
                <w:szCs w:val="20"/>
                <w:color w:val="auto"/>
              </w:rPr>
            </w:pPr>
            <w:r>
              <w:rPr>
                <w:rFonts w:ascii="Calibri" w:cs="Calibri" w:eastAsia="Calibri" w:hAnsi="Calibri"/>
                <w:sz w:val="17"/>
                <w:szCs w:val="17"/>
                <w:b w:val="1"/>
                <w:bCs w:val="1"/>
                <w:color w:val="auto"/>
                <w:w w:val="98"/>
              </w:rPr>
              <w:t>1.3% 12.9%</w:t>
            </w:r>
          </w:p>
        </w:tc>
        <w:tc>
          <w:tcPr>
            <w:tcW w:w="700" w:type="dxa"/>
            <w:vAlign w:val="bottom"/>
          </w:tcPr>
          <w:p>
            <w:pPr>
              <w:jc w:val="center"/>
              <w:ind w:left="57"/>
              <w:spacing w:after="0" w:line="184" w:lineRule="exact"/>
              <w:rPr>
                <w:sz w:val="20"/>
                <w:szCs w:val="20"/>
                <w:color w:val="auto"/>
              </w:rPr>
            </w:pPr>
            <w:r>
              <w:rPr>
                <w:rFonts w:ascii="Calibri" w:cs="Calibri" w:eastAsia="Calibri" w:hAnsi="Calibri"/>
                <w:sz w:val="17"/>
                <w:szCs w:val="17"/>
                <w:b w:val="1"/>
                <w:bCs w:val="1"/>
                <w:color w:val="auto"/>
              </w:rPr>
              <w:t>69.4%</w:t>
            </w:r>
          </w:p>
        </w:tc>
        <w:tc>
          <w:tcPr>
            <w:tcW w:w="680" w:type="dxa"/>
            <w:vAlign w:val="bottom"/>
            <w:tcBorders>
              <w:right w:val="single" w:sz="8" w:color="auto"/>
            </w:tcBorders>
          </w:tcPr>
          <w:p>
            <w:pPr>
              <w:jc w:val="center"/>
              <w:ind w:left="57"/>
              <w:spacing w:after="0" w:line="184" w:lineRule="exact"/>
              <w:rPr>
                <w:sz w:val="20"/>
                <w:szCs w:val="20"/>
                <w:color w:val="auto"/>
              </w:rPr>
            </w:pPr>
            <w:r>
              <w:rPr>
                <w:rFonts w:ascii="Calibri" w:cs="Calibri" w:eastAsia="Calibri" w:hAnsi="Calibri"/>
                <w:sz w:val="17"/>
                <w:szCs w:val="17"/>
                <w:b w:val="1"/>
                <w:bCs w:val="1"/>
                <w:color w:val="auto"/>
                <w:w w:val="98"/>
              </w:rPr>
              <w:t>30.6%</w:t>
            </w:r>
          </w:p>
        </w:tc>
        <w:tc>
          <w:tcPr>
            <w:tcW w:w="0" w:type="dxa"/>
            <w:vAlign w:val="bottom"/>
          </w:tcPr>
          <w:p>
            <w:pPr>
              <w:spacing w:after="0"/>
              <w:rPr>
                <w:sz w:val="1"/>
                <w:szCs w:val="1"/>
                <w:color w:val="auto"/>
              </w:rPr>
            </w:pPr>
          </w:p>
        </w:tc>
      </w:tr>
      <w:tr>
        <w:trPr>
          <w:trHeight w:val="197"/>
        </w:trPr>
        <w:tc>
          <w:tcPr>
            <w:tcW w:w="1520" w:type="dxa"/>
            <w:vAlign w:val="bottom"/>
            <w:tcBorders>
              <w:left w:val="single" w:sz="8" w:color="auto"/>
              <w:right w:val="single" w:sz="8" w:color="auto"/>
            </w:tcBorders>
          </w:tcPr>
          <w:p>
            <w:pPr>
              <w:ind w:left="140"/>
              <w:spacing w:after="0" w:line="197" w:lineRule="exact"/>
              <w:rPr>
                <w:sz w:val="20"/>
                <w:szCs w:val="20"/>
                <w:color w:val="auto"/>
              </w:rPr>
            </w:pPr>
            <w:r>
              <w:rPr>
                <w:rFonts w:ascii="Calibri" w:cs="Calibri" w:eastAsia="Calibri" w:hAnsi="Calibri"/>
                <w:sz w:val="17"/>
                <w:szCs w:val="17"/>
                <w:b w:val="1"/>
                <w:bCs w:val="1"/>
                <w:color w:val="auto"/>
                <w:w w:val="99"/>
              </w:rPr>
              <w:t>Wholesale Banking</w:t>
            </w:r>
          </w:p>
        </w:tc>
        <w:tc>
          <w:tcPr>
            <w:tcW w:w="1500" w:type="dxa"/>
            <w:vAlign w:val="bottom"/>
            <w:gridSpan w:val="3"/>
          </w:tcPr>
          <w:p>
            <w:pPr>
              <w:jc w:val="right"/>
              <w:spacing w:after="0" w:line="197" w:lineRule="exact"/>
              <w:rPr>
                <w:sz w:val="20"/>
                <w:szCs w:val="20"/>
                <w:color w:val="auto"/>
              </w:rPr>
            </w:pPr>
            <w:r>
              <w:rPr>
                <w:rFonts w:ascii="Calibri" w:cs="Calibri" w:eastAsia="Calibri" w:hAnsi="Calibri"/>
                <w:sz w:val="17"/>
                <w:szCs w:val="17"/>
                <w:b w:val="1"/>
                <w:bCs w:val="1"/>
                <w:color w:val="auto"/>
              </w:rPr>
              <w:t>29,12428,35125,984</w:t>
            </w:r>
          </w:p>
        </w:tc>
        <w:tc>
          <w:tcPr>
            <w:tcW w:w="7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6"/>
              </w:rPr>
              <w:t>24,898</w:t>
            </w:r>
          </w:p>
        </w:tc>
        <w:tc>
          <w:tcPr>
            <w:tcW w:w="1020" w:type="dxa"/>
            <w:vAlign w:val="bottom"/>
            <w:tcBorders>
              <w:right w:val="single" w:sz="8" w:color="auto"/>
            </w:tcBorders>
            <w:gridSpan w:val="2"/>
          </w:tcPr>
          <w:p>
            <w:pPr>
              <w:jc w:val="right"/>
              <w:spacing w:after="0" w:line="197" w:lineRule="exact"/>
              <w:rPr>
                <w:sz w:val="20"/>
                <w:szCs w:val="20"/>
                <w:color w:val="auto"/>
              </w:rPr>
            </w:pPr>
            <w:r>
              <w:rPr>
                <w:rFonts w:ascii="Calibri" w:cs="Calibri" w:eastAsia="Calibri" w:hAnsi="Calibri"/>
                <w:sz w:val="17"/>
                <w:szCs w:val="17"/>
                <w:b w:val="1"/>
                <w:bCs w:val="1"/>
                <w:color w:val="auto"/>
              </w:rPr>
              <w:t>26,51126,475</w:t>
            </w:r>
          </w:p>
        </w:tc>
        <w:tc>
          <w:tcPr>
            <w:tcW w:w="980" w:type="dxa"/>
            <w:vAlign w:val="bottom"/>
            <w:tcBorders>
              <w:right w:val="single" w:sz="8" w:color="auto"/>
            </w:tcBorders>
            <w:gridSpan w:val="2"/>
          </w:tcPr>
          <w:p>
            <w:pPr>
              <w:jc w:val="right"/>
              <w:spacing w:after="0" w:line="197" w:lineRule="exact"/>
              <w:rPr>
                <w:sz w:val="20"/>
                <w:szCs w:val="20"/>
                <w:color w:val="auto"/>
              </w:rPr>
            </w:pPr>
            <w:r>
              <w:rPr>
                <w:rFonts w:ascii="Calibri" w:cs="Calibri" w:eastAsia="Calibri" w:hAnsi="Calibri"/>
                <w:sz w:val="17"/>
                <w:szCs w:val="17"/>
                <w:b w:val="1"/>
                <w:bCs w:val="1"/>
                <w:color w:val="auto"/>
              </w:rPr>
              <w:t>-8.4% -10.8%</w:t>
            </w:r>
          </w:p>
        </w:tc>
        <w:tc>
          <w:tcPr>
            <w:tcW w:w="880" w:type="dxa"/>
            <w:vAlign w:val="bottom"/>
            <w:tcBorders>
              <w:right w:val="single" w:sz="8" w:color="auto"/>
            </w:tcBorders>
            <w:gridSpan w:val="2"/>
          </w:tcPr>
          <w:p>
            <w:pPr>
              <w:spacing w:after="0" w:line="197" w:lineRule="exact"/>
              <w:rPr>
                <w:sz w:val="20"/>
                <w:szCs w:val="20"/>
                <w:color w:val="auto"/>
              </w:rPr>
            </w:pPr>
            <w:r>
              <w:rPr>
                <w:rFonts w:ascii="Calibri" w:cs="Calibri" w:eastAsia="Calibri" w:hAnsi="Calibri"/>
                <w:sz w:val="17"/>
                <w:szCs w:val="17"/>
                <w:b w:val="1"/>
                <w:bCs w:val="1"/>
                <w:color w:val="auto"/>
              </w:rPr>
              <w:t>-0.1% 6.3%</w:t>
            </w:r>
          </w:p>
        </w:tc>
        <w:tc>
          <w:tcPr>
            <w:tcW w:w="84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6,766</w:t>
            </w:r>
          </w:p>
        </w:tc>
        <w:tc>
          <w:tcPr>
            <w:tcW w:w="82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7"/>
              </w:rPr>
              <w:t>7,505</w:t>
            </w:r>
          </w:p>
        </w:tc>
        <w:tc>
          <w:tcPr>
            <w:tcW w:w="86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7"/>
              </w:rPr>
              <w:t>7,662</w:t>
            </w:r>
          </w:p>
        </w:tc>
        <w:tc>
          <w:tcPr>
            <w:tcW w:w="840" w:type="dxa"/>
            <w:vAlign w:val="bottom"/>
            <w:tcBorders>
              <w:right w:val="single" w:sz="8" w:color="auto"/>
            </w:tcBorders>
            <w:gridSpan w:val="2"/>
          </w:tcPr>
          <w:p>
            <w:pPr>
              <w:jc w:val="right"/>
              <w:spacing w:after="0" w:line="197" w:lineRule="exact"/>
              <w:rPr>
                <w:sz w:val="20"/>
                <w:szCs w:val="20"/>
                <w:color w:val="auto"/>
              </w:rPr>
            </w:pPr>
            <w:r>
              <w:rPr>
                <w:rFonts w:ascii="Calibri" w:cs="Calibri" w:eastAsia="Calibri" w:hAnsi="Calibri"/>
                <w:sz w:val="17"/>
                <w:szCs w:val="17"/>
                <w:b w:val="1"/>
                <w:bCs w:val="1"/>
                <w:color w:val="auto"/>
                <w:w w:val="98"/>
              </w:rPr>
              <w:t>2.1% 13.2%</w:t>
            </w:r>
          </w:p>
        </w:tc>
        <w:tc>
          <w:tcPr>
            <w:tcW w:w="700" w:type="dxa"/>
            <w:vAlign w:val="bottom"/>
          </w:tcPr>
          <w:p>
            <w:pPr>
              <w:jc w:val="center"/>
              <w:ind w:left="57"/>
              <w:spacing w:after="0" w:line="197" w:lineRule="exact"/>
              <w:rPr>
                <w:sz w:val="20"/>
                <w:szCs w:val="20"/>
                <w:color w:val="auto"/>
              </w:rPr>
            </w:pPr>
            <w:r>
              <w:rPr>
                <w:rFonts w:ascii="Calibri" w:cs="Calibri" w:eastAsia="Calibri" w:hAnsi="Calibri"/>
                <w:sz w:val="17"/>
                <w:szCs w:val="17"/>
                <w:b w:val="1"/>
                <w:bCs w:val="1"/>
                <w:color w:val="auto"/>
              </w:rPr>
              <w:t>48.8%</w:t>
            </w:r>
          </w:p>
        </w:tc>
        <w:tc>
          <w:tcPr>
            <w:tcW w:w="680" w:type="dxa"/>
            <w:vAlign w:val="bottom"/>
            <w:tcBorders>
              <w:right w:val="single" w:sz="8" w:color="auto"/>
            </w:tcBorders>
          </w:tcPr>
          <w:p>
            <w:pPr>
              <w:jc w:val="center"/>
              <w:ind w:left="57"/>
              <w:spacing w:after="0" w:line="197" w:lineRule="exact"/>
              <w:rPr>
                <w:sz w:val="20"/>
                <w:szCs w:val="20"/>
                <w:color w:val="auto"/>
              </w:rPr>
            </w:pPr>
            <w:r>
              <w:rPr>
                <w:rFonts w:ascii="Calibri" w:cs="Calibri" w:eastAsia="Calibri" w:hAnsi="Calibri"/>
                <w:sz w:val="17"/>
                <w:szCs w:val="17"/>
                <w:b w:val="1"/>
                <w:bCs w:val="1"/>
                <w:color w:val="auto"/>
                <w:w w:val="98"/>
              </w:rPr>
              <w:t>51.2%</w:t>
            </w:r>
          </w:p>
        </w:tc>
        <w:tc>
          <w:tcPr>
            <w:tcW w:w="0" w:type="dxa"/>
            <w:vAlign w:val="bottom"/>
          </w:tcPr>
          <w:p>
            <w:pPr>
              <w:spacing w:after="0"/>
              <w:rPr>
                <w:sz w:val="1"/>
                <w:szCs w:val="1"/>
                <w:color w:val="auto"/>
              </w:rPr>
            </w:pPr>
          </w:p>
        </w:tc>
      </w:tr>
      <w:tr>
        <w:trPr>
          <w:trHeight w:val="28"/>
        </w:trPr>
        <w:tc>
          <w:tcPr>
            <w:tcW w:w="1520" w:type="dxa"/>
            <w:vAlign w:val="bottom"/>
            <w:tcBorders>
              <w:left w:val="single" w:sz="8" w:color="auto"/>
              <w:right w:val="single" w:sz="8" w:color="auto"/>
            </w:tcBorders>
            <w:vMerge w:val="restart"/>
          </w:tcPr>
          <w:p>
            <w:pPr>
              <w:ind w:left="280"/>
              <w:spacing w:after="0" w:line="205" w:lineRule="exact"/>
              <w:rPr>
                <w:sz w:val="20"/>
                <w:szCs w:val="20"/>
                <w:color w:val="auto"/>
              </w:rPr>
            </w:pPr>
            <w:r>
              <w:rPr>
                <w:rFonts w:ascii="Calibri" w:cs="Calibri" w:eastAsia="Calibri" w:hAnsi="Calibri"/>
                <w:sz w:val="17"/>
                <w:szCs w:val="17"/>
                <w:color w:val="auto"/>
              </w:rPr>
              <w:t>Corporate</w:t>
            </w:r>
          </w:p>
        </w:tc>
        <w:tc>
          <w:tcPr>
            <w:tcW w:w="1000" w:type="dxa"/>
            <w:vAlign w:val="bottom"/>
            <w:gridSpan w:val="2"/>
            <w:vMerge w:val="restart"/>
          </w:tcPr>
          <w:p>
            <w:pPr>
              <w:jc w:val="right"/>
              <w:spacing w:after="0" w:line="205" w:lineRule="exact"/>
              <w:rPr>
                <w:sz w:val="20"/>
                <w:szCs w:val="20"/>
                <w:color w:val="auto"/>
              </w:rPr>
            </w:pPr>
            <w:r>
              <w:rPr>
                <w:rFonts w:ascii="Calibri" w:cs="Calibri" w:eastAsia="Calibri" w:hAnsi="Calibri"/>
                <w:sz w:val="17"/>
                <w:szCs w:val="17"/>
                <w:color w:val="auto"/>
                <w:w w:val="97"/>
              </w:rPr>
              <w:t>15,503 16,044</w:t>
            </w:r>
          </w:p>
        </w:tc>
        <w:tc>
          <w:tcPr>
            <w:tcW w:w="500" w:type="dxa"/>
            <w:vAlign w:val="bottom"/>
            <w:vMerge w:val="restart"/>
          </w:tcPr>
          <w:p>
            <w:pPr>
              <w:jc w:val="right"/>
              <w:spacing w:after="0" w:line="205" w:lineRule="exact"/>
              <w:rPr>
                <w:sz w:val="20"/>
                <w:szCs w:val="20"/>
                <w:color w:val="auto"/>
              </w:rPr>
            </w:pPr>
            <w:r>
              <w:rPr>
                <w:rFonts w:ascii="Calibri" w:cs="Calibri" w:eastAsia="Calibri" w:hAnsi="Calibri"/>
                <w:sz w:val="17"/>
                <w:szCs w:val="17"/>
                <w:color w:val="auto"/>
                <w:w w:val="97"/>
              </w:rPr>
              <w:t>15,065</w:t>
            </w:r>
          </w:p>
        </w:tc>
        <w:tc>
          <w:tcPr>
            <w:tcW w:w="70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w w:val="97"/>
              </w:rPr>
              <w:t>14,652</w:t>
            </w:r>
          </w:p>
        </w:tc>
        <w:tc>
          <w:tcPr>
            <w:tcW w:w="48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rPr>
              <w:t>16,028</w:t>
            </w:r>
          </w:p>
        </w:tc>
        <w:tc>
          <w:tcPr>
            <w:tcW w:w="540" w:type="dxa"/>
            <w:vAlign w:val="bottom"/>
            <w:tcBorders>
              <w:right w:val="single" w:sz="8" w:color="auto"/>
            </w:tcBorders>
            <w:vMerge w:val="restart"/>
          </w:tcPr>
          <w:p>
            <w:pPr>
              <w:jc w:val="right"/>
              <w:spacing w:after="0" w:line="205" w:lineRule="exact"/>
              <w:rPr>
                <w:sz w:val="20"/>
                <w:szCs w:val="20"/>
                <w:color w:val="auto"/>
              </w:rPr>
            </w:pPr>
            <w:r>
              <w:rPr>
                <w:rFonts w:ascii="Calibri" w:cs="Calibri" w:eastAsia="Calibri" w:hAnsi="Calibri"/>
                <w:sz w:val="17"/>
                <w:szCs w:val="17"/>
                <w:color w:val="auto"/>
              </w:rPr>
              <w:t>15,827</w:t>
            </w:r>
          </w:p>
        </w:tc>
        <w:tc>
          <w:tcPr>
            <w:tcW w:w="460" w:type="dxa"/>
            <w:vAlign w:val="bottom"/>
          </w:tcPr>
          <w:p>
            <w:pPr>
              <w:spacing w:after="0"/>
              <w:rPr>
                <w:sz w:val="2"/>
                <w:szCs w:val="2"/>
                <w:color w:val="auto"/>
              </w:rPr>
            </w:pPr>
          </w:p>
        </w:tc>
        <w:tc>
          <w:tcPr>
            <w:tcW w:w="520" w:type="dxa"/>
            <w:vAlign w:val="bottom"/>
            <w:tcBorders>
              <w:right w:val="single" w:sz="8" w:color="auto"/>
            </w:tcBorders>
            <w:vMerge w:val="restart"/>
          </w:tcPr>
          <w:p>
            <w:pPr>
              <w:jc w:val="center"/>
              <w:spacing w:after="0" w:line="205" w:lineRule="exact"/>
              <w:rPr>
                <w:sz w:val="20"/>
                <w:szCs w:val="20"/>
                <w:color w:val="auto"/>
              </w:rPr>
            </w:pPr>
            <w:r>
              <w:rPr>
                <w:rFonts w:ascii="Calibri" w:cs="Calibri" w:eastAsia="Calibri" w:hAnsi="Calibri"/>
                <w:sz w:val="17"/>
                <w:szCs w:val="17"/>
                <w:color w:val="auto"/>
                <w:w w:val="97"/>
              </w:rPr>
              <w:t>-2.8%</w:t>
            </w:r>
          </w:p>
        </w:tc>
        <w:tc>
          <w:tcPr>
            <w:tcW w:w="4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4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rPr>
              <w:t>4,129</w:t>
            </w:r>
          </w:p>
        </w:tc>
        <w:tc>
          <w:tcPr>
            <w:tcW w:w="820" w:type="dxa"/>
            <w:vAlign w:val="bottom"/>
            <w:vMerge w:val="restart"/>
          </w:tcPr>
          <w:p>
            <w:pPr>
              <w:jc w:val="center"/>
              <w:spacing w:after="0" w:line="205" w:lineRule="exact"/>
              <w:rPr>
                <w:sz w:val="20"/>
                <w:szCs w:val="20"/>
                <w:color w:val="auto"/>
              </w:rPr>
            </w:pPr>
            <w:r>
              <w:rPr>
                <w:rFonts w:ascii="Calibri" w:cs="Calibri" w:eastAsia="Calibri" w:hAnsi="Calibri"/>
                <w:sz w:val="17"/>
                <w:szCs w:val="17"/>
                <w:color w:val="auto"/>
                <w:w w:val="97"/>
              </w:rPr>
              <w:t>4,525</w:t>
            </w:r>
          </w:p>
        </w:tc>
        <w:tc>
          <w:tcPr>
            <w:tcW w:w="860" w:type="dxa"/>
            <w:vAlign w:val="bottom"/>
            <w:tcBorders>
              <w:right w:val="single" w:sz="8" w:color="auto"/>
            </w:tcBorders>
            <w:vMerge w:val="restart"/>
          </w:tcPr>
          <w:p>
            <w:pPr>
              <w:jc w:val="center"/>
              <w:spacing w:after="0" w:line="205" w:lineRule="exact"/>
              <w:rPr>
                <w:sz w:val="20"/>
                <w:szCs w:val="20"/>
                <w:color w:val="auto"/>
              </w:rPr>
            </w:pPr>
            <w:r>
              <w:rPr>
                <w:rFonts w:ascii="Calibri" w:cs="Calibri" w:eastAsia="Calibri" w:hAnsi="Calibri"/>
                <w:sz w:val="17"/>
                <w:szCs w:val="17"/>
                <w:color w:val="auto"/>
                <w:w w:val="97"/>
              </w:rPr>
              <w:t>4,639</w:t>
            </w:r>
          </w:p>
        </w:tc>
        <w:tc>
          <w:tcPr>
            <w:tcW w:w="38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700" w:type="dxa"/>
            <w:vAlign w:val="bottom"/>
            <w:vMerge w:val="restart"/>
          </w:tcPr>
          <w:p>
            <w:pPr>
              <w:jc w:val="center"/>
              <w:ind w:left="77"/>
              <w:spacing w:after="0" w:line="205" w:lineRule="exact"/>
              <w:rPr>
                <w:sz w:val="20"/>
                <w:szCs w:val="20"/>
                <w:color w:val="auto"/>
              </w:rPr>
            </w:pPr>
            <w:r>
              <w:rPr>
                <w:rFonts w:ascii="Calibri" w:cs="Calibri" w:eastAsia="Calibri" w:hAnsi="Calibri"/>
                <w:sz w:val="17"/>
                <w:szCs w:val="17"/>
                <w:color w:val="auto"/>
                <w:w w:val="99"/>
              </w:rPr>
              <w:t>47.1%</w:t>
            </w:r>
          </w:p>
        </w:tc>
        <w:tc>
          <w:tcPr>
            <w:tcW w:w="680" w:type="dxa"/>
            <w:vAlign w:val="bottom"/>
            <w:tcBorders>
              <w:right w:val="single" w:sz="8" w:color="auto"/>
            </w:tcBorders>
            <w:vMerge w:val="restart"/>
          </w:tcPr>
          <w:p>
            <w:pPr>
              <w:jc w:val="center"/>
              <w:ind w:left="57"/>
              <w:spacing w:after="0" w:line="205" w:lineRule="exact"/>
              <w:rPr>
                <w:sz w:val="20"/>
                <w:szCs w:val="20"/>
                <w:color w:val="auto"/>
              </w:rPr>
            </w:pPr>
            <w:r>
              <w:rPr>
                <w:rFonts w:ascii="Calibri" w:cs="Calibri" w:eastAsia="Calibri" w:hAnsi="Calibri"/>
                <w:sz w:val="17"/>
                <w:szCs w:val="17"/>
                <w:color w:val="auto"/>
                <w:w w:val="99"/>
              </w:rPr>
              <w:t>52.9%</w:t>
            </w:r>
          </w:p>
        </w:tc>
        <w:tc>
          <w:tcPr>
            <w:tcW w:w="0" w:type="dxa"/>
            <w:vAlign w:val="bottom"/>
          </w:tcPr>
          <w:p>
            <w:pPr>
              <w:spacing w:after="0" w:line="20" w:lineRule="exact"/>
              <w:rPr>
                <w:sz w:val="1"/>
                <w:szCs w:val="1"/>
                <w:color w:val="auto"/>
              </w:rPr>
            </w:pPr>
          </w:p>
        </w:tc>
      </w:tr>
      <w:tr>
        <w:trPr>
          <w:trHeight w:val="204"/>
        </w:trPr>
        <w:tc>
          <w:tcPr>
            <w:tcW w:w="1520" w:type="dxa"/>
            <w:vAlign w:val="bottom"/>
            <w:tcBorders>
              <w:left w:val="single" w:sz="8" w:color="auto"/>
              <w:right w:val="single" w:sz="8" w:color="auto"/>
            </w:tcBorders>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460" w:type="dxa"/>
            <w:vAlign w:val="bottom"/>
            <w:shd w:val="clear" w:color="auto" w:fill="E93CAC"/>
          </w:tcPr>
          <w:p>
            <w:pPr>
              <w:jc w:val="center"/>
              <w:spacing w:after="0" w:line="197" w:lineRule="exact"/>
              <w:rPr>
                <w:sz w:val="20"/>
                <w:szCs w:val="20"/>
                <w:color w:val="auto"/>
              </w:rPr>
            </w:pPr>
            <w:r>
              <w:rPr>
                <w:rFonts w:ascii="Calibri" w:cs="Calibri" w:eastAsia="Calibri" w:hAnsi="Calibri"/>
                <w:sz w:val="17"/>
                <w:szCs w:val="17"/>
                <w:color w:val="auto"/>
                <w:w w:val="97"/>
              </w:rPr>
              <w:t>-6.1%</w:t>
            </w:r>
          </w:p>
        </w:tc>
        <w:tc>
          <w:tcPr>
            <w:tcW w:w="520" w:type="dxa"/>
            <w:vAlign w:val="bottom"/>
            <w:tcBorders>
              <w:right w:val="single" w:sz="8" w:color="auto"/>
            </w:tcBorders>
            <w:vMerge w:val="continue"/>
          </w:tcPr>
          <w:p>
            <w:pPr>
              <w:spacing w:after="0"/>
              <w:rPr>
                <w:sz w:val="17"/>
                <w:szCs w:val="17"/>
                <w:color w:val="auto"/>
              </w:rPr>
            </w:pPr>
          </w:p>
        </w:tc>
        <w:tc>
          <w:tcPr>
            <w:tcW w:w="400" w:type="dxa"/>
            <w:vAlign w:val="bottom"/>
            <w:shd w:val="clear" w:color="auto" w:fill="E93CAC"/>
          </w:tcPr>
          <w:p>
            <w:pPr>
              <w:jc w:val="center"/>
              <w:spacing w:after="0" w:line="197" w:lineRule="exact"/>
              <w:rPr>
                <w:sz w:val="20"/>
                <w:szCs w:val="20"/>
                <w:color w:val="auto"/>
              </w:rPr>
            </w:pPr>
            <w:r>
              <w:rPr>
                <w:rFonts w:ascii="Calibri" w:cs="Calibri" w:eastAsia="Calibri" w:hAnsi="Calibri"/>
                <w:sz w:val="17"/>
                <w:szCs w:val="17"/>
                <w:color w:val="auto"/>
                <w:w w:val="97"/>
              </w:rPr>
              <w:t>-1.3%</w:t>
            </w:r>
          </w:p>
        </w:tc>
        <w:tc>
          <w:tcPr>
            <w:tcW w:w="480" w:type="dxa"/>
            <w:vAlign w:val="bottom"/>
            <w:tcBorders>
              <w:right w:val="single" w:sz="8" w:color="auto"/>
            </w:tcBorders>
            <w:shd w:val="clear" w:color="auto" w:fill="26D07C"/>
          </w:tcPr>
          <w:p>
            <w:pPr>
              <w:jc w:val="center"/>
              <w:spacing w:after="0" w:line="197" w:lineRule="exact"/>
              <w:rPr>
                <w:sz w:val="20"/>
                <w:szCs w:val="20"/>
                <w:color w:val="auto"/>
              </w:rPr>
            </w:pPr>
            <w:r>
              <w:rPr>
                <w:rFonts w:ascii="Calibri" w:cs="Calibri" w:eastAsia="Calibri" w:hAnsi="Calibri"/>
                <w:sz w:val="17"/>
                <w:szCs w:val="17"/>
                <w:color w:val="auto"/>
              </w:rPr>
              <w:t>8.0%</w:t>
            </w:r>
          </w:p>
        </w:tc>
        <w:tc>
          <w:tcPr>
            <w:tcW w:w="8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60" w:type="dxa"/>
            <w:vAlign w:val="bottom"/>
            <w:tcBorders>
              <w:right w:val="single" w:sz="8" w:color="auto"/>
            </w:tcBorders>
            <w:vMerge w:val="continue"/>
          </w:tcPr>
          <w:p>
            <w:pPr>
              <w:spacing w:after="0"/>
              <w:rPr>
                <w:sz w:val="17"/>
                <w:szCs w:val="17"/>
                <w:color w:val="auto"/>
              </w:rPr>
            </w:pPr>
          </w:p>
        </w:tc>
        <w:tc>
          <w:tcPr>
            <w:tcW w:w="840" w:type="dxa"/>
            <w:vAlign w:val="bottom"/>
            <w:tcBorders>
              <w:right w:val="single" w:sz="8" w:color="auto"/>
            </w:tcBorders>
            <w:gridSpan w:val="2"/>
            <w:shd w:val="clear" w:color="auto" w:fill="26D07C"/>
          </w:tcPr>
          <w:p>
            <w:pPr>
              <w:jc w:val="right"/>
              <w:spacing w:after="0" w:line="197" w:lineRule="exact"/>
              <w:rPr>
                <w:sz w:val="20"/>
                <w:szCs w:val="20"/>
                <w:color w:val="auto"/>
              </w:rPr>
            </w:pPr>
            <w:r>
              <w:rPr>
                <w:rFonts w:ascii="Calibri" w:cs="Calibri" w:eastAsia="Calibri" w:hAnsi="Calibri"/>
                <w:sz w:val="17"/>
                <w:szCs w:val="17"/>
                <w:color w:val="auto"/>
              </w:rPr>
              <w:t>2.5% 12.3%</w:t>
            </w:r>
          </w:p>
        </w:tc>
        <w:tc>
          <w:tcPr>
            <w:tcW w:w="700" w:type="dxa"/>
            <w:vAlign w:val="bottom"/>
            <w:vMerge w:val="continue"/>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20" w:type="dxa"/>
            <w:vAlign w:val="bottom"/>
            <w:tcBorders>
              <w:left w:val="single" w:sz="8" w:color="auto"/>
              <w:right w:val="single" w:sz="8" w:color="auto"/>
            </w:tcBorders>
          </w:tcPr>
          <w:p>
            <w:pPr>
              <w:ind w:left="280"/>
              <w:spacing w:after="0" w:line="197" w:lineRule="exact"/>
              <w:rPr>
                <w:sz w:val="20"/>
                <w:szCs w:val="20"/>
                <w:color w:val="auto"/>
              </w:rPr>
            </w:pPr>
            <w:r>
              <w:rPr>
                <w:rFonts w:ascii="Calibri" w:cs="Calibri" w:eastAsia="Calibri" w:hAnsi="Calibri"/>
                <w:sz w:val="17"/>
                <w:szCs w:val="17"/>
                <w:color w:val="auto"/>
              </w:rPr>
              <w:t>Middle - Market</w:t>
            </w:r>
          </w:p>
        </w:tc>
        <w:tc>
          <w:tcPr>
            <w:tcW w:w="1000" w:type="dxa"/>
            <w:vAlign w:val="bottom"/>
            <w:gridSpan w:val="2"/>
          </w:tcPr>
          <w:p>
            <w:pPr>
              <w:jc w:val="right"/>
              <w:spacing w:after="0" w:line="197" w:lineRule="exact"/>
              <w:rPr>
                <w:sz w:val="20"/>
                <w:szCs w:val="20"/>
                <w:color w:val="auto"/>
              </w:rPr>
            </w:pPr>
            <w:r>
              <w:rPr>
                <w:rFonts w:ascii="Calibri" w:cs="Calibri" w:eastAsia="Calibri" w:hAnsi="Calibri"/>
                <w:sz w:val="17"/>
                <w:szCs w:val="17"/>
                <w:color w:val="auto"/>
                <w:w w:val="97"/>
              </w:rPr>
              <w:t>13,621 12,307</w:t>
            </w:r>
          </w:p>
        </w:tc>
        <w:tc>
          <w:tcPr>
            <w:tcW w:w="500" w:type="dxa"/>
            <w:vAlign w:val="bottom"/>
          </w:tcPr>
          <w:p>
            <w:pPr>
              <w:jc w:val="right"/>
              <w:spacing w:after="0" w:line="197" w:lineRule="exact"/>
              <w:rPr>
                <w:sz w:val="20"/>
                <w:szCs w:val="20"/>
                <w:color w:val="auto"/>
              </w:rPr>
            </w:pPr>
            <w:r>
              <w:rPr>
                <w:rFonts w:ascii="Calibri" w:cs="Calibri" w:eastAsia="Calibri" w:hAnsi="Calibri"/>
                <w:sz w:val="17"/>
                <w:szCs w:val="17"/>
                <w:color w:val="auto"/>
                <w:w w:val="97"/>
              </w:rPr>
              <w:t>10,919</w:t>
            </w:r>
          </w:p>
        </w:tc>
        <w:tc>
          <w:tcPr>
            <w:tcW w:w="700" w:type="dxa"/>
            <w:vAlign w:val="bottom"/>
          </w:tcPr>
          <w:p>
            <w:pPr>
              <w:jc w:val="center"/>
              <w:spacing w:after="0" w:line="197" w:lineRule="exact"/>
              <w:rPr>
                <w:sz w:val="20"/>
                <w:szCs w:val="20"/>
                <w:color w:val="auto"/>
              </w:rPr>
            </w:pPr>
            <w:r>
              <w:rPr>
                <w:rFonts w:ascii="Calibri" w:cs="Calibri" w:eastAsia="Calibri" w:hAnsi="Calibri"/>
                <w:sz w:val="17"/>
                <w:szCs w:val="17"/>
                <w:color w:val="auto"/>
                <w:w w:val="97"/>
              </w:rPr>
              <w:t>10,246</w:t>
            </w:r>
          </w:p>
        </w:tc>
        <w:tc>
          <w:tcPr>
            <w:tcW w:w="480" w:type="dxa"/>
            <w:vAlign w:val="bottom"/>
          </w:tcPr>
          <w:p>
            <w:pPr>
              <w:jc w:val="center"/>
              <w:spacing w:after="0" w:line="197" w:lineRule="exact"/>
              <w:rPr>
                <w:sz w:val="20"/>
                <w:szCs w:val="20"/>
                <w:color w:val="auto"/>
              </w:rPr>
            </w:pPr>
            <w:r>
              <w:rPr>
                <w:rFonts w:ascii="Calibri" w:cs="Calibri" w:eastAsia="Calibri" w:hAnsi="Calibri"/>
                <w:sz w:val="17"/>
                <w:szCs w:val="17"/>
                <w:color w:val="auto"/>
              </w:rPr>
              <w:t>10,482</w:t>
            </w:r>
          </w:p>
        </w:tc>
        <w:tc>
          <w:tcPr>
            <w:tcW w:w="540" w:type="dxa"/>
            <w:vAlign w:val="bottom"/>
            <w:tcBorders>
              <w:right w:val="single" w:sz="8" w:color="auto"/>
            </w:tcBorders>
          </w:tcPr>
          <w:p>
            <w:pPr>
              <w:jc w:val="right"/>
              <w:spacing w:after="0" w:line="197" w:lineRule="exact"/>
              <w:rPr>
                <w:sz w:val="20"/>
                <w:szCs w:val="20"/>
                <w:color w:val="auto"/>
              </w:rPr>
            </w:pPr>
            <w:r>
              <w:rPr>
                <w:rFonts w:ascii="Calibri" w:cs="Calibri" w:eastAsia="Calibri" w:hAnsi="Calibri"/>
                <w:sz w:val="17"/>
                <w:szCs w:val="17"/>
                <w:color w:val="auto"/>
              </w:rPr>
              <w:t>10,648</w:t>
            </w:r>
          </w:p>
        </w:tc>
        <w:tc>
          <w:tcPr>
            <w:tcW w:w="460" w:type="dxa"/>
            <w:vAlign w:val="bottom"/>
            <w:shd w:val="clear" w:color="auto" w:fill="E93CAC"/>
          </w:tcPr>
          <w:p>
            <w:pPr>
              <w:jc w:val="center"/>
              <w:spacing w:after="0" w:line="197" w:lineRule="exact"/>
              <w:rPr>
                <w:sz w:val="20"/>
                <w:szCs w:val="20"/>
                <w:color w:val="auto"/>
              </w:rPr>
            </w:pPr>
            <w:r>
              <w:rPr>
                <w:rFonts w:ascii="Calibri" w:cs="Calibri" w:eastAsia="Calibri" w:hAnsi="Calibri"/>
                <w:sz w:val="17"/>
                <w:szCs w:val="17"/>
                <w:color w:val="auto"/>
                <w:w w:val="96"/>
              </w:rPr>
              <w:t>-11.3%</w:t>
            </w:r>
          </w:p>
        </w:tc>
        <w:tc>
          <w:tcPr>
            <w:tcW w:w="520" w:type="dxa"/>
            <w:vAlign w:val="bottom"/>
            <w:tcBorders>
              <w:right w:val="single" w:sz="8" w:color="auto"/>
            </w:tcBorders>
            <w:shd w:val="clear" w:color="auto" w:fill="E93CAC"/>
          </w:tcPr>
          <w:p>
            <w:pPr>
              <w:jc w:val="center"/>
              <w:spacing w:after="0" w:line="197" w:lineRule="exact"/>
              <w:rPr>
                <w:sz w:val="20"/>
                <w:szCs w:val="20"/>
                <w:color w:val="auto"/>
              </w:rPr>
            </w:pPr>
            <w:r>
              <w:rPr>
                <w:rFonts w:ascii="Calibri" w:cs="Calibri" w:eastAsia="Calibri" w:hAnsi="Calibri"/>
                <w:sz w:val="17"/>
                <w:szCs w:val="17"/>
                <w:color w:val="auto"/>
                <w:w w:val="96"/>
                <w:shd w:val="clear" w:color="auto" w:fill="E93CAC"/>
              </w:rPr>
              <w:t>-19.8%</w:t>
            </w:r>
          </w:p>
        </w:tc>
        <w:tc>
          <w:tcPr>
            <w:tcW w:w="400" w:type="dxa"/>
            <w:vAlign w:val="bottom"/>
          </w:tcPr>
          <w:p>
            <w:pPr>
              <w:jc w:val="center"/>
              <w:spacing w:after="0" w:line="197" w:lineRule="exact"/>
              <w:rPr>
                <w:sz w:val="20"/>
                <w:szCs w:val="20"/>
                <w:color w:val="auto"/>
              </w:rPr>
            </w:pPr>
            <w:r>
              <w:rPr>
                <w:rFonts w:ascii="Calibri" w:cs="Calibri" w:eastAsia="Calibri" w:hAnsi="Calibri"/>
                <w:sz w:val="17"/>
                <w:szCs w:val="17"/>
                <w:color w:val="auto"/>
              </w:rPr>
              <w:t>1.6%</w:t>
            </w:r>
          </w:p>
        </w:tc>
        <w:tc>
          <w:tcPr>
            <w:tcW w:w="48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3.9%</w:t>
            </w:r>
          </w:p>
        </w:tc>
        <w:tc>
          <w:tcPr>
            <w:tcW w:w="840" w:type="dxa"/>
            <w:vAlign w:val="bottom"/>
          </w:tcPr>
          <w:p>
            <w:pPr>
              <w:jc w:val="center"/>
              <w:spacing w:after="0" w:line="197" w:lineRule="exact"/>
              <w:rPr>
                <w:sz w:val="20"/>
                <w:szCs w:val="20"/>
                <w:color w:val="auto"/>
              </w:rPr>
            </w:pPr>
            <w:r>
              <w:rPr>
                <w:rFonts w:ascii="Calibri" w:cs="Calibri" w:eastAsia="Calibri" w:hAnsi="Calibri"/>
                <w:sz w:val="17"/>
                <w:szCs w:val="17"/>
                <w:color w:val="auto"/>
              </w:rPr>
              <w:t>2,637</w:t>
            </w:r>
          </w:p>
        </w:tc>
        <w:tc>
          <w:tcPr>
            <w:tcW w:w="820" w:type="dxa"/>
            <w:vAlign w:val="bottom"/>
          </w:tcPr>
          <w:p>
            <w:pPr>
              <w:jc w:val="center"/>
              <w:spacing w:after="0" w:line="197" w:lineRule="exact"/>
              <w:rPr>
                <w:sz w:val="20"/>
                <w:szCs w:val="20"/>
                <w:color w:val="auto"/>
              </w:rPr>
            </w:pPr>
            <w:r>
              <w:rPr>
                <w:rFonts w:ascii="Calibri" w:cs="Calibri" w:eastAsia="Calibri" w:hAnsi="Calibri"/>
                <w:sz w:val="17"/>
                <w:szCs w:val="17"/>
                <w:color w:val="auto"/>
                <w:w w:val="97"/>
              </w:rPr>
              <w:t>2,980</w:t>
            </w:r>
          </w:p>
        </w:tc>
        <w:tc>
          <w:tcPr>
            <w:tcW w:w="86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7"/>
              </w:rPr>
              <w:t>3,023</w:t>
            </w:r>
          </w:p>
        </w:tc>
        <w:tc>
          <w:tcPr>
            <w:tcW w:w="380" w:type="dxa"/>
            <w:vAlign w:val="bottom"/>
          </w:tcPr>
          <w:p>
            <w:pPr>
              <w:jc w:val="right"/>
              <w:spacing w:after="0" w:line="197" w:lineRule="exact"/>
              <w:rPr>
                <w:sz w:val="20"/>
                <w:szCs w:val="20"/>
                <w:color w:val="auto"/>
              </w:rPr>
            </w:pPr>
            <w:r>
              <w:rPr>
                <w:rFonts w:ascii="Calibri" w:cs="Calibri" w:eastAsia="Calibri" w:hAnsi="Calibri"/>
                <w:sz w:val="17"/>
                <w:szCs w:val="17"/>
                <w:color w:val="auto"/>
              </w:rPr>
              <w:t>1.5%</w:t>
            </w:r>
          </w:p>
        </w:tc>
        <w:tc>
          <w:tcPr>
            <w:tcW w:w="460" w:type="dxa"/>
            <w:vAlign w:val="bottom"/>
            <w:tcBorders>
              <w:right w:val="single" w:sz="8" w:color="auto"/>
            </w:tcBorders>
            <w:shd w:val="clear" w:color="auto" w:fill="26D07C"/>
          </w:tcPr>
          <w:p>
            <w:pPr>
              <w:jc w:val="right"/>
              <w:spacing w:after="0" w:line="197" w:lineRule="exact"/>
              <w:rPr>
                <w:sz w:val="20"/>
                <w:szCs w:val="20"/>
                <w:color w:val="auto"/>
              </w:rPr>
            </w:pPr>
            <w:r>
              <w:rPr>
                <w:rFonts w:ascii="Calibri" w:cs="Calibri" w:eastAsia="Calibri" w:hAnsi="Calibri"/>
                <w:sz w:val="17"/>
                <w:szCs w:val="17"/>
                <w:color w:val="auto"/>
                <w:w w:val="99"/>
                <w:shd w:val="clear" w:color="auto" w:fill="26D07C"/>
              </w:rPr>
              <w:t>14.6%</w:t>
            </w:r>
          </w:p>
        </w:tc>
        <w:tc>
          <w:tcPr>
            <w:tcW w:w="700" w:type="dxa"/>
            <w:vAlign w:val="bottom"/>
          </w:tcPr>
          <w:p>
            <w:pPr>
              <w:jc w:val="center"/>
              <w:ind w:left="77"/>
              <w:spacing w:after="0" w:line="197" w:lineRule="exact"/>
              <w:rPr>
                <w:sz w:val="20"/>
                <w:szCs w:val="20"/>
                <w:color w:val="auto"/>
              </w:rPr>
            </w:pPr>
            <w:r>
              <w:rPr>
                <w:rFonts w:ascii="Calibri" w:cs="Calibri" w:eastAsia="Calibri" w:hAnsi="Calibri"/>
                <w:sz w:val="17"/>
                <w:szCs w:val="17"/>
                <w:color w:val="auto"/>
                <w:w w:val="99"/>
              </w:rPr>
              <w:t>51.2%</w:t>
            </w:r>
          </w:p>
        </w:tc>
        <w:tc>
          <w:tcPr>
            <w:tcW w:w="680" w:type="dxa"/>
            <w:vAlign w:val="bottom"/>
            <w:tcBorders>
              <w:right w:val="single" w:sz="8" w:color="auto"/>
            </w:tcBorders>
          </w:tcPr>
          <w:p>
            <w:pPr>
              <w:jc w:val="center"/>
              <w:ind w:left="57"/>
              <w:spacing w:after="0" w:line="197" w:lineRule="exact"/>
              <w:rPr>
                <w:sz w:val="20"/>
                <w:szCs w:val="20"/>
                <w:color w:val="auto"/>
              </w:rPr>
            </w:pPr>
            <w:r>
              <w:rPr>
                <w:rFonts w:ascii="Calibri" w:cs="Calibri" w:eastAsia="Calibri" w:hAnsi="Calibri"/>
                <w:sz w:val="17"/>
                <w:szCs w:val="17"/>
                <w:color w:val="auto"/>
                <w:w w:val="99"/>
              </w:rPr>
              <w:t>48.8%</w:t>
            </w:r>
          </w:p>
        </w:tc>
        <w:tc>
          <w:tcPr>
            <w:tcW w:w="0" w:type="dxa"/>
            <w:vAlign w:val="bottom"/>
          </w:tcPr>
          <w:p>
            <w:pPr>
              <w:spacing w:after="0"/>
              <w:rPr>
                <w:sz w:val="1"/>
                <w:szCs w:val="1"/>
                <w:color w:val="auto"/>
              </w:rPr>
            </w:pPr>
          </w:p>
        </w:tc>
      </w:tr>
      <w:tr>
        <w:trPr>
          <w:trHeight w:val="204"/>
        </w:trPr>
        <w:tc>
          <w:tcPr>
            <w:tcW w:w="1520" w:type="dxa"/>
            <w:vAlign w:val="bottom"/>
            <w:tcBorders>
              <w:left w:val="single" w:sz="8" w:color="auto"/>
              <w:right w:val="single" w:sz="8" w:color="auto"/>
            </w:tcBorders>
          </w:tcPr>
          <w:p>
            <w:pPr>
              <w:ind w:left="140"/>
              <w:spacing w:after="0" w:line="197" w:lineRule="exact"/>
              <w:rPr>
                <w:sz w:val="20"/>
                <w:szCs w:val="20"/>
                <w:color w:val="auto"/>
              </w:rPr>
            </w:pPr>
            <w:r>
              <w:rPr>
                <w:rFonts w:ascii="Calibri" w:cs="Calibri" w:eastAsia="Calibri" w:hAnsi="Calibri"/>
                <w:sz w:val="17"/>
                <w:szCs w:val="17"/>
                <w:b w:val="1"/>
                <w:bCs w:val="1"/>
                <w:color w:val="auto"/>
              </w:rPr>
              <w:t>Retail Banking</w:t>
            </w:r>
          </w:p>
        </w:tc>
        <w:tc>
          <w:tcPr>
            <w:tcW w:w="1500" w:type="dxa"/>
            <w:vAlign w:val="bottom"/>
            <w:gridSpan w:val="3"/>
          </w:tcPr>
          <w:p>
            <w:pPr>
              <w:jc w:val="right"/>
              <w:spacing w:after="0" w:line="197" w:lineRule="exact"/>
              <w:rPr>
                <w:sz w:val="20"/>
                <w:szCs w:val="20"/>
                <w:color w:val="auto"/>
              </w:rPr>
            </w:pPr>
            <w:r>
              <w:rPr>
                <w:rFonts w:ascii="Calibri" w:cs="Calibri" w:eastAsia="Calibri" w:hAnsi="Calibri"/>
                <w:sz w:val="17"/>
                <w:szCs w:val="17"/>
                <w:b w:val="1"/>
                <w:bCs w:val="1"/>
                <w:color w:val="auto"/>
              </w:rPr>
              <w:t>56,16656,75556,133</w:t>
            </w:r>
          </w:p>
        </w:tc>
        <w:tc>
          <w:tcPr>
            <w:tcW w:w="7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6"/>
              </w:rPr>
              <w:t>42,323</w:t>
            </w:r>
          </w:p>
        </w:tc>
        <w:tc>
          <w:tcPr>
            <w:tcW w:w="1020" w:type="dxa"/>
            <w:vAlign w:val="bottom"/>
            <w:tcBorders>
              <w:right w:val="single" w:sz="8" w:color="auto"/>
            </w:tcBorders>
            <w:gridSpan w:val="2"/>
          </w:tcPr>
          <w:p>
            <w:pPr>
              <w:jc w:val="right"/>
              <w:spacing w:after="0" w:line="197" w:lineRule="exact"/>
              <w:rPr>
                <w:sz w:val="20"/>
                <w:szCs w:val="20"/>
                <w:color w:val="auto"/>
              </w:rPr>
            </w:pPr>
            <w:r>
              <w:rPr>
                <w:rFonts w:ascii="Calibri" w:cs="Calibri" w:eastAsia="Calibri" w:hAnsi="Calibri"/>
                <w:sz w:val="17"/>
                <w:szCs w:val="17"/>
                <w:b w:val="1"/>
                <w:bCs w:val="1"/>
                <w:color w:val="auto"/>
              </w:rPr>
              <w:t>47,54949,009</w:t>
            </w:r>
          </w:p>
        </w:tc>
        <w:tc>
          <w:tcPr>
            <w:tcW w:w="46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6"/>
              </w:rPr>
              <w:t>-1.1%</w:t>
            </w:r>
          </w:p>
        </w:tc>
        <w:tc>
          <w:tcPr>
            <w:tcW w:w="52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6"/>
              </w:rPr>
              <w:t>-0.1%</w:t>
            </w:r>
          </w:p>
        </w:tc>
        <w:tc>
          <w:tcPr>
            <w:tcW w:w="4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9"/>
              </w:rPr>
              <w:t>3.1%</w:t>
            </w:r>
          </w:p>
        </w:tc>
        <w:tc>
          <w:tcPr>
            <w:tcW w:w="48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8"/>
              </w:rPr>
              <w:t>15.8%</w:t>
            </w:r>
          </w:p>
        </w:tc>
        <w:tc>
          <w:tcPr>
            <w:tcW w:w="84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1,747</w:t>
            </w:r>
          </w:p>
        </w:tc>
        <w:tc>
          <w:tcPr>
            <w:tcW w:w="82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7"/>
              </w:rPr>
              <w:t>1,985</w:t>
            </w:r>
          </w:p>
        </w:tc>
        <w:tc>
          <w:tcPr>
            <w:tcW w:w="86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7"/>
              </w:rPr>
              <w:t>1,953</w:t>
            </w:r>
          </w:p>
        </w:tc>
        <w:tc>
          <w:tcPr>
            <w:tcW w:w="840" w:type="dxa"/>
            <w:vAlign w:val="bottom"/>
            <w:tcBorders>
              <w:right w:val="single" w:sz="8" w:color="auto"/>
            </w:tcBorders>
            <w:gridSpan w:val="2"/>
          </w:tcPr>
          <w:p>
            <w:pPr>
              <w:jc w:val="right"/>
              <w:spacing w:after="0" w:line="197" w:lineRule="exact"/>
              <w:rPr>
                <w:sz w:val="20"/>
                <w:szCs w:val="20"/>
                <w:color w:val="auto"/>
              </w:rPr>
            </w:pPr>
            <w:r>
              <w:rPr>
                <w:rFonts w:ascii="Calibri" w:cs="Calibri" w:eastAsia="Calibri" w:hAnsi="Calibri"/>
                <w:sz w:val="17"/>
                <w:szCs w:val="17"/>
                <w:b w:val="1"/>
                <w:bCs w:val="1"/>
                <w:color w:val="auto"/>
                <w:w w:val="97"/>
              </w:rPr>
              <w:t>-1.6%11.8%</w:t>
            </w:r>
          </w:p>
        </w:tc>
        <w:tc>
          <w:tcPr>
            <w:tcW w:w="700" w:type="dxa"/>
            <w:vAlign w:val="bottom"/>
          </w:tcPr>
          <w:p>
            <w:pPr>
              <w:jc w:val="center"/>
              <w:ind w:left="57"/>
              <w:spacing w:after="0" w:line="197" w:lineRule="exact"/>
              <w:rPr>
                <w:sz w:val="20"/>
                <w:szCs w:val="20"/>
                <w:color w:val="auto"/>
              </w:rPr>
            </w:pPr>
            <w:r>
              <w:rPr>
                <w:rFonts w:ascii="Calibri" w:cs="Calibri" w:eastAsia="Calibri" w:hAnsi="Calibri"/>
                <w:sz w:val="17"/>
                <w:szCs w:val="17"/>
                <w:b w:val="1"/>
                <w:bCs w:val="1"/>
                <w:color w:val="auto"/>
              </w:rPr>
              <w:t>87.9%</w:t>
            </w:r>
          </w:p>
        </w:tc>
        <w:tc>
          <w:tcPr>
            <w:tcW w:w="680" w:type="dxa"/>
            <w:vAlign w:val="bottom"/>
            <w:tcBorders>
              <w:right w:val="single" w:sz="8" w:color="auto"/>
            </w:tcBorders>
          </w:tcPr>
          <w:p>
            <w:pPr>
              <w:jc w:val="center"/>
              <w:ind w:left="57"/>
              <w:spacing w:after="0" w:line="197" w:lineRule="exact"/>
              <w:rPr>
                <w:sz w:val="20"/>
                <w:szCs w:val="20"/>
                <w:color w:val="auto"/>
              </w:rPr>
            </w:pPr>
            <w:r>
              <w:rPr>
                <w:rFonts w:ascii="Calibri" w:cs="Calibri" w:eastAsia="Calibri" w:hAnsi="Calibri"/>
                <w:sz w:val="17"/>
                <w:szCs w:val="17"/>
                <w:b w:val="1"/>
                <w:bCs w:val="1"/>
                <w:color w:val="auto"/>
                <w:w w:val="98"/>
              </w:rPr>
              <w:t>12.1%</w:t>
            </w:r>
          </w:p>
        </w:tc>
        <w:tc>
          <w:tcPr>
            <w:tcW w:w="0" w:type="dxa"/>
            <w:vAlign w:val="bottom"/>
          </w:tcPr>
          <w:p>
            <w:pPr>
              <w:spacing w:after="0"/>
              <w:rPr>
                <w:sz w:val="1"/>
                <w:szCs w:val="1"/>
                <w:color w:val="auto"/>
              </w:rPr>
            </w:pPr>
          </w:p>
        </w:tc>
      </w:tr>
      <w:tr>
        <w:trPr>
          <w:trHeight w:val="197"/>
        </w:trPr>
        <w:tc>
          <w:tcPr>
            <w:tcW w:w="1520" w:type="dxa"/>
            <w:vAlign w:val="bottom"/>
            <w:tcBorders>
              <w:left w:val="single" w:sz="8" w:color="auto"/>
              <w:right w:val="single" w:sz="8" w:color="auto"/>
            </w:tcBorders>
          </w:tcPr>
          <w:p>
            <w:pPr>
              <w:ind w:left="280"/>
              <w:spacing w:after="0" w:line="197" w:lineRule="exact"/>
              <w:rPr>
                <w:sz w:val="20"/>
                <w:szCs w:val="20"/>
                <w:color w:val="auto"/>
              </w:rPr>
            </w:pPr>
            <w:r>
              <w:rPr>
                <w:rFonts w:ascii="Calibri" w:cs="Calibri" w:eastAsia="Calibri" w:hAnsi="Calibri"/>
                <w:sz w:val="17"/>
                <w:szCs w:val="17"/>
                <w:color w:val="auto"/>
              </w:rPr>
              <w:t>SME - Business</w:t>
            </w:r>
          </w:p>
        </w:tc>
        <w:tc>
          <w:tcPr>
            <w:tcW w:w="480" w:type="dxa"/>
            <w:vAlign w:val="bottom"/>
          </w:tcPr>
          <w:p>
            <w:pPr>
              <w:jc w:val="center"/>
              <w:spacing w:after="0" w:line="197" w:lineRule="exact"/>
              <w:rPr>
                <w:sz w:val="20"/>
                <w:szCs w:val="20"/>
                <w:color w:val="auto"/>
              </w:rPr>
            </w:pPr>
            <w:r>
              <w:rPr>
                <w:rFonts w:ascii="Calibri" w:cs="Calibri" w:eastAsia="Calibri" w:hAnsi="Calibri"/>
                <w:sz w:val="17"/>
                <w:szCs w:val="17"/>
                <w:color w:val="auto"/>
                <w:w w:val="97"/>
              </w:rPr>
              <w:t>7,061</w:t>
            </w:r>
          </w:p>
        </w:tc>
        <w:tc>
          <w:tcPr>
            <w:tcW w:w="520" w:type="dxa"/>
            <w:vAlign w:val="bottom"/>
          </w:tcPr>
          <w:p>
            <w:pPr>
              <w:jc w:val="center"/>
              <w:spacing w:after="0" w:line="197" w:lineRule="exact"/>
              <w:rPr>
                <w:sz w:val="20"/>
                <w:szCs w:val="20"/>
                <w:color w:val="auto"/>
              </w:rPr>
            </w:pPr>
            <w:r>
              <w:rPr>
                <w:rFonts w:ascii="Calibri" w:cs="Calibri" w:eastAsia="Calibri" w:hAnsi="Calibri"/>
                <w:sz w:val="17"/>
                <w:szCs w:val="17"/>
                <w:color w:val="auto"/>
                <w:w w:val="97"/>
              </w:rPr>
              <w:t>5,530</w:t>
            </w:r>
          </w:p>
        </w:tc>
        <w:tc>
          <w:tcPr>
            <w:tcW w:w="500" w:type="dxa"/>
            <w:vAlign w:val="bottom"/>
          </w:tcPr>
          <w:p>
            <w:pPr>
              <w:jc w:val="center"/>
              <w:spacing w:after="0" w:line="197" w:lineRule="exact"/>
              <w:rPr>
                <w:sz w:val="20"/>
                <w:szCs w:val="20"/>
                <w:color w:val="auto"/>
              </w:rPr>
            </w:pPr>
            <w:r>
              <w:rPr>
                <w:rFonts w:ascii="Calibri" w:cs="Calibri" w:eastAsia="Calibri" w:hAnsi="Calibri"/>
                <w:sz w:val="17"/>
                <w:szCs w:val="17"/>
                <w:color w:val="auto"/>
                <w:w w:val="97"/>
              </w:rPr>
              <w:t>4,970</w:t>
            </w:r>
          </w:p>
        </w:tc>
        <w:tc>
          <w:tcPr>
            <w:tcW w:w="700" w:type="dxa"/>
            <w:vAlign w:val="bottom"/>
          </w:tcPr>
          <w:p>
            <w:pPr>
              <w:jc w:val="center"/>
              <w:spacing w:after="0" w:line="197" w:lineRule="exact"/>
              <w:rPr>
                <w:sz w:val="20"/>
                <w:szCs w:val="20"/>
                <w:color w:val="auto"/>
              </w:rPr>
            </w:pPr>
            <w:r>
              <w:rPr>
                <w:rFonts w:ascii="Calibri" w:cs="Calibri" w:eastAsia="Calibri" w:hAnsi="Calibri"/>
                <w:sz w:val="17"/>
                <w:szCs w:val="17"/>
                <w:color w:val="auto"/>
                <w:w w:val="97"/>
              </w:rPr>
              <w:t>2,597</w:t>
            </w:r>
          </w:p>
        </w:tc>
        <w:tc>
          <w:tcPr>
            <w:tcW w:w="480" w:type="dxa"/>
            <w:vAlign w:val="bottom"/>
          </w:tcPr>
          <w:p>
            <w:pPr>
              <w:jc w:val="center"/>
              <w:spacing w:after="0" w:line="197" w:lineRule="exact"/>
              <w:rPr>
                <w:sz w:val="20"/>
                <w:szCs w:val="20"/>
                <w:color w:val="auto"/>
              </w:rPr>
            </w:pPr>
            <w:r>
              <w:rPr>
                <w:rFonts w:ascii="Calibri" w:cs="Calibri" w:eastAsia="Calibri" w:hAnsi="Calibri"/>
                <w:sz w:val="17"/>
                <w:szCs w:val="17"/>
                <w:color w:val="auto"/>
              </w:rPr>
              <w:t>2,594</w:t>
            </w:r>
          </w:p>
        </w:tc>
        <w:tc>
          <w:tcPr>
            <w:tcW w:w="540" w:type="dxa"/>
            <w:vAlign w:val="bottom"/>
            <w:tcBorders>
              <w:right w:val="single" w:sz="8" w:color="E93CAC"/>
            </w:tcBorders>
          </w:tcPr>
          <w:p>
            <w:pPr>
              <w:jc w:val="center"/>
              <w:spacing w:after="0" w:line="197" w:lineRule="exact"/>
              <w:rPr>
                <w:sz w:val="20"/>
                <w:szCs w:val="20"/>
                <w:color w:val="auto"/>
              </w:rPr>
            </w:pPr>
            <w:r>
              <w:rPr>
                <w:rFonts w:ascii="Calibri" w:cs="Calibri" w:eastAsia="Calibri" w:hAnsi="Calibri"/>
                <w:sz w:val="17"/>
                <w:szCs w:val="17"/>
                <w:color w:val="auto"/>
              </w:rPr>
              <w:t>2,698</w:t>
            </w:r>
          </w:p>
        </w:tc>
        <w:tc>
          <w:tcPr>
            <w:tcW w:w="460" w:type="dxa"/>
            <w:vAlign w:val="bottom"/>
            <w:shd w:val="clear" w:color="auto" w:fill="E93CAC"/>
          </w:tcPr>
          <w:p>
            <w:pPr>
              <w:jc w:val="center"/>
              <w:spacing w:after="0" w:line="197" w:lineRule="exact"/>
              <w:rPr>
                <w:sz w:val="20"/>
                <w:szCs w:val="20"/>
                <w:color w:val="auto"/>
              </w:rPr>
            </w:pPr>
            <w:r>
              <w:rPr>
                <w:rFonts w:ascii="Calibri" w:cs="Calibri" w:eastAsia="Calibri" w:hAnsi="Calibri"/>
                <w:sz w:val="17"/>
                <w:szCs w:val="17"/>
                <w:color w:val="auto"/>
                <w:w w:val="96"/>
                <w:shd w:val="clear" w:color="auto" w:fill="E93CAC"/>
              </w:rPr>
              <w:t>-10.1%</w:t>
            </w:r>
          </w:p>
        </w:tc>
        <w:tc>
          <w:tcPr>
            <w:tcW w:w="520" w:type="dxa"/>
            <w:vAlign w:val="bottom"/>
            <w:tcBorders>
              <w:right w:val="single" w:sz="8" w:color="auto"/>
            </w:tcBorders>
            <w:shd w:val="clear" w:color="auto" w:fill="E93CAC"/>
          </w:tcPr>
          <w:p>
            <w:pPr>
              <w:jc w:val="center"/>
              <w:spacing w:after="0" w:line="197" w:lineRule="exact"/>
              <w:rPr>
                <w:sz w:val="20"/>
                <w:szCs w:val="20"/>
                <w:color w:val="auto"/>
              </w:rPr>
            </w:pPr>
            <w:r>
              <w:rPr>
                <w:rFonts w:ascii="Calibri" w:cs="Calibri" w:eastAsia="Calibri" w:hAnsi="Calibri"/>
                <w:sz w:val="17"/>
                <w:szCs w:val="17"/>
                <w:color w:val="auto"/>
                <w:w w:val="96"/>
                <w:shd w:val="clear" w:color="auto" w:fill="E93CAC"/>
              </w:rPr>
              <w:t>-29.6%</w:t>
            </w:r>
          </w:p>
        </w:tc>
        <w:tc>
          <w:tcPr>
            <w:tcW w:w="400" w:type="dxa"/>
            <w:vAlign w:val="bottom"/>
          </w:tcPr>
          <w:p>
            <w:pPr>
              <w:jc w:val="center"/>
              <w:spacing w:after="0" w:line="197" w:lineRule="exact"/>
              <w:rPr>
                <w:sz w:val="20"/>
                <w:szCs w:val="20"/>
                <w:color w:val="auto"/>
              </w:rPr>
            </w:pPr>
            <w:r>
              <w:rPr>
                <w:rFonts w:ascii="Calibri" w:cs="Calibri" w:eastAsia="Calibri" w:hAnsi="Calibri"/>
                <w:sz w:val="17"/>
                <w:szCs w:val="17"/>
                <w:color w:val="auto"/>
              </w:rPr>
              <w:t>4.0%</w:t>
            </w:r>
          </w:p>
        </w:tc>
        <w:tc>
          <w:tcPr>
            <w:tcW w:w="48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3.9%</w:t>
            </w:r>
          </w:p>
        </w:tc>
        <w:tc>
          <w:tcPr>
            <w:tcW w:w="840" w:type="dxa"/>
            <w:vAlign w:val="bottom"/>
          </w:tcPr>
          <w:p>
            <w:pPr>
              <w:jc w:val="center"/>
              <w:spacing w:after="0" w:line="197" w:lineRule="exact"/>
              <w:rPr>
                <w:sz w:val="20"/>
                <w:szCs w:val="20"/>
                <w:color w:val="auto"/>
              </w:rPr>
            </w:pPr>
            <w:r>
              <w:rPr>
                <w:rFonts w:ascii="Calibri" w:cs="Calibri" w:eastAsia="Calibri" w:hAnsi="Calibri"/>
                <w:sz w:val="17"/>
                <w:szCs w:val="17"/>
                <w:color w:val="auto"/>
                <w:w w:val="92"/>
              </w:rPr>
              <w:t>650</w:t>
            </w:r>
          </w:p>
        </w:tc>
        <w:tc>
          <w:tcPr>
            <w:tcW w:w="820" w:type="dxa"/>
            <w:vAlign w:val="bottom"/>
          </w:tcPr>
          <w:p>
            <w:pPr>
              <w:jc w:val="center"/>
              <w:spacing w:after="0" w:line="197" w:lineRule="exact"/>
              <w:rPr>
                <w:sz w:val="20"/>
                <w:szCs w:val="20"/>
                <w:color w:val="auto"/>
              </w:rPr>
            </w:pPr>
            <w:r>
              <w:rPr>
                <w:rFonts w:ascii="Calibri" w:cs="Calibri" w:eastAsia="Calibri" w:hAnsi="Calibri"/>
                <w:sz w:val="17"/>
                <w:szCs w:val="17"/>
                <w:color w:val="auto"/>
              </w:rPr>
              <w:t>786</w:t>
            </w:r>
          </w:p>
        </w:tc>
        <w:tc>
          <w:tcPr>
            <w:tcW w:w="86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766</w:t>
            </w:r>
          </w:p>
        </w:tc>
        <w:tc>
          <w:tcPr>
            <w:tcW w:w="840" w:type="dxa"/>
            <w:vAlign w:val="bottom"/>
            <w:tcBorders>
              <w:right w:val="single" w:sz="8" w:color="auto"/>
            </w:tcBorders>
            <w:gridSpan w:val="2"/>
          </w:tcPr>
          <w:p>
            <w:pPr>
              <w:jc w:val="right"/>
              <w:spacing w:after="0" w:line="197" w:lineRule="exact"/>
              <w:rPr>
                <w:sz w:val="20"/>
                <w:szCs w:val="20"/>
                <w:color w:val="auto"/>
              </w:rPr>
            </w:pPr>
            <w:r>
              <w:rPr>
                <w:rFonts w:ascii="Calibri" w:cs="Calibri" w:eastAsia="Calibri" w:hAnsi="Calibri"/>
                <w:sz w:val="17"/>
                <w:szCs w:val="17"/>
                <w:color w:val="auto"/>
                <w:w w:val="98"/>
              </w:rPr>
              <w:t>-2.6%17.8%</w:t>
            </w:r>
          </w:p>
        </w:tc>
        <w:tc>
          <w:tcPr>
            <w:tcW w:w="700" w:type="dxa"/>
            <w:vAlign w:val="bottom"/>
          </w:tcPr>
          <w:p>
            <w:pPr>
              <w:jc w:val="center"/>
              <w:ind w:left="77"/>
              <w:spacing w:after="0" w:line="197" w:lineRule="exact"/>
              <w:rPr>
                <w:sz w:val="20"/>
                <w:szCs w:val="20"/>
                <w:color w:val="auto"/>
              </w:rPr>
            </w:pPr>
            <w:r>
              <w:rPr>
                <w:rFonts w:ascii="Calibri" w:cs="Calibri" w:eastAsia="Calibri" w:hAnsi="Calibri"/>
                <w:sz w:val="17"/>
                <w:szCs w:val="17"/>
                <w:color w:val="auto"/>
                <w:w w:val="99"/>
              </w:rPr>
              <w:t>63.7%</w:t>
            </w:r>
          </w:p>
        </w:tc>
        <w:tc>
          <w:tcPr>
            <w:tcW w:w="680" w:type="dxa"/>
            <w:vAlign w:val="bottom"/>
            <w:tcBorders>
              <w:right w:val="single" w:sz="8" w:color="auto"/>
            </w:tcBorders>
          </w:tcPr>
          <w:p>
            <w:pPr>
              <w:jc w:val="center"/>
              <w:ind w:left="57"/>
              <w:spacing w:after="0" w:line="197" w:lineRule="exact"/>
              <w:rPr>
                <w:sz w:val="20"/>
                <w:szCs w:val="20"/>
                <w:color w:val="auto"/>
              </w:rPr>
            </w:pPr>
            <w:r>
              <w:rPr>
                <w:rFonts w:ascii="Calibri" w:cs="Calibri" w:eastAsia="Calibri" w:hAnsi="Calibri"/>
                <w:sz w:val="17"/>
                <w:szCs w:val="17"/>
                <w:color w:val="auto"/>
                <w:w w:val="99"/>
              </w:rPr>
              <w:t>36.3%</w:t>
            </w:r>
          </w:p>
        </w:tc>
        <w:tc>
          <w:tcPr>
            <w:tcW w:w="0" w:type="dxa"/>
            <w:vAlign w:val="bottom"/>
          </w:tcPr>
          <w:p>
            <w:pPr>
              <w:spacing w:after="0"/>
              <w:rPr>
                <w:sz w:val="1"/>
                <w:szCs w:val="1"/>
                <w:color w:val="auto"/>
              </w:rPr>
            </w:pPr>
          </w:p>
        </w:tc>
      </w:tr>
      <w:tr>
        <w:trPr>
          <w:trHeight w:val="212"/>
        </w:trPr>
        <w:tc>
          <w:tcPr>
            <w:tcW w:w="1520" w:type="dxa"/>
            <w:vAlign w:val="bottom"/>
            <w:tcBorders>
              <w:left w:val="single" w:sz="8" w:color="auto"/>
              <w:right w:val="single" w:sz="8" w:color="auto"/>
            </w:tcBorders>
          </w:tcPr>
          <w:p>
            <w:pPr>
              <w:ind w:left="280"/>
              <w:spacing w:after="0" w:line="197" w:lineRule="exact"/>
              <w:rPr>
                <w:sz w:val="20"/>
                <w:szCs w:val="20"/>
                <w:color w:val="auto"/>
              </w:rPr>
            </w:pPr>
            <w:r>
              <w:rPr>
                <w:rFonts w:ascii="Calibri" w:cs="Calibri" w:eastAsia="Calibri" w:hAnsi="Calibri"/>
                <w:sz w:val="17"/>
                <w:szCs w:val="17"/>
                <w:color w:val="auto"/>
              </w:rPr>
              <w:t>SME - Pyme</w:t>
            </w:r>
          </w:p>
        </w:tc>
        <w:tc>
          <w:tcPr>
            <w:tcW w:w="1000" w:type="dxa"/>
            <w:vAlign w:val="bottom"/>
            <w:gridSpan w:val="2"/>
          </w:tcPr>
          <w:p>
            <w:pPr>
              <w:jc w:val="right"/>
              <w:spacing w:after="0" w:line="197" w:lineRule="exact"/>
              <w:rPr>
                <w:sz w:val="20"/>
                <w:szCs w:val="20"/>
                <w:color w:val="auto"/>
              </w:rPr>
            </w:pPr>
            <w:r>
              <w:rPr>
                <w:rFonts w:ascii="Calibri" w:cs="Calibri" w:eastAsia="Calibri" w:hAnsi="Calibri"/>
                <w:sz w:val="17"/>
                <w:szCs w:val="17"/>
                <w:color w:val="auto"/>
                <w:w w:val="97"/>
              </w:rPr>
              <w:t>19,240 17,779</w:t>
            </w:r>
          </w:p>
        </w:tc>
        <w:tc>
          <w:tcPr>
            <w:tcW w:w="500" w:type="dxa"/>
            <w:vAlign w:val="bottom"/>
          </w:tcPr>
          <w:p>
            <w:pPr>
              <w:jc w:val="right"/>
              <w:spacing w:after="0" w:line="197" w:lineRule="exact"/>
              <w:rPr>
                <w:sz w:val="20"/>
                <w:szCs w:val="20"/>
                <w:color w:val="auto"/>
              </w:rPr>
            </w:pPr>
            <w:r>
              <w:rPr>
                <w:rFonts w:ascii="Calibri" w:cs="Calibri" w:eastAsia="Calibri" w:hAnsi="Calibri"/>
                <w:sz w:val="17"/>
                <w:szCs w:val="17"/>
                <w:color w:val="auto"/>
                <w:w w:val="97"/>
              </w:rPr>
              <w:t>16,830</w:t>
            </w:r>
          </w:p>
        </w:tc>
        <w:tc>
          <w:tcPr>
            <w:tcW w:w="700" w:type="dxa"/>
            <w:vAlign w:val="bottom"/>
          </w:tcPr>
          <w:p>
            <w:pPr>
              <w:jc w:val="center"/>
              <w:spacing w:after="0" w:line="197" w:lineRule="exact"/>
              <w:rPr>
                <w:sz w:val="20"/>
                <w:szCs w:val="20"/>
                <w:color w:val="auto"/>
              </w:rPr>
            </w:pPr>
            <w:r>
              <w:rPr>
                <w:rFonts w:ascii="Calibri" w:cs="Calibri" w:eastAsia="Calibri" w:hAnsi="Calibri"/>
                <w:sz w:val="17"/>
                <w:szCs w:val="17"/>
                <w:color w:val="auto"/>
                <w:w w:val="97"/>
              </w:rPr>
              <w:t>11,398</w:t>
            </w:r>
          </w:p>
        </w:tc>
        <w:tc>
          <w:tcPr>
            <w:tcW w:w="480" w:type="dxa"/>
            <w:vAlign w:val="bottom"/>
          </w:tcPr>
          <w:p>
            <w:pPr>
              <w:jc w:val="center"/>
              <w:spacing w:after="0" w:line="197" w:lineRule="exact"/>
              <w:rPr>
                <w:sz w:val="20"/>
                <w:szCs w:val="20"/>
                <w:color w:val="auto"/>
              </w:rPr>
            </w:pPr>
            <w:r>
              <w:rPr>
                <w:rFonts w:ascii="Calibri" w:cs="Calibri" w:eastAsia="Calibri" w:hAnsi="Calibri"/>
                <w:sz w:val="17"/>
                <w:szCs w:val="17"/>
                <w:color w:val="auto"/>
              </w:rPr>
              <w:t>12,476</w:t>
            </w:r>
          </w:p>
        </w:tc>
        <w:tc>
          <w:tcPr>
            <w:tcW w:w="540" w:type="dxa"/>
            <w:vAlign w:val="bottom"/>
            <w:tcBorders>
              <w:right w:val="single" w:sz="8" w:color="auto"/>
            </w:tcBorders>
          </w:tcPr>
          <w:p>
            <w:pPr>
              <w:jc w:val="right"/>
              <w:spacing w:after="0" w:line="197" w:lineRule="exact"/>
              <w:rPr>
                <w:sz w:val="20"/>
                <w:szCs w:val="20"/>
                <w:color w:val="auto"/>
              </w:rPr>
            </w:pPr>
            <w:r>
              <w:rPr>
                <w:rFonts w:ascii="Calibri" w:cs="Calibri" w:eastAsia="Calibri" w:hAnsi="Calibri"/>
                <w:sz w:val="17"/>
                <w:szCs w:val="17"/>
                <w:color w:val="auto"/>
              </w:rPr>
              <w:t>12,866</w:t>
            </w:r>
          </w:p>
        </w:tc>
        <w:tc>
          <w:tcPr>
            <w:tcW w:w="460" w:type="dxa"/>
            <w:vAlign w:val="bottom"/>
            <w:shd w:val="clear" w:color="auto" w:fill="E93CAC"/>
          </w:tcPr>
          <w:p>
            <w:pPr>
              <w:jc w:val="center"/>
              <w:spacing w:after="0" w:line="197" w:lineRule="exact"/>
              <w:rPr>
                <w:sz w:val="20"/>
                <w:szCs w:val="20"/>
                <w:color w:val="auto"/>
              </w:rPr>
            </w:pPr>
            <w:r>
              <w:rPr>
                <w:rFonts w:ascii="Calibri" w:cs="Calibri" w:eastAsia="Calibri" w:hAnsi="Calibri"/>
                <w:sz w:val="17"/>
                <w:szCs w:val="17"/>
                <w:color w:val="auto"/>
                <w:w w:val="97"/>
              </w:rPr>
              <w:t>-5.3%</w:t>
            </w:r>
          </w:p>
        </w:tc>
        <w:tc>
          <w:tcPr>
            <w:tcW w:w="520" w:type="dxa"/>
            <w:vAlign w:val="bottom"/>
            <w:tcBorders>
              <w:right w:val="single" w:sz="8" w:color="auto"/>
            </w:tcBorders>
            <w:shd w:val="clear" w:color="auto" w:fill="E93CAC"/>
          </w:tcPr>
          <w:p>
            <w:pPr>
              <w:jc w:val="center"/>
              <w:spacing w:after="0" w:line="197" w:lineRule="exact"/>
              <w:rPr>
                <w:sz w:val="20"/>
                <w:szCs w:val="20"/>
                <w:color w:val="auto"/>
              </w:rPr>
            </w:pPr>
            <w:r>
              <w:rPr>
                <w:rFonts w:ascii="Calibri" w:cs="Calibri" w:eastAsia="Calibri" w:hAnsi="Calibri"/>
                <w:sz w:val="17"/>
                <w:szCs w:val="17"/>
                <w:color w:val="auto"/>
                <w:w w:val="96"/>
                <w:shd w:val="clear" w:color="auto" w:fill="E93CAC"/>
              </w:rPr>
              <w:t>-12.5%</w:t>
            </w:r>
          </w:p>
        </w:tc>
        <w:tc>
          <w:tcPr>
            <w:tcW w:w="400" w:type="dxa"/>
            <w:vAlign w:val="bottom"/>
            <w:shd w:val="clear" w:color="auto" w:fill="26D07C"/>
          </w:tcPr>
          <w:p>
            <w:pPr>
              <w:jc w:val="center"/>
              <w:spacing w:after="0" w:line="205" w:lineRule="exact"/>
              <w:rPr>
                <w:sz w:val="20"/>
                <w:szCs w:val="20"/>
                <w:color w:val="auto"/>
              </w:rPr>
            </w:pPr>
            <w:r>
              <w:rPr>
                <w:rFonts w:ascii="Calibri" w:cs="Calibri" w:eastAsia="Calibri" w:hAnsi="Calibri"/>
                <w:sz w:val="17"/>
                <w:szCs w:val="17"/>
                <w:color w:val="auto"/>
              </w:rPr>
              <w:t>3.1%</w:t>
            </w:r>
          </w:p>
        </w:tc>
        <w:tc>
          <w:tcPr>
            <w:tcW w:w="480" w:type="dxa"/>
            <w:vAlign w:val="bottom"/>
            <w:tcBorders>
              <w:right w:val="single" w:sz="8" w:color="auto"/>
            </w:tcBorders>
            <w:shd w:val="clear" w:color="auto" w:fill="26D07C"/>
          </w:tcPr>
          <w:p>
            <w:pPr>
              <w:jc w:val="center"/>
              <w:spacing w:after="0" w:line="205" w:lineRule="exact"/>
              <w:rPr>
                <w:sz w:val="20"/>
                <w:szCs w:val="20"/>
                <w:color w:val="auto"/>
              </w:rPr>
            </w:pPr>
            <w:r>
              <w:rPr>
                <w:rFonts w:ascii="Calibri" w:cs="Calibri" w:eastAsia="Calibri" w:hAnsi="Calibri"/>
                <w:sz w:val="17"/>
                <w:szCs w:val="17"/>
                <w:color w:val="auto"/>
                <w:w w:val="99"/>
              </w:rPr>
              <w:t>12.9%</w:t>
            </w:r>
          </w:p>
        </w:tc>
        <w:tc>
          <w:tcPr>
            <w:tcW w:w="840" w:type="dxa"/>
            <w:vAlign w:val="bottom"/>
          </w:tcPr>
          <w:p>
            <w:pPr>
              <w:jc w:val="center"/>
              <w:spacing w:after="0" w:line="197" w:lineRule="exact"/>
              <w:rPr>
                <w:sz w:val="20"/>
                <w:szCs w:val="20"/>
                <w:color w:val="auto"/>
              </w:rPr>
            </w:pPr>
            <w:r>
              <w:rPr>
                <w:rFonts w:ascii="Calibri" w:cs="Calibri" w:eastAsia="Calibri" w:hAnsi="Calibri"/>
                <w:sz w:val="17"/>
                <w:szCs w:val="17"/>
                <w:color w:val="auto"/>
                <w:w w:val="92"/>
              </w:rPr>
              <w:t>42</w:t>
            </w:r>
          </w:p>
        </w:tc>
        <w:tc>
          <w:tcPr>
            <w:tcW w:w="820" w:type="dxa"/>
            <w:vAlign w:val="bottom"/>
          </w:tcPr>
          <w:p>
            <w:pPr>
              <w:jc w:val="center"/>
              <w:spacing w:after="0" w:line="197" w:lineRule="exact"/>
              <w:rPr>
                <w:sz w:val="20"/>
                <w:szCs w:val="20"/>
                <w:color w:val="auto"/>
              </w:rPr>
            </w:pPr>
            <w:r>
              <w:rPr>
                <w:rFonts w:ascii="Calibri" w:cs="Calibri" w:eastAsia="Calibri" w:hAnsi="Calibri"/>
                <w:sz w:val="17"/>
                <w:szCs w:val="17"/>
                <w:color w:val="auto"/>
              </w:rPr>
              <w:t>43</w:t>
            </w:r>
          </w:p>
        </w:tc>
        <w:tc>
          <w:tcPr>
            <w:tcW w:w="86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44</w:t>
            </w:r>
          </w:p>
        </w:tc>
        <w:tc>
          <w:tcPr>
            <w:tcW w:w="840" w:type="dxa"/>
            <w:vAlign w:val="bottom"/>
            <w:tcBorders>
              <w:right w:val="single" w:sz="8" w:color="auto"/>
            </w:tcBorders>
            <w:gridSpan w:val="2"/>
          </w:tcPr>
          <w:p>
            <w:pPr>
              <w:jc w:val="right"/>
              <w:spacing w:after="0" w:line="197" w:lineRule="exact"/>
              <w:rPr>
                <w:sz w:val="20"/>
                <w:szCs w:val="20"/>
                <w:color w:val="auto"/>
              </w:rPr>
            </w:pPr>
            <w:r>
              <w:rPr>
                <w:rFonts w:ascii="Calibri" w:cs="Calibri" w:eastAsia="Calibri" w:hAnsi="Calibri"/>
                <w:sz w:val="17"/>
                <w:szCs w:val="17"/>
                <w:color w:val="auto"/>
              </w:rPr>
              <w:t>1.1% 3.4%</w:t>
            </w:r>
          </w:p>
        </w:tc>
        <w:tc>
          <w:tcPr>
            <w:tcW w:w="700" w:type="dxa"/>
            <w:vAlign w:val="bottom"/>
          </w:tcPr>
          <w:p>
            <w:pPr>
              <w:jc w:val="center"/>
              <w:ind w:left="77"/>
              <w:spacing w:after="0" w:line="197" w:lineRule="exact"/>
              <w:rPr>
                <w:sz w:val="20"/>
                <w:szCs w:val="20"/>
                <w:color w:val="auto"/>
              </w:rPr>
            </w:pPr>
            <w:r>
              <w:rPr>
                <w:rFonts w:ascii="Calibri" w:cs="Calibri" w:eastAsia="Calibri" w:hAnsi="Calibri"/>
                <w:sz w:val="17"/>
                <w:szCs w:val="17"/>
                <w:color w:val="auto"/>
                <w:w w:val="99"/>
              </w:rPr>
              <w:t>99.0%</w:t>
            </w:r>
          </w:p>
        </w:tc>
        <w:tc>
          <w:tcPr>
            <w:tcW w:w="680" w:type="dxa"/>
            <w:vAlign w:val="bottom"/>
            <w:tcBorders>
              <w:right w:val="single" w:sz="8" w:color="auto"/>
            </w:tcBorders>
          </w:tcPr>
          <w:p>
            <w:pPr>
              <w:jc w:val="center"/>
              <w:ind w:left="57"/>
              <w:spacing w:after="0" w:line="197" w:lineRule="exact"/>
              <w:rPr>
                <w:sz w:val="20"/>
                <w:szCs w:val="20"/>
                <w:color w:val="auto"/>
              </w:rPr>
            </w:pPr>
            <w:r>
              <w:rPr>
                <w:rFonts w:ascii="Calibri" w:cs="Calibri" w:eastAsia="Calibri" w:hAnsi="Calibri"/>
                <w:sz w:val="17"/>
                <w:szCs w:val="17"/>
                <w:color w:val="auto"/>
              </w:rPr>
              <w:t>1.0%</w:t>
            </w:r>
          </w:p>
        </w:tc>
        <w:tc>
          <w:tcPr>
            <w:tcW w:w="0" w:type="dxa"/>
            <w:vAlign w:val="bottom"/>
          </w:tcPr>
          <w:p>
            <w:pPr>
              <w:spacing w:after="0"/>
              <w:rPr>
                <w:sz w:val="1"/>
                <w:szCs w:val="1"/>
                <w:color w:val="auto"/>
              </w:rPr>
            </w:pPr>
          </w:p>
        </w:tc>
      </w:tr>
      <w:tr>
        <w:trPr>
          <w:trHeight w:val="184"/>
        </w:trPr>
        <w:tc>
          <w:tcPr>
            <w:tcW w:w="1520" w:type="dxa"/>
            <w:vAlign w:val="bottom"/>
            <w:tcBorders>
              <w:left w:val="single" w:sz="8" w:color="auto"/>
              <w:right w:val="single" w:sz="8" w:color="auto"/>
            </w:tcBorders>
          </w:tcPr>
          <w:p>
            <w:pPr>
              <w:ind w:left="280"/>
              <w:spacing w:after="0" w:line="184" w:lineRule="exact"/>
              <w:rPr>
                <w:sz w:val="20"/>
                <w:szCs w:val="20"/>
                <w:color w:val="auto"/>
              </w:rPr>
            </w:pPr>
            <w:r>
              <w:rPr>
                <w:rFonts w:ascii="Calibri" w:cs="Calibri" w:eastAsia="Calibri" w:hAnsi="Calibri"/>
                <w:sz w:val="17"/>
                <w:szCs w:val="17"/>
                <w:color w:val="auto"/>
              </w:rPr>
              <w:t>Mortgage</w:t>
            </w:r>
          </w:p>
        </w:tc>
        <w:tc>
          <w:tcPr>
            <w:tcW w:w="1000" w:type="dxa"/>
            <w:vAlign w:val="bottom"/>
            <w:gridSpan w:val="2"/>
          </w:tcPr>
          <w:p>
            <w:pPr>
              <w:jc w:val="right"/>
              <w:spacing w:after="0" w:line="184" w:lineRule="exact"/>
              <w:rPr>
                <w:sz w:val="20"/>
                <w:szCs w:val="20"/>
                <w:color w:val="auto"/>
              </w:rPr>
            </w:pPr>
            <w:r>
              <w:rPr>
                <w:rFonts w:ascii="Calibri" w:cs="Calibri" w:eastAsia="Calibri" w:hAnsi="Calibri"/>
                <w:sz w:val="17"/>
                <w:szCs w:val="17"/>
                <w:color w:val="auto"/>
                <w:w w:val="97"/>
              </w:rPr>
              <w:t>16,919 18,005</w:t>
            </w:r>
          </w:p>
        </w:tc>
        <w:tc>
          <w:tcPr>
            <w:tcW w:w="500" w:type="dxa"/>
            <w:vAlign w:val="bottom"/>
          </w:tcPr>
          <w:p>
            <w:pPr>
              <w:jc w:val="right"/>
              <w:spacing w:after="0" w:line="184" w:lineRule="exact"/>
              <w:rPr>
                <w:sz w:val="20"/>
                <w:szCs w:val="20"/>
                <w:color w:val="auto"/>
              </w:rPr>
            </w:pPr>
            <w:r>
              <w:rPr>
                <w:rFonts w:ascii="Calibri" w:cs="Calibri" w:eastAsia="Calibri" w:hAnsi="Calibri"/>
                <w:sz w:val="17"/>
                <w:szCs w:val="17"/>
                <w:color w:val="auto"/>
                <w:w w:val="97"/>
              </w:rPr>
              <w:t>18,264</w:t>
            </w:r>
          </w:p>
        </w:tc>
        <w:tc>
          <w:tcPr>
            <w:tcW w:w="700" w:type="dxa"/>
            <w:vAlign w:val="bottom"/>
          </w:tcPr>
          <w:p>
            <w:pPr>
              <w:jc w:val="center"/>
              <w:spacing w:after="0" w:line="184" w:lineRule="exact"/>
              <w:rPr>
                <w:sz w:val="20"/>
                <w:szCs w:val="20"/>
                <w:color w:val="auto"/>
              </w:rPr>
            </w:pPr>
            <w:r>
              <w:rPr>
                <w:rFonts w:ascii="Calibri" w:cs="Calibri" w:eastAsia="Calibri" w:hAnsi="Calibri"/>
                <w:sz w:val="17"/>
                <w:szCs w:val="17"/>
                <w:color w:val="auto"/>
                <w:w w:val="97"/>
              </w:rPr>
              <w:t>16,391</w:t>
            </w:r>
          </w:p>
        </w:tc>
        <w:tc>
          <w:tcPr>
            <w:tcW w:w="480" w:type="dxa"/>
            <w:vAlign w:val="bottom"/>
          </w:tcPr>
          <w:p>
            <w:pPr>
              <w:jc w:val="center"/>
              <w:spacing w:after="0" w:line="184" w:lineRule="exact"/>
              <w:rPr>
                <w:sz w:val="20"/>
                <w:szCs w:val="20"/>
                <w:color w:val="auto"/>
              </w:rPr>
            </w:pPr>
            <w:r>
              <w:rPr>
                <w:rFonts w:ascii="Calibri" w:cs="Calibri" w:eastAsia="Calibri" w:hAnsi="Calibri"/>
                <w:sz w:val="17"/>
                <w:szCs w:val="17"/>
                <w:color w:val="auto"/>
              </w:rPr>
              <w:t>17,682</w:t>
            </w:r>
          </w:p>
        </w:tc>
        <w:tc>
          <w:tcPr>
            <w:tcW w:w="540" w:type="dxa"/>
            <w:vAlign w:val="bottom"/>
            <w:tcBorders>
              <w:right w:val="single" w:sz="8" w:color="auto"/>
            </w:tcBorders>
          </w:tcPr>
          <w:p>
            <w:pPr>
              <w:jc w:val="right"/>
              <w:spacing w:after="0" w:line="184" w:lineRule="exact"/>
              <w:rPr>
                <w:sz w:val="20"/>
                <w:szCs w:val="20"/>
                <w:color w:val="auto"/>
              </w:rPr>
            </w:pPr>
            <w:r>
              <w:rPr>
                <w:rFonts w:ascii="Calibri" w:cs="Calibri" w:eastAsia="Calibri" w:hAnsi="Calibri"/>
                <w:sz w:val="17"/>
                <w:szCs w:val="17"/>
                <w:color w:val="auto"/>
              </w:rPr>
              <w:t>18,005</w:t>
            </w:r>
          </w:p>
        </w:tc>
        <w:tc>
          <w:tcPr>
            <w:tcW w:w="460" w:type="dxa"/>
            <w:vAlign w:val="bottom"/>
          </w:tcPr>
          <w:p>
            <w:pPr>
              <w:jc w:val="center"/>
              <w:spacing w:after="0" w:line="184" w:lineRule="exact"/>
              <w:rPr>
                <w:sz w:val="20"/>
                <w:szCs w:val="20"/>
                <w:color w:val="auto"/>
              </w:rPr>
            </w:pPr>
            <w:r>
              <w:rPr>
                <w:rFonts w:ascii="Calibri" w:cs="Calibri" w:eastAsia="Calibri" w:hAnsi="Calibri"/>
                <w:sz w:val="17"/>
                <w:szCs w:val="17"/>
                <w:color w:val="auto"/>
              </w:rPr>
              <w:t>1.4%</w:t>
            </w:r>
          </w:p>
        </w:tc>
        <w:tc>
          <w:tcPr>
            <w:tcW w:w="520" w:type="dxa"/>
            <w:vAlign w:val="bottom"/>
            <w:tcBorders>
              <w:right w:val="single" w:sz="8" w:color="auto"/>
            </w:tcBorders>
            <w:shd w:val="clear" w:color="auto" w:fill="26D07C"/>
          </w:tcPr>
          <w:p>
            <w:pPr>
              <w:jc w:val="center"/>
              <w:spacing w:after="0" w:line="184" w:lineRule="exact"/>
              <w:rPr>
                <w:sz w:val="20"/>
                <w:szCs w:val="20"/>
                <w:color w:val="auto"/>
              </w:rPr>
            </w:pPr>
            <w:r>
              <w:rPr>
                <w:rFonts w:ascii="Calibri" w:cs="Calibri" w:eastAsia="Calibri" w:hAnsi="Calibri"/>
                <w:sz w:val="17"/>
                <w:szCs w:val="17"/>
                <w:color w:val="auto"/>
              </w:rPr>
              <w:t>7.9%</w:t>
            </w:r>
          </w:p>
        </w:tc>
        <w:tc>
          <w:tcPr>
            <w:tcW w:w="400" w:type="dxa"/>
            <w:vAlign w:val="bottom"/>
            <w:shd w:val="clear" w:color="auto" w:fill="26D07C"/>
          </w:tcPr>
          <w:p>
            <w:pPr>
              <w:jc w:val="center"/>
              <w:spacing w:after="0" w:line="184" w:lineRule="exact"/>
              <w:rPr>
                <w:sz w:val="20"/>
                <w:szCs w:val="20"/>
                <w:color w:val="auto"/>
              </w:rPr>
            </w:pPr>
            <w:r>
              <w:rPr>
                <w:rFonts w:ascii="Calibri" w:cs="Calibri" w:eastAsia="Calibri" w:hAnsi="Calibri"/>
                <w:sz w:val="17"/>
                <w:szCs w:val="17"/>
                <w:color w:val="auto"/>
              </w:rPr>
              <w:t>1.8%</w:t>
            </w:r>
          </w:p>
        </w:tc>
        <w:tc>
          <w:tcPr>
            <w:tcW w:w="480" w:type="dxa"/>
            <w:vAlign w:val="bottom"/>
            <w:tcBorders>
              <w:right w:val="single" w:sz="8" w:color="auto"/>
            </w:tcBorders>
            <w:shd w:val="clear" w:color="auto" w:fill="26D07C"/>
          </w:tcPr>
          <w:p>
            <w:pPr>
              <w:jc w:val="center"/>
              <w:spacing w:after="0" w:line="184" w:lineRule="exact"/>
              <w:rPr>
                <w:sz w:val="20"/>
                <w:szCs w:val="20"/>
                <w:color w:val="auto"/>
              </w:rPr>
            </w:pPr>
            <w:r>
              <w:rPr>
                <w:rFonts w:ascii="Calibri" w:cs="Calibri" w:eastAsia="Calibri" w:hAnsi="Calibri"/>
                <w:sz w:val="17"/>
                <w:szCs w:val="17"/>
                <w:color w:val="auto"/>
              </w:rPr>
              <w:t>9.8%</w:t>
            </w:r>
          </w:p>
        </w:tc>
        <w:tc>
          <w:tcPr>
            <w:tcW w:w="840" w:type="dxa"/>
            <w:vAlign w:val="bottom"/>
          </w:tcPr>
          <w:p>
            <w:pPr>
              <w:jc w:val="center"/>
              <w:spacing w:after="0" w:line="184" w:lineRule="exact"/>
              <w:rPr>
                <w:sz w:val="20"/>
                <w:szCs w:val="20"/>
                <w:color w:val="auto"/>
              </w:rPr>
            </w:pPr>
            <w:r>
              <w:rPr>
                <w:rFonts w:ascii="Calibri" w:cs="Calibri" w:eastAsia="Calibri" w:hAnsi="Calibri"/>
                <w:sz w:val="17"/>
                <w:szCs w:val="17"/>
                <w:color w:val="auto"/>
                <w:w w:val="92"/>
              </w:rPr>
              <w:t>507</w:t>
            </w:r>
          </w:p>
        </w:tc>
        <w:tc>
          <w:tcPr>
            <w:tcW w:w="820" w:type="dxa"/>
            <w:vAlign w:val="bottom"/>
          </w:tcPr>
          <w:p>
            <w:pPr>
              <w:jc w:val="center"/>
              <w:spacing w:after="0" w:line="184" w:lineRule="exact"/>
              <w:rPr>
                <w:sz w:val="20"/>
                <w:szCs w:val="20"/>
                <w:color w:val="auto"/>
              </w:rPr>
            </w:pPr>
            <w:r>
              <w:rPr>
                <w:rFonts w:ascii="Calibri" w:cs="Calibri" w:eastAsia="Calibri" w:hAnsi="Calibri"/>
                <w:sz w:val="17"/>
                <w:szCs w:val="17"/>
                <w:color w:val="auto"/>
              </w:rPr>
              <w:t>532</w:t>
            </w:r>
          </w:p>
        </w:tc>
        <w:tc>
          <w:tcPr>
            <w:tcW w:w="86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color w:val="auto"/>
              </w:rPr>
              <w:t>530</w:t>
            </w:r>
          </w:p>
        </w:tc>
        <w:tc>
          <w:tcPr>
            <w:tcW w:w="840" w:type="dxa"/>
            <w:vAlign w:val="bottom"/>
            <w:tcBorders>
              <w:right w:val="single" w:sz="8" w:color="auto"/>
            </w:tcBorders>
            <w:gridSpan w:val="2"/>
          </w:tcPr>
          <w:p>
            <w:pPr>
              <w:jc w:val="right"/>
              <w:spacing w:after="0" w:line="184" w:lineRule="exact"/>
              <w:rPr>
                <w:sz w:val="20"/>
                <w:szCs w:val="20"/>
                <w:color w:val="auto"/>
              </w:rPr>
            </w:pPr>
            <w:r>
              <w:rPr>
                <w:rFonts w:ascii="Calibri" w:cs="Calibri" w:eastAsia="Calibri" w:hAnsi="Calibri"/>
                <w:sz w:val="17"/>
                <w:szCs w:val="17"/>
                <w:color w:val="auto"/>
                <w:w w:val="99"/>
              </w:rPr>
              <w:t>-0.4% 4.5%</w:t>
            </w:r>
          </w:p>
        </w:tc>
        <w:tc>
          <w:tcPr>
            <w:tcW w:w="700" w:type="dxa"/>
            <w:vAlign w:val="bottom"/>
          </w:tcPr>
          <w:p>
            <w:pPr>
              <w:jc w:val="center"/>
              <w:ind w:left="77"/>
              <w:spacing w:after="0" w:line="184" w:lineRule="exact"/>
              <w:rPr>
                <w:sz w:val="20"/>
                <w:szCs w:val="20"/>
                <w:color w:val="auto"/>
              </w:rPr>
            </w:pPr>
            <w:r>
              <w:rPr>
                <w:rFonts w:ascii="Calibri" w:cs="Calibri" w:eastAsia="Calibri" w:hAnsi="Calibri"/>
                <w:sz w:val="17"/>
                <w:szCs w:val="17"/>
                <w:color w:val="auto"/>
                <w:w w:val="99"/>
              </w:rPr>
              <w:t>89.7%</w:t>
            </w:r>
          </w:p>
        </w:tc>
        <w:tc>
          <w:tcPr>
            <w:tcW w:w="680" w:type="dxa"/>
            <w:vAlign w:val="bottom"/>
            <w:tcBorders>
              <w:right w:val="single" w:sz="8" w:color="auto"/>
            </w:tcBorders>
          </w:tcPr>
          <w:p>
            <w:pPr>
              <w:jc w:val="center"/>
              <w:ind w:left="57"/>
              <w:spacing w:after="0" w:line="184" w:lineRule="exact"/>
              <w:rPr>
                <w:sz w:val="20"/>
                <w:szCs w:val="20"/>
                <w:color w:val="auto"/>
              </w:rPr>
            </w:pPr>
            <w:r>
              <w:rPr>
                <w:rFonts w:ascii="Calibri" w:cs="Calibri" w:eastAsia="Calibri" w:hAnsi="Calibri"/>
                <w:sz w:val="17"/>
                <w:szCs w:val="17"/>
                <w:color w:val="auto"/>
                <w:w w:val="99"/>
              </w:rPr>
              <w:t>10.3%</w:t>
            </w:r>
          </w:p>
        </w:tc>
        <w:tc>
          <w:tcPr>
            <w:tcW w:w="0" w:type="dxa"/>
            <w:vAlign w:val="bottom"/>
          </w:tcPr>
          <w:p>
            <w:pPr>
              <w:spacing w:after="0"/>
              <w:rPr>
                <w:sz w:val="1"/>
                <w:szCs w:val="1"/>
                <w:color w:val="auto"/>
              </w:rPr>
            </w:pPr>
          </w:p>
        </w:tc>
      </w:tr>
      <w:tr>
        <w:trPr>
          <w:trHeight w:val="197"/>
        </w:trPr>
        <w:tc>
          <w:tcPr>
            <w:tcW w:w="1520" w:type="dxa"/>
            <w:vAlign w:val="bottom"/>
            <w:tcBorders>
              <w:left w:val="single" w:sz="8" w:color="auto"/>
              <w:right w:val="single" w:sz="8" w:color="auto"/>
            </w:tcBorders>
          </w:tcPr>
          <w:p>
            <w:pPr>
              <w:ind w:left="280"/>
              <w:spacing w:after="0" w:line="197" w:lineRule="exact"/>
              <w:rPr>
                <w:sz w:val="20"/>
                <w:szCs w:val="20"/>
                <w:color w:val="auto"/>
              </w:rPr>
            </w:pPr>
            <w:r>
              <w:rPr>
                <w:rFonts w:ascii="Calibri" w:cs="Calibri" w:eastAsia="Calibri" w:hAnsi="Calibri"/>
                <w:sz w:val="17"/>
                <w:szCs w:val="17"/>
                <w:color w:val="auto"/>
              </w:rPr>
              <w:t>Consumer</w:t>
            </w:r>
          </w:p>
        </w:tc>
        <w:tc>
          <w:tcPr>
            <w:tcW w:w="1000" w:type="dxa"/>
            <w:vAlign w:val="bottom"/>
            <w:gridSpan w:val="2"/>
          </w:tcPr>
          <w:p>
            <w:pPr>
              <w:jc w:val="right"/>
              <w:spacing w:after="0" w:line="197" w:lineRule="exact"/>
              <w:rPr>
                <w:sz w:val="20"/>
                <w:szCs w:val="20"/>
                <w:color w:val="auto"/>
              </w:rPr>
            </w:pPr>
            <w:r>
              <w:rPr>
                <w:rFonts w:ascii="Calibri" w:cs="Calibri" w:eastAsia="Calibri" w:hAnsi="Calibri"/>
                <w:sz w:val="17"/>
                <w:szCs w:val="17"/>
                <w:color w:val="auto"/>
              </w:rPr>
              <w:t>9,617 11,192</w:t>
            </w:r>
          </w:p>
        </w:tc>
        <w:tc>
          <w:tcPr>
            <w:tcW w:w="500" w:type="dxa"/>
            <w:vAlign w:val="bottom"/>
          </w:tcPr>
          <w:p>
            <w:pPr>
              <w:jc w:val="right"/>
              <w:spacing w:after="0" w:line="197" w:lineRule="exact"/>
              <w:rPr>
                <w:sz w:val="20"/>
                <w:szCs w:val="20"/>
                <w:color w:val="auto"/>
              </w:rPr>
            </w:pPr>
            <w:r>
              <w:rPr>
                <w:rFonts w:ascii="Calibri" w:cs="Calibri" w:eastAsia="Calibri" w:hAnsi="Calibri"/>
                <w:sz w:val="17"/>
                <w:szCs w:val="17"/>
                <w:color w:val="auto"/>
                <w:w w:val="97"/>
              </w:rPr>
              <w:t>11,514</w:t>
            </w:r>
          </w:p>
        </w:tc>
        <w:tc>
          <w:tcPr>
            <w:tcW w:w="700" w:type="dxa"/>
            <w:vAlign w:val="bottom"/>
          </w:tcPr>
          <w:p>
            <w:pPr>
              <w:jc w:val="center"/>
              <w:spacing w:after="0" w:line="197" w:lineRule="exact"/>
              <w:rPr>
                <w:sz w:val="20"/>
                <w:szCs w:val="20"/>
                <w:color w:val="auto"/>
              </w:rPr>
            </w:pPr>
            <w:r>
              <w:rPr>
                <w:rFonts w:ascii="Calibri" w:cs="Calibri" w:eastAsia="Calibri" w:hAnsi="Calibri"/>
                <w:sz w:val="17"/>
                <w:szCs w:val="17"/>
                <w:color w:val="auto"/>
                <w:w w:val="97"/>
              </w:rPr>
              <w:t>8,898</w:t>
            </w:r>
          </w:p>
        </w:tc>
        <w:tc>
          <w:tcPr>
            <w:tcW w:w="480" w:type="dxa"/>
            <w:vAlign w:val="bottom"/>
          </w:tcPr>
          <w:p>
            <w:pPr>
              <w:jc w:val="center"/>
              <w:spacing w:after="0" w:line="197" w:lineRule="exact"/>
              <w:rPr>
                <w:sz w:val="20"/>
                <w:szCs w:val="20"/>
                <w:color w:val="auto"/>
              </w:rPr>
            </w:pPr>
            <w:r>
              <w:rPr>
                <w:rFonts w:ascii="Calibri" w:cs="Calibri" w:eastAsia="Calibri" w:hAnsi="Calibri"/>
                <w:sz w:val="17"/>
                <w:szCs w:val="17"/>
                <w:color w:val="auto"/>
              </w:rPr>
              <w:t>10,851</w:t>
            </w:r>
          </w:p>
        </w:tc>
        <w:tc>
          <w:tcPr>
            <w:tcW w:w="540" w:type="dxa"/>
            <w:vAlign w:val="bottom"/>
            <w:tcBorders>
              <w:right w:val="single" w:sz="8" w:color="auto"/>
            </w:tcBorders>
          </w:tcPr>
          <w:p>
            <w:pPr>
              <w:jc w:val="right"/>
              <w:spacing w:after="0" w:line="197" w:lineRule="exact"/>
              <w:rPr>
                <w:sz w:val="20"/>
                <w:szCs w:val="20"/>
                <w:color w:val="auto"/>
              </w:rPr>
            </w:pPr>
            <w:r>
              <w:rPr>
                <w:rFonts w:ascii="Calibri" w:cs="Calibri" w:eastAsia="Calibri" w:hAnsi="Calibri"/>
                <w:sz w:val="17"/>
                <w:szCs w:val="17"/>
                <w:color w:val="auto"/>
              </w:rPr>
              <w:t>11,192</w:t>
            </w:r>
          </w:p>
        </w:tc>
        <w:tc>
          <w:tcPr>
            <w:tcW w:w="460" w:type="dxa"/>
            <w:vAlign w:val="bottom"/>
          </w:tcPr>
          <w:p>
            <w:pPr>
              <w:jc w:val="center"/>
              <w:spacing w:after="0" w:line="197" w:lineRule="exact"/>
              <w:rPr>
                <w:sz w:val="20"/>
                <w:szCs w:val="20"/>
                <w:color w:val="auto"/>
              </w:rPr>
            </w:pPr>
            <w:r>
              <w:rPr>
                <w:rFonts w:ascii="Calibri" w:cs="Calibri" w:eastAsia="Calibri" w:hAnsi="Calibri"/>
                <w:sz w:val="17"/>
                <w:szCs w:val="17"/>
                <w:color w:val="auto"/>
              </w:rPr>
              <w:t>2.9%</w:t>
            </w:r>
          </w:p>
        </w:tc>
        <w:tc>
          <w:tcPr>
            <w:tcW w:w="520" w:type="dxa"/>
            <w:vAlign w:val="bottom"/>
            <w:tcBorders>
              <w:right w:val="single" w:sz="8" w:color="auto"/>
            </w:tcBorders>
            <w:shd w:val="clear" w:color="auto" w:fill="26D07C"/>
          </w:tcPr>
          <w:p>
            <w:pPr>
              <w:jc w:val="center"/>
              <w:spacing w:after="0" w:line="197" w:lineRule="exact"/>
              <w:rPr>
                <w:sz w:val="20"/>
                <w:szCs w:val="20"/>
                <w:color w:val="auto"/>
              </w:rPr>
            </w:pPr>
            <w:r>
              <w:rPr>
                <w:rFonts w:ascii="Calibri" w:cs="Calibri" w:eastAsia="Calibri" w:hAnsi="Calibri"/>
                <w:sz w:val="17"/>
                <w:szCs w:val="17"/>
                <w:color w:val="auto"/>
                <w:w w:val="99"/>
              </w:rPr>
              <w:t>19.7%</w:t>
            </w:r>
          </w:p>
        </w:tc>
        <w:tc>
          <w:tcPr>
            <w:tcW w:w="400" w:type="dxa"/>
            <w:vAlign w:val="bottom"/>
            <w:shd w:val="clear" w:color="auto" w:fill="26D07C"/>
          </w:tcPr>
          <w:p>
            <w:pPr>
              <w:jc w:val="center"/>
              <w:spacing w:after="0" w:line="197" w:lineRule="exact"/>
              <w:rPr>
                <w:sz w:val="20"/>
                <w:szCs w:val="20"/>
                <w:color w:val="auto"/>
              </w:rPr>
            </w:pPr>
            <w:r>
              <w:rPr>
                <w:rFonts w:ascii="Calibri" w:cs="Calibri" w:eastAsia="Calibri" w:hAnsi="Calibri"/>
                <w:sz w:val="17"/>
                <w:szCs w:val="17"/>
                <w:color w:val="auto"/>
              </w:rPr>
              <w:t>3.1%</w:t>
            </w:r>
          </w:p>
        </w:tc>
        <w:tc>
          <w:tcPr>
            <w:tcW w:w="480" w:type="dxa"/>
            <w:vAlign w:val="bottom"/>
            <w:tcBorders>
              <w:right w:val="single" w:sz="8" w:color="auto"/>
            </w:tcBorders>
            <w:shd w:val="clear" w:color="auto" w:fill="26D07C"/>
          </w:tcPr>
          <w:p>
            <w:pPr>
              <w:jc w:val="center"/>
              <w:spacing w:after="0" w:line="197" w:lineRule="exact"/>
              <w:rPr>
                <w:sz w:val="20"/>
                <w:szCs w:val="20"/>
                <w:color w:val="auto"/>
              </w:rPr>
            </w:pPr>
            <w:r>
              <w:rPr>
                <w:rFonts w:ascii="Calibri" w:cs="Calibri" w:eastAsia="Calibri" w:hAnsi="Calibri"/>
                <w:sz w:val="17"/>
                <w:szCs w:val="17"/>
                <w:color w:val="auto"/>
                <w:w w:val="99"/>
              </w:rPr>
              <w:t>25.8%</w:t>
            </w:r>
          </w:p>
        </w:tc>
        <w:tc>
          <w:tcPr>
            <w:tcW w:w="840" w:type="dxa"/>
            <w:vAlign w:val="bottom"/>
          </w:tcPr>
          <w:p>
            <w:pPr>
              <w:jc w:val="center"/>
              <w:spacing w:after="0" w:line="197" w:lineRule="exact"/>
              <w:rPr>
                <w:sz w:val="20"/>
                <w:szCs w:val="20"/>
                <w:color w:val="auto"/>
              </w:rPr>
            </w:pPr>
            <w:r>
              <w:rPr>
                <w:rFonts w:ascii="Calibri" w:cs="Calibri" w:eastAsia="Calibri" w:hAnsi="Calibri"/>
                <w:sz w:val="17"/>
                <w:szCs w:val="17"/>
                <w:color w:val="auto"/>
                <w:w w:val="92"/>
              </w:rPr>
              <w:t>361</w:t>
            </w:r>
          </w:p>
        </w:tc>
        <w:tc>
          <w:tcPr>
            <w:tcW w:w="820" w:type="dxa"/>
            <w:vAlign w:val="bottom"/>
          </w:tcPr>
          <w:p>
            <w:pPr>
              <w:jc w:val="center"/>
              <w:spacing w:after="0" w:line="197" w:lineRule="exact"/>
              <w:rPr>
                <w:sz w:val="20"/>
                <w:szCs w:val="20"/>
                <w:color w:val="auto"/>
              </w:rPr>
            </w:pPr>
            <w:r>
              <w:rPr>
                <w:rFonts w:ascii="Calibri" w:cs="Calibri" w:eastAsia="Calibri" w:hAnsi="Calibri"/>
                <w:sz w:val="17"/>
                <w:szCs w:val="17"/>
                <w:color w:val="auto"/>
              </w:rPr>
              <w:t>398</w:t>
            </w:r>
          </w:p>
        </w:tc>
        <w:tc>
          <w:tcPr>
            <w:tcW w:w="86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386</w:t>
            </w:r>
          </w:p>
        </w:tc>
        <w:tc>
          <w:tcPr>
            <w:tcW w:w="840" w:type="dxa"/>
            <w:vAlign w:val="bottom"/>
            <w:tcBorders>
              <w:right w:val="single" w:sz="8" w:color="auto"/>
            </w:tcBorders>
            <w:gridSpan w:val="2"/>
          </w:tcPr>
          <w:p>
            <w:pPr>
              <w:jc w:val="right"/>
              <w:spacing w:after="0" w:line="197" w:lineRule="exact"/>
              <w:rPr>
                <w:sz w:val="20"/>
                <w:szCs w:val="20"/>
                <w:color w:val="auto"/>
              </w:rPr>
            </w:pPr>
            <w:r>
              <w:rPr>
                <w:rFonts w:ascii="Calibri" w:cs="Calibri" w:eastAsia="Calibri" w:hAnsi="Calibri"/>
                <w:sz w:val="17"/>
                <w:szCs w:val="17"/>
                <w:color w:val="auto"/>
                <w:w w:val="99"/>
              </w:rPr>
              <w:t>-2.9% 7.0%</w:t>
            </w:r>
          </w:p>
        </w:tc>
        <w:tc>
          <w:tcPr>
            <w:tcW w:w="700" w:type="dxa"/>
            <w:vAlign w:val="bottom"/>
          </w:tcPr>
          <w:p>
            <w:pPr>
              <w:jc w:val="center"/>
              <w:ind w:left="77"/>
              <w:spacing w:after="0" w:line="197" w:lineRule="exact"/>
              <w:rPr>
                <w:sz w:val="20"/>
                <w:szCs w:val="20"/>
                <w:color w:val="auto"/>
              </w:rPr>
            </w:pPr>
            <w:r>
              <w:rPr>
                <w:rFonts w:ascii="Calibri" w:cs="Calibri" w:eastAsia="Calibri" w:hAnsi="Calibri"/>
                <w:sz w:val="17"/>
                <w:szCs w:val="17"/>
                <w:color w:val="auto"/>
                <w:w w:val="99"/>
              </w:rPr>
              <w:t>87.9%</w:t>
            </w:r>
          </w:p>
        </w:tc>
        <w:tc>
          <w:tcPr>
            <w:tcW w:w="680" w:type="dxa"/>
            <w:vAlign w:val="bottom"/>
            <w:tcBorders>
              <w:right w:val="single" w:sz="8" w:color="auto"/>
            </w:tcBorders>
          </w:tcPr>
          <w:p>
            <w:pPr>
              <w:jc w:val="center"/>
              <w:ind w:left="57"/>
              <w:spacing w:after="0" w:line="197" w:lineRule="exact"/>
              <w:rPr>
                <w:sz w:val="20"/>
                <w:szCs w:val="20"/>
                <w:color w:val="auto"/>
              </w:rPr>
            </w:pPr>
            <w:r>
              <w:rPr>
                <w:rFonts w:ascii="Calibri" w:cs="Calibri" w:eastAsia="Calibri" w:hAnsi="Calibri"/>
                <w:sz w:val="17"/>
                <w:szCs w:val="17"/>
                <w:color w:val="auto"/>
                <w:w w:val="99"/>
              </w:rPr>
              <w:t>12.1%</w:t>
            </w:r>
          </w:p>
        </w:tc>
        <w:tc>
          <w:tcPr>
            <w:tcW w:w="0" w:type="dxa"/>
            <w:vAlign w:val="bottom"/>
          </w:tcPr>
          <w:p>
            <w:pPr>
              <w:spacing w:after="0"/>
              <w:rPr>
                <w:sz w:val="1"/>
                <w:szCs w:val="1"/>
                <w:color w:val="auto"/>
              </w:rPr>
            </w:pPr>
          </w:p>
        </w:tc>
      </w:tr>
      <w:tr>
        <w:trPr>
          <w:trHeight w:val="212"/>
        </w:trPr>
        <w:tc>
          <w:tcPr>
            <w:tcW w:w="1520" w:type="dxa"/>
            <w:vAlign w:val="bottom"/>
            <w:tcBorders>
              <w:left w:val="single" w:sz="8" w:color="auto"/>
              <w:right w:val="single" w:sz="8" w:color="auto"/>
            </w:tcBorders>
          </w:tcPr>
          <w:p>
            <w:pPr>
              <w:ind w:left="280"/>
              <w:spacing w:after="0" w:line="205" w:lineRule="exact"/>
              <w:rPr>
                <w:sz w:val="20"/>
                <w:szCs w:val="20"/>
                <w:color w:val="auto"/>
              </w:rPr>
            </w:pPr>
            <w:r>
              <w:rPr>
                <w:rFonts w:ascii="Calibri" w:cs="Calibri" w:eastAsia="Calibri" w:hAnsi="Calibri"/>
                <w:sz w:val="17"/>
                <w:szCs w:val="17"/>
                <w:color w:val="auto"/>
              </w:rPr>
              <w:t>Credit Card</w:t>
            </w:r>
          </w:p>
        </w:tc>
        <w:tc>
          <w:tcPr>
            <w:tcW w:w="480" w:type="dxa"/>
            <w:vAlign w:val="bottom"/>
          </w:tcPr>
          <w:p>
            <w:pPr>
              <w:jc w:val="center"/>
              <w:spacing w:after="0" w:line="205" w:lineRule="exact"/>
              <w:rPr>
                <w:sz w:val="20"/>
                <w:szCs w:val="20"/>
                <w:color w:val="auto"/>
              </w:rPr>
            </w:pPr>
            <w:r>
              <w:rPr>
                <w:rFonts w:ascii="Calibri" w:cs="Calibri" w:eastAsia="Calibri" w:hAnsi="Calibri"/>
                <w:sz w:val="17"/>
                <w:szCs w:val="17"/>
                <w:color w:val="auto"/>
                <w:w w:val="97"/>
              </w:rPr>
              <w:t>3,329</w:t>
            </w:r>
          </w:p>
        </w:tc>
        <w:tc>
          <w:tcPr>
            <w:tcW w:w="520" w:type="dxa"/>
            <w:vAlign w:val="bottom"/>
          </w:tcPr>
          <w:p>
            <w:pPr>
              <w:jc w:val="center"/>
              <w:spacing w:after="0" w:line="205" w:lineRule="exact"/>
              <w:rPr>
                <w:sz w:val="20"/>
                <w:szCs w:val="20"/>
                <w:color w:val="auto"/>
              </w:rPr>
            </w:pPr>
            <w:r>
              <w:rPr>
                <w:rFonts w:ascii="Calibri" w:cs="Calibri" w:eastAsia="Calibri" w:hAnsi="Calibri"/>
                <w:sz w:val="17"/>
                <w:szCs w:val="17"/>
                <w:color w:val="auto"/>
                <w:w w:val="97"/>
              </w:rPr>
              <w:t>4,249</w:t>
            </w:r>
          </w:p>
        </w:tc>
        <w:tc>
          <w:tcPr>
            <w:tcW w:w="500" w:type="dxa"/>
            <w:vAlign w:val="bottom"/>
          </w:tcPr>
          <w:p>
            <w:pPr>
              <w:jc w:val="center"/>
              <w:spacing w:after="0" w:line="205" w:lineRule="exact"/>
              <w:rPr>
                <w:sz w:val="20"/>
                <w:szCs w:val="20"/>
                <w:color w:val="auto"/>
              </w:rPr>
            </w:pPr>
            <w:r>
              <w:rPr>
                <w:rFonts w:ascii="Calibri" w:cs="Calibri" w:eastAsia="Calibri" w:hAnsi="Calibri"/>
                <w:sz w:val="17"/>
                <w:szCs w:val="17"/>
                <w:color w:val="auto"/>
                <w:w w:val="97"/>
              </w:rPr>
              <w:t>4,555</w:t>
            </w:r>
          </w:p>
        </w:tc>
        <w:tc>
          <w:tcPr>
            <w:tcW w:w="700" w:type="dxa"/>
            <w:vAlign w:val="bottom"/>
          </w:tcPr>
          <w:p>
            <w:pPr>
              <w:jc w:val="center"/>
              <w:spacing w:after="0" w:line="205" w:lineRule="exact"/>
              <w:rPr>
                <w:sz w:val="20"/>
                <w:szCs w:val="20"/>
                <w:color w:val="auto"/>
              </w:rPr>
            </w:pPr>
            <w:r>
              <w:rPr>
                <w:rFonts w:ascii="Calibri" w:cs="Calibri" w:eastAsia="Calibri" w:hAnsi="Calibri"/>
                <w:sz w:val="17"/>
                <w:szCs w:val="17"/>
                <w:color w:val="auto"/>
                <w:w w:val="97"/>
              </w:rPr>
              <w:t>3,039</w:t>
            </w:r>
          </w:p>
        </w:tc>
        <w:tc>
          <w:tcPr>
            <w:tcW w:w="480" w:type="dxa"/>
            <w:vAlign w:val="bottom"/>
          </w:tcPr>
          <w:p>
            <w:pPr>
              <w:jc w:val="center"/>
              <w:spacing w:after="0" w:line="205" w:lineRule="exact"/>
              <w:rPr>
                <w:sz w:val="20"/>
                <w:szCs w:val="20"/>
                <w:color w:val="auto"/>
              </w:rPr>
            </w:pPr>
            <w:r>
              <w:rPr>
                <w:rFonts w:ascii="Calibri" w:cs="Calibri" w:eastAsia="Calibri" w:hAnsi="Calibri"/>
                <w:sz w:val="17"/>
                <w:szCs w:val="17"/>
                <w:color w:val="auto"/>
              </w:rPr>
              <w:t>3,946</w:t>
            </w:r>
          </w:p>
        </w:tc>
        <w:tc>
          <w:tcPr>
            <w:tcW w:w="54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7"/>
              </w:rPr>
              <w:t>4,249</w:t>
            </w:r>
          </w:p>
        </w:tc>
        <w:tc>
          <w:tcPr>
            <w:tcW w:w="460" w:type="dxa"/>
            <w:vAlign w:val="bottom"/>
          </w:tcPr>
          <w:p>
            <w:pPr>
              <w:jc w:val="center"/>
              <w:spacing w:after="0" w:line="205" w:lineRule="exact"/>
              <w:rPr>
                <w:sz w:val="20"/>
                <w:szCs w:val="20"/>
                <w:color w:val="auto"/>
              </w:rPr>
            </w:pPr>
            <w:r>
              <w:rPr>
                <w:rFonts w:ascii="Calibri" w:cs="Calibri" w:eastAsia="Calibri" w:hAnsi="Calibri"/>
                <w:sz w:val="17"/>
                <w:szCs w:val="17"/>
                <w:color w:val="auto"/>
              </w:rPr>
              <w:t>7.2%</w:t>
            </w:r>
          </w:p>
        </w:tc>
        <w:tc>
          <w:tcPr>
            <w:tcW w:w="520" w:type="dxa"/>
            <w:vAlign w:val="bottom"/>
            <w:tcBorders>
              <w:bottom w:val="single" w:sz="8" w:color="26D07C"/>
              <w:right w:val="single" w:sz="8" w:color="auto"/>
            </w:tcBorders>
            <w:shd w:val="clear" w:color="auto" w:fill="26D07C"/>
          </w:tcPr>
          <w:p>
            <w:pPr>
              <w:jc w:val="center"/>
              <w:spacing w:after="0" w:line="205" w:lineRule="exact"/>
              <w:rPr>
                <w:sz w:val="20"/>
                <w:szCs w:val="20"/>
                <w:color w:val="auto"/>
              </w:rPr>
            </w:pPr>
            <w:r>
              <w:rPr>
                <w:rFonts w:ascii="Calibri" w:cs="Calibri" w:eastAsia="Calibri" w:hAnsi="Calibri"/>
                <w:sz w:val="17"/>
                <w:szCs w:val="17"/>
                <w:color w:val="auto"/>
                <w:w w:val="99"/>
              </w:rPr>
              <w:t>36.8%</w:t>
            </w:r>
          </w:p>
        </w:tc>
        <w:tc>
          <w:tcPr>
            <w:tcW w:w="400" w:type="dxa"/>
            <w:vAlign w:val="bottom"/>
            <w:tcBorders>
              <w:bottom w:val="single" w:sz="8" w:color="26D07C"/>
            </w:tcBorders>
            <w:shd w:val="clear" w:color="auto" w:fill="26D07C"/>
          </w:tcPr>
          <w:p>
            <w:pPr>
              <w:jc w:val="center"/>
              <w:spacing w:after="0" w:line="205" w:lineRule="exact"/>
              <w:rPr>
                <w:sz w:val="20"/>
                <w:szCs w:val="20"/>
                <w:color w:val="auto"/>
              </w:rPr>
            </w:pPr>
            <w:r>
              <w:rPr>
                <w:rFonts w:ascii="Calibri" w:cs="Calibri" w:eastAsia="Calibri" w:hAnsi="Calibri"/>
                <w:sz w:val="17"/>
                <w:szCs w:val="17"/>
                <w:color w:val="auto"/>
              </w:rPr>
              <w:t>7.7%</w:t>
            </w:r>
          </w:p>
        </w:tc>
        <w:tc>
          <w:tcPr>
            <w:tcW w:w="480" w:type="dxa"/>
            <w:vAlign w:val="bottom"/>
            <w:tcBorders>
              <w:bottom w:val="single" w:sz="8" w:color="26D07C"/>
              <w:right w:val="single" w:sz="8" w:color="auto"/>
            </w:tcBorders>
            <w:shd w:val="clear" w:color="auto" w:fill="26D07C"/>
          </w:tcPr>
          <w:p>
            <w:pPr>
              <w:jc w:val="center"/>
              <w:spacing w:after="0" w:line="205" w:lineRule="exact"/>
              <w:rPr>
                <w:sz w:val="20"/>
                <w:szCs w:val="20"/>
                <w:color w:val="auto"/>
              </w:rPr>
            </w:pPr>
            <w:r>
              <w:rPr>
                <w:rFonts w:ascii="Calibri" w:cs="Calibri" w:eastAsia="Calibri" w:hAnsi="Calibri"/>
                <w:sz w:val="17"/>
                <w:szCs w:val="17"/>
                <w:color w:val="auto"/>
                <w:w w:val="99"/>
              </w:rPr>
              <w:t>39.8%</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2"/>
              </w:rPr>
              <w:t>187</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color w:val="auto"/>
              </w:rPr>
              <w:t>226</w:t>
            </w:r>
          </w:p>
        </w:tc>
        <w:tc>
          <w:tcPr>
            <w:tcW w:w="86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color w:val="auto"/>
              </w:rPr>
              <w:t>227</w:t>
            </w:r>
          </w:p>
        </w:tc>
        <w:tc>
          <w:tcPr>
            <w:tcW w:w="840" w:type="dxa"/>
            <w:vAlign w:val="bottom"/>
            <w:tcBorders>
              <w:right w:val="single" w:sz="8" w:color="auto"/>
            </w:tcBorders>
            <w:gridSpan w:val="2"/>
          </w:tcPr>
          <w:p>
            <w:pPr>
              <w:jc w:val="right"/>
              <w:spacing w:after="0" w:line="205" w:lineRule="exact"/>
              <w:rPr>
                <w:sz w:val="20"/>
                <w:szCs w:val="20"/>
                <w:color w:val="auto"/>
              </w:rPr>
            </w:pPr>
            <w:r>
              <w:rPr>
                <w:rFonts w:ascii="Calibri" w:cs="Calibri" w:eastAsia="Calibri" w:hAnsi="Calibri"/>
                <w:sz w:val="17"/>
                <w:szCs w:val="17"/>
                <w:color w:val="auto"/>
              </w:rPr>
              <w:t>0.7% 21.8%</w:t>
            </w:r>
          </w:p>
        </w:tc>
        <w:tc>
          <w:tcPr>
            <w:tcW w:w="700" w:type="dxa"/>
            <w:vAlign w:val="bottom"/>
          </w:tcPr>
          <w:p>
            <w:pPr>
              <w:jc w:val="center"/>
              <w:ind w:left="77"/>
              <w:spacing w:after="0" w:line="205" w:lineRule="exact"/>
              <w:rPr>
                <w:sz w:val="20"/>
                <w:szCs w:val="20"/>
                <w:color w:val="auto"/>
              </w:rPr>
            </w:pPr>
            <w:r>
              <w:rPr>
                <w:rFonts w:ascii="Calibri" w:cs="Calibri" w:eastAsia="Calibri" w:hAnsi="Calibri"/>
                <w:sz w:val="17"/>
                <w:szCs w:val="17"/>
                <w:color w:val="auto"/>
                <w:w w:val="99"/>
              </w:rPr>
              <w:t>82.8%</w:t>
            </w:r>
          </w:p>
        </w:tc>
        <w:tc>
          <w:tcPr>
            <w:tcW w:w="680" w:type="dxa"/>
            <w:vAlign w:val="bottom"/>
            <w:tcBorders>
              <w:right w:val="single" w:sz="8" w:color="auto"/>
            </w:tcBorders>
          </w:tcPr>
          <w:p>
            <w:pPr>
              <w:jc w:val="center"/>
              <w:ind w:left="57"/>
              <w:spacing w:after="0" w:line="205" w:lineRule="exact"/>
              <w:rPr>
                <w:sz w:val="20"/>
                <w:szCs w:val="20"/>
                <w:color w:val="auto"/>
              </w:rPr>
            </w:pPr>
            <w:r>
              <w:rPr>
                <w:rFonts w:ascii="Calibri" w:cs="Calibri" w:eastAsia="Calibri" w:hAnsi="Calibri"/>
                <w:sz w:val="17"/>
                <w:szCs w:val="17"/>
                <w:color w:val="auto"/>
                <w:w w:val="99"/>
              </w:rPr>
              <w:t>17.2%</w:t>
            </w:r>
          </w:p>
        </w:tc>
        <w:tc>
          <w:tcPr>
            <w:tcW w:w="0" w:type="dxa"/>
            <w:vAlign w:val="bottom"/>
          </w:tcPr>
          <w:p>
            <w:pPr>
              <w:spacing w:after="0"/>
              <w:rPr>
                <w:sz w:val="1"/>
                <w:szCs w:val="1"/>
                <w:color w:val="auto"/>
              </w:rPr>
            </w:pPr>
          </w:p>
        </w:tc>
      </w:tr>
      <w:tr>
        <w:trPr>
          <w:trHeight w:val="204"/>
        </w:trPr>
        <w:tc>
          <w:tcPr>
            <w:tcW w:w="1520" w:type="dxa"/>
            <w:vAlign w:val="bottom"/>
            <w:tcBorders>
              <w:left w:val="single" w:sz="8" w:color="auto"/>
              <w:right w:val="single" w:sz="8" w:color="auto"/>
            </w:tcBorders>
          </w:tcPr>
          <w:p>
            <w:pPr>
              <w:ind w:left="20"/>
              <w:spacing w:after="0" w:line="176" w:lineRule="exact"/>
              <w:rPr>
                <w:sz w:val="20"/>
                <w:szCs w:val="20"/>
                <w:color w:val="auto"/>
              </w:rPr>
            </w:pPr>
            <w:r>
              <w:rPr>
                <w:rFonts w:ascii="Calibri" w:cs="Calibri" w:eastAsia="Calibri" w:hAnsi="Calibri"/>
                <w:sz w:val="17"/>
                <w:szCs w:val="17"/>
                <w:b w:val="1"/>
                <w:bCs w:val="1"/>
                <w:color w:val="auto"/>
              </w:rPr>
              <w:t>Mibanco</w:t>
            </w:r>
          </w:p>
        </w:tc>
        <w:tc>
          <w:tcPr>
            <w:tcW w:w="1500" w:type="dxa"/>
            <w:vAlign w:val="bottom"/>
            <w:gridSpan w:val="3"/>
          </w:tcPr>
          <w:p>
            <w:pPr>
              <w:jc w:val="right"/>
              <w:spacing w:after="0" w:line="176" w:lineRule="exact"/>
              <w:rPr>
                <w:sz w:val="20"/>
                <w:szCs w:val="20"/>
                <w:color w:val="auto"/>
              </w:rPr>
            </w:pPr>
            <w:r>
              <w:rPr>
                <w:rFonts w:ascii="Calibri" w:cs="Calibri" w:eastAsia="Calibri" w:hAnsi="Calibri"/>
                <w:sz w:val="17"/>
                <w:szCs w:val="17"/>
                <w:b w:val="1"/>
                <w:bCs w:val="1"/>
                <w:color w:val="auto"/>
              </w:rPr>
              <w:t>13,10913,78413,619</w:t>
            </w:r>
          </w:p>
        </w:tc>
        <w:tc>
          <w:tcPr>
            <w:tcW w:w="700" w:type="dxa"/>
            <w:vAlign w:val="bottom"/>
          </w:tcPr>
          <w:p>
            <w:pPr>
              <w:jc w:val="center"/>
              <w:spacing w:after="0" w:line="176" w:lineRule="exact"/>
              <w:rPr>
                <w:sz w:val="20"/>
                <w:szCs w:val="20"/>
                <w:color w:val="auto"/>
              </w:rPr>
            </w:pPr>
            <w:r>
              <w:rPr>
                <w:rFonts w:ascii="Calibri" w:cs="Calibri" w:eastAsia="Calibri" w:hAnsi="Calibri"/>
                <w:sz w:val="17"/>
                <w:szCs w:val="17"/>
                <w:b w:val="1"/>
                <w:bCs w:val="1"/>
                <w:color w:val="auto"/>
                <w:w w:val="96"/>
              </w:rPr>
              <w:t>10,519</w:t>
            </w:r>
          </w:p>
        </w:tc>
        <w:tc>
          <w:tcPr>
            <w:tcW w:w="1020" w:type="dxa"/>
            <w:vAlign w:val="bottom"/>
            <w:tcBorders>
              <w:right w:val="single" w:sz="8" w:color="auto"/>
            </w:tcBorders>
            <w:gridSpan w:val="2"/>
          </w:tcPr>
          <w:p>
            <w:pPr>
              <w:jc w:val="right"/>
              <w:spacing w:after="0" w:line="176" w:lineRule="exact"/>
              <w:rPr>
                <w:sz w:val="20"/>
                <w:szCs w:val="20"/>
                <w:color w:val="auto"/>
              </w:rPr>
            </w:pPr>
            <w:r>
              <w:rPr>
                <w:rFonts w:ascii="Calibri" w:cs="Calibri" w:eastAsia="Calibri" w:hAnsi="Calibri"/>
                <w:sz w:val="17"/>
                <w:szCs w:val="17"/>
                <w:b w:val="1"/>
                <w:bCs w:val="1"/>
                <w:color w:val="auto"/>
              </w:rPr>
              <w:t>12,30912,644</w:t>
            </w:r>
          </w:p>
        </w:tc>
        <w:tc>
          <w:tcPr>
            <w:tcW w:w="460" w:type="dxa"/>
            <w:vAlign w:val="bottom"/>
          </w:tcPr>
          <w:p>
            <w:pPr>
              <w:jc w:val="center"/>
              <w:spacing w:after="0" w:line="176" w:lineRule="exact"/>
              <w:rPr>
                <w:sz w:val="20"/>
                <w:szCs w:val="20"/>
                <w:color w:val="auto"/>
              </w:rPr>
            </w:pPr>
            <w:r>
              <w:rPr>
                <w:rFonts w:ascii="Calibri" w:cs="Calibri" w:eastAsia="Calibri" w:hAnsi="Calibri"/>
                <w:sz w:val="17"/>
                <w:szCs w:val="17"/>
                <w:b w:val="1"/>
                <w:bCs w:val="1"/>
                <w:color w:val="auto"/>
                <w:w w:val="96"/>
              </w:rPr>
              <w:t>-1.2%</w:t>
            </w:r>
          </w:p>
        </w:tc>
        <w:tc>
          <w:tcPr>
            <w:tcW w:w="52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3.9%</w:t>
            </w:r>
          </w:p>
        </w:tc>
        <w:tc>
          <w:tcPr>
            <w:tcW w:w="400" w:type="dxa"/>
            <w:vAlign w:val="bottom"/>
            <w:shd w:val="clear" w:color="auto" w:fill="26D07C"/>
          </w:tcPr>
          <w:p>
            <w:pPr>
              <w:jc w:val="center"/>
              <w:spacing w:after="0" w:line="176" w:lineRule="exact"/>
              <w:rPr>
                <w:sz w:val="20"/>
                <w:szCs w:val="20"/>
                <w:color w:val="auto"/>
              </w:rPr>
            </w:pPr>
            <w:r>
              <w:rPr>
                <w:rFonts w:ascii="Calibri" w:cs="Calibri" w:eastAsia="Calibri" w:hAnsi="Calibri"/>
                <w:sz w:val="17"/>
                <w:szCs w:val="17"/>
                <w:color w:val="auto"/>
              </w:rPr>
              <w:t>2.7%</w:t>
            </w:r>
          </w:p>
        </w:tc>
        <w:tc>
          <w:tcPr>
            <w:tcW w:w="480" w:type="dxa"/>
            <w:vAlign w:val="bottom"/>
            <w:tcBorders>
              <w:right w:val="single" w:sz="8" w:color="auto"/>
            </w:tcBorders>
            <w:shd w:val="clear" w:color="auto" w:fill="26D07C"/>
          </w:tcPr>
          <w:p>
            <w:pPr>
              <w:jc w:val="center"/>
              <w:spacing w:after="0" w:line="176" w:lineRule="exact"/>
              <w:rPr>
                <w:sz w:val="20"/>
                <w:szCs w:val="20"/>
                <w:color w:val="auto"/>
              </w:rPr>
            </w:pPr>
            <w:r>
              <w:rPr>
                <w:rFonts w:ascii="Calibri" w:cs="Calibri" w:eastAsia="Calibri" w:hAnsi="Calibri"/>
                <w:sz w:val="17"/>
                <w:szCs w:val="17"/>
                <w:color w:val="auto"/>
                <w:w w:val="99"/>
              </w:rPr>
              <w:t>20.2%</w:t>
            </w:r>
          </w:p>
        </w:tc>
        <w:tc>
          <w:tcPr>
            <w:tcW w:w="840" w:type="dxa"/>
            <w:vAlign w:val="bottom"/>
          </w:tcPr>
          <w:p>
            <w:pPr>
              <w:jc w:val="center"/>
              <w:spacing w:after="0" w:line="176" w:lineRule="exact"/>
              <w:rPr>
                <w:sz w:val="20"/>
                <w:szCs w:val="20"/>
                <w:color w:val="auto"/>
              </w:rPr>
            </w:pPr>
            <w:r>
              <w:rPr>
                <w:rFonts w:ascii="Calibri" w:cs="Calibri" w:eastAsia="Calibri" w:hAnsi="Calibri"/>
                <w:sz w:val="17"/>
                <w:szCs w:val="17"/>
                <w:b w:val="1"/>
                <w:bCs w:val="1"/>
                <w:color w:val="auto"/>
                <w:w w:val="92"/>
              </w:rPr>
              <w:t>126</w:t>
            </w:r>
          </w:p>
        </w:tc>
        <w:tc>
          <w:tcPr>
            <w:tcW w:w="820" w:type="dxa"/>
            <w:vAlign w:val="bottom"/>
          </w:tcPr>
          <w:p>
            <w:pPr>
              <w:jc w:val="center"/>
              <w:spacing w:after="0" w:line="176" w:lineRule="exact"/>
              <w:rPr>
                <w:sz w:val="20"/>
                <w:szCs w:val="20"/>
                <w:color w:val="auto"/>
              </w:rPr>
            </w:pPr>
            <w:r>
              <w:rPr>
                <w:rFonts w:ascii="Calibri" w:cs="Calibri" w:eastAsia="Calibri" w:hAnsi="Calibri"/>
                <w:sz w:val="17"/>
                <w:szCs w:val="17"/>
                <w:b w:val="1"/>
                <w:bCs w:val="1"/>
                <w:color w:val="auto"/>
              </w:rPr>
              <w:t>123</w:t>
            </w:r>
          </w:p>
        </w:tc>
        <w:tc>
          <w:tcPr>
            <w:tcW w:w="860" w:type="dxa"/>
            <w:vAlign w:val="bottom"/>
            <w:tcBorders>
              <w:right w:val="single" w:sz="8" w:color="auto"/>
            </w:tcBorders>
          </w:tcPr>
          <w:p>
            <w:pPr>
              <w:jc w:val="center"/>
              <w:spacing w:after="0" w:line="176" w:lineRule="exact"/>
              <w:rPr>
                <w:sz w:val="20"/>
                <w:szCs w:val="20"/>
                <w:color w:val="auto"/>
              </w:rPr>
            </w:pPr>
            <w:r>
              <w:rPr>
                <w:rFonts w:ascii="Calibri" w:cs="Calibri" w:eastAsia="Calibri" w:hAnsi="Calibri"/>
                <w:sz w:val="17"/>
                <w:szCs w:val="17"/>
                <w:b w:val="1"/>
                <w:bCs w:val="1"/>
                <w:color w:val="auto"/>
              </w:rPr>
              <w:t>126</w:t>
            </w:r>
          </w:p>
        </w:tc>
        <w:tc>
          <w:tcPr>
            <w:tcW w:w="840" w:type="dxa"/>
            <w:vAlign w:val="bottom"/>
            <w:tcBorders>
              <w:right w:val="single" w:sz="8" w:color="auto"/>
            </w:tcBorders>
            <w:gridSpan w:val="2"/>
          </w:tcPr>
          <w:p>
            <w:pPr>
              <w:jc w:val="right"/>
              <w:spacing w:after="0" w:line="176" w:lineRule="exact"/>
              <w:rPr>
                <w:sz w:val="20"/>
                <w:szCs w:val="20"/>
                <w:color w:val="auto"/>
              </w:rPr>
            </w:pPr>
            <w:r>
              <w:rPr>
                <w:rFonts w:ascii="Calibri" w:cs="Calibri" w:eastAsia="Calibri" w:hAnsi="Calibri"/>
                <w:sz w:val="17"/>
                <w:szCs w:val="17"/>
                <w:b w:val="1"/>
                <w:bCs w:val="1"/>
                <w:color w:val="auto"/>
              </w:rPr>
              <w:t>2.5% 0.2%</w:t>
            </w:r>
          </w:p>
        </w:tc>
        <w:tc>
          <w:tcPr>
            <w:tcW w:w="700" w:type="dxa"/>
            <w:vAlign w:val="bottom"/>
          </w:tcPr>
          <w:p>
            <w:pPr>
              <w:jc w:val="center"/>
              <w:ind w:left="57"/>
              <w:spacing w:after="0" w:line="176" w:lineRule="exact"/>
              <w:rPr>
                <w:sz w:val="20"/>
                <w:szCs w:val="20"/>
                <w:color w:val="auto"/>
              </w:rPr>
            </w:pPr>
            <w:r>
              <w:rPr>
                <w:rFonts w:ascii="Calibri" w:cs="Calibri" w:eastAsia="Calibri" w:hAnsi="Calibri"/>
                <w:sz w:val="17"/>
                <w:szCs w:val="17"/>
                <w:b w:val="1"/>
                <w:bCs w:val="1"/>
                <w:color w:val="auto"/>
              </w:rPr>
              <w:t>96.7%</w:t>
            </w:r>
          </w:p>
        </w:tc>
        <w:tc>
          <w:tcPr>
            <w:tcW w:w="680" w:type="dxa"/>
            <w:vAlign w:val="bottom"/>
            <w:tcBorders>
              <w:right w:val="single" w:sz="8" w:color="auto"/>
            </w:tcBorders>
          </w:tcPr>
          <w:p>
            <w:pPr>
              <w:jc w:val="center"/>
              <w:ind w:left="57"/>
              <w:spacing w:after="0" w:line="176" w:lineRule="exact"/>
              <w:rPr>
                <w:sz w:val="20"/>
                <w:szCs w:val="20"/>
                <w:color w:val="auto"/>
              </w:rPr>
            </w:pPr>
            <w:r>
              <w:rPr>
                <w:rFonts w:ascii="Calibri" w:cs="Calibri" w:eastAsia="Calibri" w:hAnsi="Calibri"/>
                <w:sz w:val="17"/>
                <w:szCs w:val="17"/>
                <w:b w:val="1"/>
                <w:bCs w:val="1"/>
                <w:color w:val="auto"/>
                <w:w w:val="99"/>
              </w:rPr>
              <w:t>3.3%</w:t>
            </w:r>
          </w:p>
        </w:tc>
        <w:tc>
          <w:tcPr>
            <w:tcW w:w="0" w:type="dxa"/>
            <w:vAlign w:val="bottom"/>
          </w:tcPr>
          <w:p>
            <w:pPr>
              <w:spacing w:after="0"/>
              <w:rPr>
                <w:sz w:val="1"/>
                <w:szCs w:val="1"/>
                <w:color w:val="auto"/>
              </w:rPr>
            </w:pPr>
          </w:p>
        </w:tc>
      </w:tr>
      <w:tr>
        <w:trPr>
          <w:trHeight w:val="184"/>
        </w:trPr>
        <w:tc>
          <w:tcPr>
            <w:tcW w:w="1520" w:type="dxa"/>
            <w:vAlign w:val="bottom"/>
            <w:tcBorders>
              <w:left w:val="single" w:sz="8" w:color="auto"/>
              <w:right w:val="single" w:sz="8" w:color="auto"/>
            </w:tcBorders>
          </w:tcPr>
          <w:p>
            <w:pPr>
              <w:ind w:left="20"/>
              <w:spacing w:after="0" w:line="184" w:lineRule="exact"/>
              <w:rPr>
                <w:sz w:val="20"/>
                <w:szCs w:val="20"/>
                <w:color w:val="auto"/>
              </w:rPr>
            </w:pPr>
            <w:r>
              <w:rPr>
                <w:rFonts w:ascii="Calibri" w:cs="Calibri" w:eastAsia="Calibri" w:hAnsi="Calibri"/>
                <w:sz w:val="17"/>
                <w:szCs w:val="17"/>
                <w:b w:val="1"/>
                <w:bCs w:val="1"/>
                <w:color w:val="auto"/>
              </w:rPr>
              <w:t>Mibanco Colombia</w:t>
            </w:r>
          </w:p>
        </w:tc>
        <w:tc>
          <w:tcPr>
            <w:tcW w:w="48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w w:val="75"/>
              </w:rPr>
              <w:t>-</w:t>
            </w:r>
          </w:p>
        </w:tc>
        <w:tc>
          <w:tcPr>
            <w:tcW w:w="52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rPr>
              <w:t>-</w:t>
            </w:r>
          </w:p>
        </w:tc>
        <w:tc>
          <w:tcPr>
            <w:tcW w:w="50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w w:val="75"/>
              </w:rPr>
              <w:t>-</w:t>
            </w:r>
          </w:p>
        </w:tc>
        <w:tc>
          <w:tcPr>
            <w:tcW w:w="70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rPr>
              <w:t>0</w:t>
            </w:r>
          </w:p>
        </w:tc>
        <w:tc>
          <w:tcPr>
            <w:tcW w:w="48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w w:val="92"/>
              </w:rPr>
              <w:t>0</w:t>
            </w:r>
          </w:p>
        </w:tc>
        <w:tc>
          <w:tcPr>
            <w:tcW w:w="54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2"/>
              </w:rPr>
              <w:t>0</w:t>
            </w:r>
          </w:p>
        </w:tc>
        <w:tc>
          <w:tcPr>
            <w:tcW w:w="46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rPr>
              <w:t>-</w:t>
            </w:r>
          </w:p>
        </w:tc>
        <w:tc>
          <w:tcPr>
            <w:tcW w:w="52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rPr>
              <w:t>-</w:t>
            </w:r>
          </w:p>
        </w:tc>
        <w:tc>
          <w:tcPr>
            <w:tcW w:w="40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w w:val="75"/>
              </w:rPr>
              <w:t>-</w:t>
            </w:r>
          </w:p>
        </w:tc>
        <w:tc>
          <w:tcPr>
            <w:tcW w:w="48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w w:val="92"/>
              </w:rPr>
              <w:t>286</w:t>
            </w:r>
          </w:p>
        </w:tc>
        <w:tc>
          <w:tcPr>
            <w:tcW w:w="82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rPr>
              <w:t>303</w:t>
            </w:r>
          </w:p>
        </w:tc>
        <w:tc>
          <w:tcPr>
            <w:tcW w:w="86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rPr>
              <w:t>329</w:t>
            </w:r>
          </w:p>
        </w:tc>
        <w:tc>
          <w:tcPr>
            <w:tcW w:w="840" w:type="dxa"/>
            <w:vAlign w:val="bottom"/>
            <w:tcBorders>
              <w:right w:val="single" w:sz="8" w:color="auto"/>
            </w:tcBorders>
            <w:gridSpan w:val="2"/>
          </w:tcPr>
          <w:p>
            <w:pPr>
              <w:jc w:val="right"/>
              <w:spacing w:after="0" w:line="184" w:lineRule="exact"/>
              <w:rPr>
                <w:sz w:val="20"/>
                <w:szCs w:val="20"/>
                <w:color w:val="auto"/>
              </w:rPr>
            </w:pPr>
            <w:r>
              <w:rPr>
                <w:rFonts w:ascii="Calibri" w:cs="Calibri" w:eastAsia="Calibri" w:hAnsi="Calibri"/>
                <w:sz w:val="17"/>
                <w:szCs w:val="17"/>
                <w:b w:val="1"/>
                <w:bCs w:val="1"/>
                <w:color w:val="auto"/>
                <w:w w:val="98"/>
              </w:rPr>
              <w:t>8.6% 14.8%</w:t>
            </w:r>
          </w:p>
        </w:tc>
        <w:tc>
          <w:tcPr>
            <w:tcW w:w="700" w:type="dxa"/>
            <w:vAlign w:val="bottom"/>
          </w:tcPr>
          <w:p>
            <w:pPr>
              <w:spacing w:after="0"/>
              <w:rPr>
                <w:sz w:val="15"/>
                <w:szCs w:val="15"/>
                <w:color w:val="auto"/>
              </w:rPr>
            </w:pPr>
          </w:p>
        </w:tc>
        <w:tc>
          <w:tcPr>
            <w:tcW w:w="680" w:type="dxa"/>
            <w:vAlign w:val="bottom"/>
            <w:tcBorders>
              <w:right w:val="single" w:sz="8" w:color="auto"/>
            </w:tcBorders>
          </w:tcPr>
          <w:p>
            <w:pPr>
              <w:jc w:val="right"/>
              <w:spacing w:after="0" w:line="184" w:lineRule="exact"/>
              <w:rPr>
                <w:sz w:val="20"/>
                <w:szCs w:val="20"/>
                <w:color w:val="auto"/>
              </w:rPr>
            </w:pPr>
            <w:r>
              <w:rPr>
                <w:rFonts w:ascii="Calibri" w:cs="Calibri" w:eastAsia="Calibri" w:hAnsi="Calibri"/>
                <w:sz w:val="17"/>
                <w:szCs w:val="17"/>
                <w:b w:val="1"/>
                <w:bCs w:val="1"/>
                <w:color w:val="auto"/>
              </w:rPr>
              <w:t>-100.0%</w:t>
            </w:r>
          </w:p>
        </w:tc>
        <w:tc>
          <w:tcPr>
            <w:tcW w:w="0" w:type="dxa"/>
            <w:vAlign w:val="bottom"/>
          </w:tcPr>
          <w:p>
            <w:pPr>
              <w:spacing w:after="0"/>
              <w:rPr>
                <w:sz w:val="1"/>
                <w:szCs w:val="1"/>
                <w:color w:val="auto"/>
              </w:rPr>
            </w:pPr>
          </w:p>
        </w:tc>
      </w:tr>
      <w:tr>
        <w:trPr>
          <w:trHeight w:val="197"/>
        </w:trPr>
        <w:tc>
          <w:tcPr>
            <w:tcW w:w="1520" w:type="dxa"/>
            <w:vAlign w:val="bottom"/>
            <w:tcBorders>
              <w:left w:val="single" w:sz="8" w:color="auto"/>
              <w:right w:val="single" w:sz="8" w:color="auto"/>
            </w:tcBorders>
          </w:tcPr>
          <w:p>
            <w:pPr>
              <w:ind w:left="20"/>
              <w:spacing w:after="0" w:line="197" w:lineRule="exact"/>
              <w:rPr>
                <w:sz w:val="20"/>
                <w:szCs w:val="20"/>
                <w:color w:val="auto"/>
              </w:rPr>
            </w:pPr>
            <w:r>
              <w:rPr>
                <w:rFonts w:ascii="Calibri" w:cs="Calibri" w:eastAsia="Calibri" w:hAnsi="Calibri"/>
                <w:sz w:val="17"/>
                <w:szCs w:val="17"/>
                <w:b w:val="1"/>
                <w:bCs w:val="1"/>
                <w:color w:val="auto"/>
              </w:rPr>
              <w:t>Bolivia</w:t>
            </w:r>
          </w:p>
        </w:tc>
        <w:tc>
          <w:tcPr>
            <w:tcW w:w="48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75"/>
              </w:rPr>
              <w:t>-</w:t>
            </w:r>
          </w:p>
        </w:tc>
        <w:tc>
          <w:tcPr>
            <w:tcW w:w="52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w:t>
            </w:r>
          </w:p>
        </w:tc>
        <w:tc>
          <w:tcPr>
            <w:tcW w:w="5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75"/>
              </w:rPr>
              <w:t>-</w:t>
            </w:r>
          </w:p>
        </w:tc>
        <w:tc>
          <w:tcPr>
            <w:tcW w:w="7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0</w:t>
            </w:r>
          </w:p>
        </w:tc>
        <w:tc>
          <w:tcPr>
            <w:tcW w:w="48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2"/>
              </w:rPr>
              <w:t>0</w:t>
            </w:r>
          </w:p>
        </w:tc>
        <w:tc>
          <w:tcPr>
            <w:tcW w:w="5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2"/>
              </w:rPr>
              <w:t>0</w:t>
            </w:r>
          </w:p>
        </w:tc>
        <w:tc>
          <w:tcPr>
            <w:tcW w:w="46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w:t>
            </w:r>
          </w:p>
        </w:tc>
        <w:tc>
          <w:tcPr>
            <w:tcW w:w="52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rPr>
              <w:t>-</w:t>
            </w:r>
          </w:p>
        </w:tc>
        <w:tc>
          <w:tcPr>
            <w:tcW w:w="40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75"/>
              </w:rPr>
              <w:t>-</w:t>
            </w:r>
          </w:p>
        </w:tc>
        <w:tc>
          <w:tcPr>
            <w:tcW w:w="48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2,284</w:t>
            </w:r>
          </w:p>
        </w:tc>
        <w:tc>
          <w:tcPr>
            <w:tcW w:w="82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7"/>
              </w:rPr>
              <w:t>2,326</w:t>
            </w:r>
          </w:p>
        </w:tc>
        <w:tc>
          <w:tcPr>
            <w:tcW w:w="86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7"/>
              </w:rPr>
              <w:t>2,352</w:t>
            </w:r>
          </w:p>
        </w:tc>
        <w:tc>
          <w:tcPr>
            <w:tcW w:w="840" w:type="dxa"/>
            <w:vAlign w:val="bottom"/>
            <w:tcBorders>
              <w:right w:val="single" w:sz="8" w:color="auto"/>
            </w:tcBorders>
            <w:gridSpan w:val="2"/>
          </w:tcPr>
          <w:p>
            <w:pPr>
              <w:jc w:val="right"/>
              <w:spacing w:after="0" w:line="197" w:lineRule="exact"/>
              <w:rPr>
                <w:sz w:val="20"/>
                <w:szCs w:val="20"/>
                <w:color w:val="auto"/>
              </w:rPr>
            </w:pPr>
            <w:r>
              <w:rPr>
                <w:rFonts w:ascii="Calibri" w:cs="Calibri" w:eastAsia="Calibri" w:hAnsi="Calibri"/>
                <w:sz w:val="17"/>
                <w:szCs w:val="17"/>
                <w:b w:val="1"/>
                <w:bCs w:val="1"/>
                <w:color w:val="auto"/>
              </w:rPr>
              <w:t>1.2% 3.0%</w:t>
            </w:r>
          </w:p>
        </w:tc>
        <w:tc>
          <w:tcPr>
            <w:tcW w:w="700" w:type="dxa"/>
            <w:vAlign w:val="bottom"/>
          </w:tcPr>
          <w:p>
            <w:pPr>
              <w:spacing w:after="0"/>
              <w:rPr>
                <w:sz w:val="17"/>
                <w:szCs w:val="17"/>
                <w:color w:val="auto"/>
              </w:rPr>
            </w:pPr>
          </w:p>
        </w:tc>
        <w:tc>
          <w:tcPr>
            <w:tcW w:w="680" w:type="dxa"/>
            <w:vAlign w:val="bottom"/>
            <w:tcBorders>
              <w:right w:val="single" w:sz="8" w:color="auto"/>
            </w:tcBorders>
          </w:tcPr>
          <w:p>
            <w:pPr>
              <w:jc w:val="right"/>
              <w:spacing w:after="0" w:line="197" w:lineRule="exact"/>
              <w:rPr>
                <w:sz w:val="20"/>
                <w:szCs w:val="20"/>
                <w:color w:val="auto"/>
              </w:rPr>
            </w:pPr>
            <w:r>
              <w:rPr>
                <w:rFonts w:ascii="Calibri" w:cs="Calibri" w:eastAsia="Calibri" w:hAnsi="Calibri"/>
                <w:sz w:val="17"/>
                <w:szCs w:val="17"/>
                <w:b w:val="1"/>
                <w:bCs w:val="1"/>
                <w:color w:val="auto"/>
              </w:rPr>
              <w:t>-100.0%</w:t>
            </w:r>
          </w:p>
        </w:tc>
        <w:tc>
          <w:tcPr>
            <w:tcW w:w="0" w:type="dxa"/>
            <w:vAlign w:val="bottom"/>
          </w:tcPr>
          <w:p>
            <w:pPr>
              <w:spacing w:after="0"/>
              <w:rPr>
                <w:sz w:val="1"/>
                <w:szCs w:val="1"/>
                <w:color w:val="auto"/>
              </w:rPr>
            </w:pPr>
          </w:p>
        </w:tc>
      </w:tr>
      <w:tr>
        <w:trPr>
          <w:trHeight w:val="204"/>
        </w:trPr>
        <w:tc>
          <w:tcPr>
            <w:tcW w:w="1520" w:type="dxa"/>
            <w:vAlign w:val="bottom"/>
            <w:tcBorders>
              <w:left w:val="single" w:sz="8" w:color="auto"/>
              <w:right w:val="single" w:sz="8" w:color="auto"/>
            </w:tcBorders>
          </w:tcPr>
          <w:p>
            <w:pPr>
              <w:ind w:left="20"/>
              <w:spacing w:after="0" w:line="205" w:lineRule="exact"/>
              <w:rPr>
                <w:sz w:val="20"/>
                <w:szCs w:val="20"/>
                <w:color w:val="auto"/>
              </w:rPr>
            </w:pPr>
            <w:r>
              <w:rPr>
                <w:rFonts w:ascii="Calibri" w:cs="Calibri" w:eastAsia="Calibri" w:hAnsi="Calibri"/>
                <w:sz w:val="17"/>
                <w:szCs w:val="17"/>
                <w:b w:val="1"/>
                <w:bCs w:val="1"/>
                <w:color w:val="auto"/>
              </w:rPr>
              <w:t>ASB Bank Corp.</w:t>
            </w:r>
          </w:p>
        </w:tc>
        <w:tc>
          <w:tcPr>
            <w:tcW w:w="48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75"/>
              </w:rPr>
              <w:t>-</w:t>
            </w:r>
          </w:p>
        </w:tc>
        <w:tc>
          <w:tcPr>
            <w:tcW w:w="52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rPr>
              <w:t>-</w:t>
            </w:r>
          </w:p>
        </w:tc>
        <w:tc>
          <w:tcPr>
            <w:tcW w:w="50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75"/>
              </w:rPr>
              <w:t>-</w:t>
            </w:r>
          </w:p>
        </w:tc>
        <w:tc>
          <w:tcPr>
            <w:tcW w:w="70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rPr>
              <w:t>0</w:t>
            </w:r>
          </w:p>
        </w:tc>
        <w:tc>
          <w:tcPr>
            <w:tcW w:w="48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92"/>
              </w:rPr>
              <w:t>0</w:t>
            </w:r>
          </w:p>
        </w:tc>
        <w:tc>
          <w:tcPr>
            <w:tcW w:w="54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w w:val="92"/>
              </w:rPr>
              <w:t>0</w:t>
            </w:r>
          </w:p>
        </w:tc>
        <w:tc>
          <w:tcPr>
            <w:tcW w:w="46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rPr>
              <w:t>-</w:t>
            </w:r>
          </w:p>
        </w:tc>
        <w:tc>
          <w:tcPr>
            <w:tcW w:w="52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rPr>
              <w:t>-</w:t>
            </w:r>
          </w:p>
        </w:tc>
        <w:tc>
          <w:tcPr>
            <w:tcW w:w="40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75"/>
              </w:rPr>
              <w:t>-</w:t>
            </w:r>
          </w:p>
        </w:tc>
        <w:tc>
          <w:tcPr>
            <w:tcW w:w="48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rPr>
              <w:t>-</w:t>
            </w: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w w:val="92"/>
              </w:rPr>
              <w:t>558</w:t>
            </w:r>
          </w:p>
        </w:tc>
        <w:tc>
          <w:tcPr>
            <w:tcW w:w="820" w:type="dxa"/>
            <w:vAlign w:val="bottom"/>
          </w:tcPr>
          <w:p>
            <w:pPr>
              <w:jc w:val="center"/>
              <w:spacing w:after="0" w:line="205" w:lineRule="exact"/>
              <w:rPr>
                <w:sz w:val="20"/>
                <w:szCs w:val="20"/>
                <w:color w:val="auto"/>
              </w:rPr>
            </w:pPr>
            <w:r>
              <w:rPr>
                <w:rFonts w:ascii="Calibri" w:cs="Calibri" w:eastAsia="Calibri" w:hAnsi="Calibri"/>
                <w:sz w:val="17"/>
                <w:szCs w:val="17"/>
                <w:b w:val="1"/>
                <w:bCs w:val="1"/>
                <w:color w:val="auto"/>
              </w:rPr>
              <w:t>525</w:t>
            </w:r>
          </w:p>
        </w:tc>
        <w:tc>
          <w:tcPr>
            <w:tcW w:w="86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b w:val="1"/>
                <w:bCs w:val="1"/>
                <w:color w:val="auto"/>
              </w:rPr>
              <w:t>515</w:t>
            </w:r>
          </w:p>
        </w:tc>
        <w:tc>
          <w:tcPr>
            <w:tcW w:w="840" w:type="dxa"/>
            <w:vAlign w:val="bottom"/>
            <w:tcBorders>
              <w:right w:val="single" w:sz="8" w:color="auto"/>
            </w:tcBorders>
            <w:gridSpan w:val="2"/>
          </w:tcPr>
          <w:p>
            <w:pPr>
              <w:jc w:val="right"/>
              <w:spacing w:after="0" w:line="205" w:lineRule="exact"/>
              <w:rPr>
                <w:sz w:val="20"/>
                <w:szCs w:val="20"/>
                <w:color w:val="auto"/>
              </w:rPr>
            </w:pPr>
            <w:r>
              <w:rPr>
                <w:rFonts w:ascii="Calibri" w:cs="Calibri" w:eastAsia="Calibri" w:hAnsi="Calibri"/>
                <w:sz w:val="17"/>
                <w:szCs w:val="17"/>
                <w:b w:val="1"/>
                <w:bCs w:val="1"/>
                <w:color w:val="auto"/>
                <w:w w:val="94"/>
              </w:rPr>
              <w:t>-2.0% -7.8%</w:t>
            </w:r>
          </w:p>
        </w:tc>
        <w:tc>
          <w:tcPr>
            <w:tcW w:w="700" w:type="dxa"/>
            <w:vAlign w:val="bottom"/>
          </w:tcPr>
          <w:p>
            <w:pPr>
              <w:spacing w:after="0"/>
              <w:rPr>
                <w:sz w:val="17"/>
                <w:szCs w:val="17"/>
                <w:color w:val="auto"/>
              </w:rPr>
            </w:pPr>
          </w:p>
        </w:tc>
        <w:tc>
          <w:tcPr>
            <w:tcW w:w="680" w:type="dxa"/>
            <w:vAlign w:val="bottom"/>
            <w:tcBorders>
              <w:right w:val="single" w:sz="8" w:color="auto"/>
            </w:tcBorders>
          </w:tcPr>
          <w:p>
            <w:pPr>
              <w:jc w:val="right"/>
              <w:spacing w:after="0" w:line="205" w:lineRule="exact"/>
              <w:rPr>
                <w:sz w:val="20"/>
                <w:szCs w:val="20"/>
                <w:color w:val="auto"/>
              </w:rPr>
            </w:pPr>
            <w:r>
              <w:rPr>
                <w:rFonts w:ascii="Calibri" w:cs="Calibri" w:eastAsia="Calibri" w:hAnsi="Calibri"/>
                <w:sz w:val="17"/>
                <w:szCs w:val="17"/>
                <w:b w:val="1"/>
                <w:bCs w:val="1"/>
                <w:color w:val="auto"/>
              </w:rPr>
              <w:t>-100.0%</w:t>
            </w:r>
          </w:p>
        </w:tc>
        <w:tc>
          <w:tcPr>
            <w:tcW w:w="0" w:type="dxa"/>
            <w:vAlign w:val="bottom"/>
          </w:tcPr>
          <w:p>
            <w:pPr>
              <w:spacing w:after="0"/>
              <w:rPr>
                <w:sz w:val="1"/>
                <w:szCs w:val="1"/>
                <w:color w:val="auto"/>
              </w:rPr>
            </w:pPr>
          </w:p>
        </w:tc>
      </w:tr>
      <w:tr>
        <w:trPr>
          <w:trHeight w:val="31"/>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520" w:type="dxa"/>
            <w:vAlign w:val="bottom"/>
            <w:tcBorders>
              <w:left w:val="single" w:sz="8" w:color="auto"/>
              <w:bottom w:val="single" w:sz="8" w:color="auto"/>
              <w:right w:val="single" w:sz="8" w:color="auto"/>
            </w:tcBorders>
          </w:tcPr>
          <w:p>
            <w:pPr>
              <w:ind w:left="20"/>
              <w:spacing w:after="0" w:line="197" w:lineRule="exact"/>
              <w:rPr>
                <w:sz w:val="20"/>
                <w:szCs w:val="20"/>
                <w:color w:val="auto"/>
              </w:rPr>
            </w:pPr>
            <w:r>
              <w:rPr>
                <w:rFonts w:ascii="Calibri" w:cs="Calibri" w:eastAsia="Calibri" w:hAnsi="Calibri"/>
                <w:sz w:val="17"/>
                <w:szCs w:val="17"/>
                <w:b w:val="1"/>
                <w:bCs w:val="1"/>
                <w:color w:val="auto"/>
              </w:rPr>
              <w:t>Total loans</w:t>
            </w:r>
          </w:p>
        </w:tc>
        <w:tc>
          <w:tcPr>
            <w:tcW w:w="1500" w:type="dxa"/>
            <w:vAlign w:val="bottom"/>
            <w:tcBorders>
              <w:bottom w:val="single" w:sz="8" w:color="auto"/>
            </w:tcBorders>
            <w:gridSpan w:val="3"/>
          </w:tcPr>
          <w:p>
            <w:pPr>
              <w:jc w:val="right"/>
              <w:spacing w:after="0" w:line="197" w:lineRule="exact"/>
              <w:rPr>
                <w:sz w:val="20"/>
                <w:szCs w:val="20"/>
                <w:color w:val="auto"/>
              </w:rPr>
            </w:pPr>
            <w:r>
              <w:rPr>
                <w:rFonts w:ascii="Calibri" w:cs="Calibri" w:eastAsia="Calibri" w:hAnsi="Calibri"/>
                <w:sz w:val="17"/>
                <w:szCs w:val="17"/>
                <w:b w:val="1"/>
                <w:bCs w:val="1"/>
                <w:color w:val="auto"/>
              </w:rPr>
              <w:t>98,39998,89095,735</w:t>
            </w:r>
          </w:p>
        </w:tc>
        <w:tc>
          <w:tcPr>
            <w:tcW w:w="70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6"/>
              </w:rPr>
              <w:t>77,740</w:t>
            </w:r>
          </w:p>
        </w:tc>
        <w:tc>
          <w:tcPr>
            <w:tcW w:w="1020" w:type="dxa"/>
            <w:vAlign w:val="bottom"/>
            <w:tcBorders>
              <w:bottom w:val="single" w:sz="8" w:color="auto"/>
              <w:right w:val="single" w:sz="8" w:color="auto"/>
            </w:tcBorders>
            <w:gridSpan w:val="2"/>
          </w:tcPr>
          <w:p>
            <w:pPr>
              <w:jc w:val="right"/>
              <w:spacing w:after="0" w:line="197" w:lineRule="exact"/>
              <w:rPr>
                <w:sz w:val="20"/>
                <w:szCs w:val="20"/>
                <w:color w:val="auto"/>
              </w:rPr>
            </w:pPr>
            <w:r>
              <w:rPr>
                <w:rFonts w:ascii="Calibri" w:cs="Calibri" w:eastAsia="Calibri" w:hAnsi="Calibri"/>
                <w:sz w:val="17"/>
                <w:szCs w:val="17"/>
                <w:b w:val="1"/>
                <w:bCs w:val="1"/>
                <w:color w:val="auto"/>
              </w:rPr>
              <w:t>86,36888,129</w:t>
            </w:r>
          </w:p>
        </w:tc>
        <w:tc>
          <w:tcPr>
            <w:tcW w:w="46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6"/>
              </w:rPr>
              <w:t>-3.2%</w:t>
            </w:r>
          </w:p>
        </w:tc>
        <w:tc>
          <w:tcPr>
            <w:tcW w:w="520" w:type="dxa"/>
            <w:vAlign w:val="bottom"/>
            <w:tcBorders>
              <w:bottom w:val="single" w:sz="8" w:color="auto"/>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6"/>
              </w:rPr>
              <w:t>-2.7%</w:t>
            </w:r>
          </w:p>
        </w:tc>
        <w:tc>
          <w:tcPr>
            <w:tcW w:w="40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2.0%</w:t>
            </w:r>
          </w:p>
        </w:tc>
        <w:tc>
          <w:tcPr>
            <w:tcW w:w="480" w:type="dxa"/>
            <w:vAlign w:val="bottom"/>
            <w:tcBorders>
              <w:bottom w:val="single" w:sz="8" w:color="auto"/>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8"/>
              </w:rPr>
              <w:t>13.4%</w:t>
            </w:r>
          </w:p>
        </w:tc>
        <w:tc>
          <w:tcPr>
            <w:tcW w:w="84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rPr>
              <w:t>11,767</w:t>
            </w:r>
          </w:p>
        </w:tc>
        <w:tc>
          <w:tcPr>
            <w:tcW w:w="820" w:type="dxa"/>
            <w:vAlign w:val="bottom"/>
            <w:tcBorders>
              <w:bottom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6"/>
              </w:rPr>
              <w:t>12,766</w:t>
            </w:r>
          </w:p>
        </w:tc>
        <w:tc>
          <w:tcPr>
            <w:tcW w:w="860" w:type="dxa"/>
            <w:vAlign w:val="bottom"/>
            <w:tcBorders>
              <w:bottom w:val="single" w:sz="8" w:color="auto"/>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6"/>
              </w:rPr>
              <w:t>12,936</w:t>
            </w:r>
          </w:p>
        </w:tc>
        <w:tc>
          <w:tcPr>
            <w:tcW w:w="840" w:type="dxa"/>
            <w:vAlign w:val="bottom"/>
            <w:tcBorders>
              <w:bottom w:val="single" w:sz="8" w:color="auto"/>
              <w:right w:val="single" w:sz="8" w:color="auto"/>
            </w:tcBorders>
            <w:gridSpan w:val="2"/>
          </w:tcPr>
          <w:p>
            <w:pPr>
              <w:jc w:val="right"/>
              <w:spacing w:after="0" w:line="197" w:lineRule="exact"/>
              <w:rPr>
                <w:sz w:val="20"/>
                <w:szCs w:val="20"/>
                <w:color w:val="auto"/>
              </w:rPr>
            </w:pPr>
            <w:r>
              <w:rPr>
                <w:rFonts w:ascii="Calibri" w:cs="Calibri" w:eastAsia="Calibri" w:hAnsi="Calibri"/>
                <w:sz w:val="17"/>
                <w:szCs w:val="17"/>
                <w:b w:val="1"/>
                <w:bCs w:val="1"/>
                <w:color w:val="auto"/>
              </w:rPr>
              <w:t>1.3% 9.9%</w:t>
            </w:r>
          </w:p>
        </w:tc>
        <w:tc>
          <w:tcPr>
            <w:tcW w:w="700" w:type="dxa"/>
            <w:vAlign w:val="bottom"/>
            <w:tcBorders>
              <w:bottom w:val="single" w:sz="8" w:color="auto"/>
            </w:tcBorders>
          </w:tcPr>
          <w:p>
            <w:pPr>
              <w:jc w:val="center"/>
              <w:ind w:left="57"/>
              <w:spacing w:after="0" w:line="197" w:lineRule="exact"/>
              <w:rPr>
                <w:sz w:val="20"/>
                <w:szCs w:val="20"/>
                <w:color w:val="auto"/>
              </w:rPr>
            </w:pPr>
            <w:r>
              <w:rPr>
                <w:rFonts w:ascii="Calibri" w:cs="Calibri" w:eastAsia="Calibri" w:hAnsi="Calibri"/>
                <w:sz w:val="17"/>
                <w:szCs w:val="17"/>
                <w:b w:val="1"/>
                <w:bCs w:val="1"/>
                <w:color w:val="auto"/>
              </w:rPr>
              <w:t>66.3%</w:t>
            </w:r>
          </w:p>
        </w:tc>
        <w:tc>
          <w:tcPr>
            <w:tcW w:w="680" w:type="dxa"/>
            <w:vAlign w:val="bottom"/>
            <w:tcBorders>
              <w:bottom w:val="single" w:sz="8" w:color="auto"/>
              <w:right w:val="single" w:sz="8" w:color="auto"/>
            </w:tcBorders>
          </w:tcPr>
          <w:p>
            <w:pPr>
              <w:jc w:val="center"/>
              <w:ind w:left="57"/>
              <w:spacing w:after="0" w:line="197" w:lineRule="exact"/>
              <w:rPr>
                <w:sz w:val="20"/>
                <w:szCs w:val="20"/>
                <w:color w:val="auto"/>
              </w:rPr>
            </w:pPr>
            <w:r>
              <w:rPr>
                <w:rFonts w:ascii="Calibri" w:cs="Calibri" w:eastAsia="Calibri" w:hAnsi="Calibri"/>
                <w:sz w:val="17"/>
                <w:szCs w:val="17"/>
                <w:b w:val="1"/>
                <w:bCs w:val="1"/>
                <w:color w:val="auto"/>
                <w:w w:val="98"/>
              </w:rPr>
              <w:t>33.7%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-2247265</wp:posOffset>
            </wp:positionV>
            <wp:extent cx="6239510" cy="266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39510" cy="266700"/>
                    </a:xfrm>
                    <a:prstGeom prst="rect">
                      <a:avLst/>
                    </a:prstGeom>
                    <a:noFill/>
                  </pic:spPr>
                </pic:pic>
              </a:graphicData>
            </a:graphic>
          </wp:anchor>
        </w:drawing>
      </w:r>
    </w:p>
    <w:p>
      <w:pPr>
        <w:spacing w:after="0" w:line="176" w:lineRule="exact"/>
        <w:rPr>
          <w:sz w:val="20"/>
          <w:szCs w:val="20"/>
          <w:color w:val="auto"/>
        </w:rPr>
      </w:pPr>
    </w:p>
    <w:p>
      <w:pPr>
        <w:ind w:left="9"/>
        <w:spacing w:after="0"/>
        <w:rPr>
          <w:sz w:val="20"/>
          <w:szCs w:val="20"/>
          <w:color w:val="auto"/>
        </w:rPr>
      </w:pPr>
      <w:r>
        <w:rPr>
          <w:rFonts w:ascii="Calibri" w:cs="Calibri" w:eastAsia="Calibri" w:hAnsi="Calibri"/>
          <w:sz w:val="9"/>
          <w:szCs w:val="9"/>
          <w:color w:val="auto"/>
        </w:rPr>
        <w:t>For consolidaton purposes, Loans generated in Foreign Currency (FC) are converted 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5036185</wp:posOffset>
            </wp:positionH>
            <wp:positionV relativeFrom="paragraph">
              <wp:posOffset>-27940</wp:posOffset>
            </wp:positionV>
            <wp:extent cx="727710" cy="1155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710" cy="115570"/>
                    </a:xfrm>
                    <a:prstGeom prst="rect">
                      <a:avLst/>
                    </a:prstGeom>
                    <a:noFill/>
                  </pic:spPr>
                </pic:pic>
              </a:graphicData>
            </a:graphic>
          </wp:anchor>
        </w:drawing>
      </w:r>
    </w:p>
    <w:p>
      <w:pPr>
        <w:ind w:left="129" w:hanging="129"/>
        <w:spacing w:after="0"/>
        <w:tabs>
          <w:tab w:leader="none" w:pos="129" w:val="left"/>
        </w:tabs>
        <w:numPr>
          <w:ilvl w:val="0"/>
          <w:numId w:val="21"/>
        </w:numPr>
        <w:rPr>
          <w:rFonts w:ascii="Calibri" w:cs="Calibri" w:eastAsia="Calibri" w:hAnsi="Calibri"/>
          <w:sz w:val="9"/>
          <w:szCs w:val="9"/>
          <w:color w:val="auto"/>
        </w:rPr>
      </w:pPr>
      <w:r>
        <w:rPr>
          <w:rFonts w:ascii="Calibri" w:cs="Calibri" w:eastAsia="Calibri" w:hAnsi="Calibri"/>
          <w:sz w:val="9"/>
          <w:szCs w:val="9"/>
          <w:color w:val="auto"/>
        </w:rPr>
        <w:t>Includes Work out unit, and other banking. For Quarter-end Balances fgures, please refer to “12. Annexes – 12.2 Loan Portolio Quality”</w:t>
      </w:r>
    </w:p>
    <w:p>
      <w:pPr>
        <w:spacing w:after="0" w:line="3" w:lineRule="exact"/>
        <w:rPr>
          <w:rFonts w:ascii="Calibri" w:cs="Calibri" w:eastAsia="Calibri" w:hAnsi="Calibri"/>
          <w:sz w:val="9"/>
          <w:szCs w:val="9"/>
          <w:color w:val="auto"/>
        </w:rPr>
      </w:pPr>
    </w:p>
    <w:p>
      <w:pPr>
        <w:ind w:left="129" w:hanging="129"/>
        <w:spacing w:after="0"/>
        <w:tabs>
          <w:tab w:leader="none" w:pos="129" w:val="left"/>
        </w:tabs>
        <w:numPr>
          <w:ilvl w:val="0"/>
          <w:numId w:val="21"/>
        </w:numPr>
        <w:rPr>
          <w:rFonts w:ascii="Calibri" w:cs="Calibri" w:eastAsia="Calibri" w:hAnsi="Calibri"/>
          <w:sz w:val="9"/>
          <w:szCs w:val="9"/>
          <w:color w:val="auto"/>
        </w:rPr>
      </w:pPr>
      <w:r>
        <w:rPr>
          <w:rFonts w:ascii="Calibri" w:cs="Calibri" w:eastAsia="Calibri" w:hAnsi="Calibri"/>
          <w:sz w:val="9"/>
          <w:szCs w:val="9"/>
          <w:color w:val="auto"/>
        </w:rPr>
        <w:t>Internal Management Figures</w:t>
      </w:r>
    </w:p>
    <w:p>
      <w:pPr>
        <w:spacing w:after="0" w:line="198" w:lineRule="exact"/>
        <w:rPr>
          <w:sz w:val="20"/>
          <w:szCs w:val="20"/>
          <w:color w:val="auto"/>
        </w:rPr>
      </w:pPr>
    </w:p>
    <w:p>
      <w:pPr>
        <w:jc w:val="both"/>
        <w:ind w:left="9" w:right="80"/>
        <w:spacing w:after="0" w:line="237" w:lineRule="auto"/>
        <w:rPr>
          <w:sz w:val="20"/>
          <w:szCs w:val="20"/>
          <w:color w:val="auto"/>
        </w:rPr>
      </w:pPr>
      <w:r>
        <w:rPr>
          <w:rFonts w:ascii="Calibri" w:cs="Calibri" w:eastAsia="Calibri" w:hAnsi="Calibri"/>
          <w:sz w:val="15"/>
          <w:szCs w:val="15"/>
          <w:color w:val="auto"/>
        </w:rPr>
        <w:t>At the end of March 2023, the dollarizaton level of structural loans fell -80bps QoQ (35.6% in March23). This evoluton was spurred by growth in LC loans in all of Retail Banking’s segments (disbursements made primarily in Soles) and by the variaton in the exchange rate (-1.4%), which afects Wholesale Banking portolios in partcular (disbursements made primarily in US Dollars).</w:t>
      </w:r>
    </w:p>
    <w:p>
      <w:pPr>
        <w:spacing w:after="0" w:line="341"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349"/>
          </w:cols>
          <w:pgMar w:left="311" w:top="353" w:right="239" w:bottom="1440" w:gutter="0" w:footer="0" w:header="0"/>
        </w:sectPr>
      </w:pPr>
    </w:p>
    <w:bookmarkStart w:id="20" w:name="page21"/>
    <w:bookmarkEnd w:id="20"/>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7153910" cy="215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910" cy="215900"/>
                    </a:xfrm>
                    <a:prstGeom prst="rect">
                      <a:avLst/>
                    </a:prstGeom>
                    <a:noFill/>
                  </pic:spPr>
                </pic:pic>
              </a:graphicData>
            </a:graphic>
          </wp:anchor>
        </w:drawing>
      </w:r>
    </w:p>
    <w:p>
      <w:pPr>
        <w:spacing w:after="0" w:line="292" w:lineRule="exact"/>
        <w:rPr>
          <w:sz w:val="20"/>
          <w:szCs w:val="20"/>
          <w:color w:val="auto"/>
        </w:rPr>
      </w:pPr>
    </w:p>
    <w:p>
      <w:pPr>
        <w:ind w:left="49"/>
        <w:spacing w:after="0"/>
        <w:rPr>
          <w:sz w:val="20"/>
          <w:szCs w:val="20"/>
          <w:color w:val="auto"/>
        </w:rPr>
      </w:pPr>
      <w:r>
        <w:rPr>
          <w:rFonts w:ascii="Arial" w:cs="Arial" w:eastAsia="Arial" w:hAnsi="Arial"/>
          <w:sz w:val="18"/>
          <w:szCs w:val="18"/>
          <w:b w:val="1"/>
          <w:bCs w:val="1"/>
          <w:color w:val="FFFFFF"/>
        </w:rPr>
        <w:t>01. Loan Portfolio</w:t>
      </w:r>
    </w:p>
    <w:p>
      <w:pPr>
        <w:spacing w:after="0" w:line="252" w:lineRule="exact"/>
        <w:rPr>
          <w:sz w:val="20"/>
          <w:szCs w:val="20"/>
          <w:color w:val="auto"/>
        </w:rPr>
      </w:pPr>
    </w:p>
    <w:p>
      <w:pPr>
        <w:ind w:left="9"/>
        <w:spacing w:after="0" w:line="236" w:lineRule="auto"/>
        <w:rPr>
          <w:sz w:val="20"/>
          <w:szCs w:val="20"/>
          <w:color w:val="auto"/>
        </w:rPr>
      </w:pPr>
      <w:r>
        <w:rPr>
          <w:rFonts w:ascii="Calibri" w:cs="Calibri" w:eastAsia="Calibri" w:hAnsi="Calibri"/>
          <w:sz w:val="15"/>
          <w:szCs w:val="15"/>
          <w:b w:val="1"/>
          <w:bCs w:val="1"/>
          <w:color w:val="auto"/>
        </w:rPr>
        <w:t>YoY</w:t>
      </w:r>
      <w:r>
        <w:rPr>
          <w:rFonts w:ascii="Calibri" w:cs="Calibri" w:eastAsia="Calibri" w:hAnsi="Calibri"/>
          <w:sz w:val="15"/>
          <w:szCs w:val="15"/>
          <w:color w:val="auto"/>
        </w:rPr>
        <w:t>, the dollarizaton level of the structural portolio fell -207bps afer growth in structural loans in LC (+13.4%) outpaced expansion in FC (+9.9%). Growth in LC was led by Consumer,</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Mibanco, Mortgage and SME-Pyme. In FC, the increase was driven by Wholesale Banking, where disbursements are concentrated in US Dollars.</w:t>
      </w:r>
    </w:p>
    <w:p>
      <w:pPr>
        <w:spacing w:after="0" w:line="204" w:lineRule="exact"/>
        <w:rPr>
          <w:sz w:val="20"/>
          <w:szCs w:val="20"/>
          <w:color w:val="auto"/>
        </w:rPr>
      </w:pPr>
    </w:p>
    <w:p>
      <w:pPr>
        <w:jc w:val="center"/>
        <w:ind w:right="-8"/>
        <w:spacing w:after="0"/>
        <w:rPr>
          <w:sz w:val="20"/>
          <w:szCs w:val="20"/>
          <w:color w:val="auto"/>
        </w:rPr>
      </w:pPr>
      <w:r>
        <w:rPr>
          <w:rFonts w:ascii="Calibri" w:cs="Calibri" w:eastAsia="Calibri" w:hAnsi="Calibri"/>
          <w:sz w:val="15"/>
          <w:szCs w:val="15"/>
          <w:b w:val="1"/>
          <w:bCs w:val="1"/>
          <w:color w:val="auto"/>
        </w:rPr>
        <w:t>Evoluton of the Dollarizaton Level of Structural Loans (in Average Daily Balances)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13335</wp:posOffset>
            </wp:positionV>
            <wp:extent cx="5309870" cy="17576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0987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9" w:hanging="129"/>
        <w:spacing w:after="0"/>
        <w:tabs>
          <w:tab w:leader="none" w:pos="129" w:val="left"/>
        </w:tabs>
        <w:numPr>
          <w:ilvl w:val="0"/>
          <w:numId w:val="22"/>
        </w:numPr>
        <w:rPr>
          <w:rFonts w:ascii="Calibri" w:cs="Calibri" w:eastAsia="Calibri" w:hAnsi="Calibri"/>
          <w:sz w:val="9"/>
          <w:szCs w:val="9"/>
          <w:color w:val="auto"/>
        </w:rPr>
      </w:pPr>
      <w:r>
        <w:rPr>
          <w:rFonts w:ascii="Calibri" w:cs="Calibri" w:eastAsia="Calibri" w:hAnsi="Calibri"/>
          <w:sz w:val="9"/>
          <w:szCs w:val="9"/>
          <w:color w:val="auto"/>
        </w:rPr>
        <w:t>The FC share of Credicorp’s loan portolio is calculated including BCP Bolivia and ASB Bank Corp., however the chart shows only the loan books of BCP Stand-alone and Mibanco.</w:t>
      </w:r>
    </w:p>
    <w:p>
      <w:pPr>
        <w:spacing w:after="0" w:line="5" w:lineRule="exact"/>
        <w:rPr>
          <w:rFonts w:ascii="Calibri" w:cs="Calibri" w:eastAsia="Calibri" w:hAnsi="Calibri"/>
          <w:sz w:val="9"/>
          <w:szCs w:val="9"/>
          <w:color w:val="auto"/>
        </w:rPr>
      </w:pPr>
    </w:p>
    <w:p>
      <w:pPr>
        <w:ind w:left="9" w:right="4500" w:hanging="9"/>
        <w:spacing w:after="0" w:line="243" w:lineRule="auto"/>
        <w:tabs>
          <w:tab w:leader="none" w:pos="131" w:val="left"/>
        </w:tabs>
        <w:numPr>
          <w:ilvl w:val="0"/>
          <w:numId w:val="22"/>
        </w:numPr>
        <w:rPr>
          <w:rFonts w:ascii="Calibri" w:cs="Calibri" w:eastAsia="Calibri" w:hAnsi="Calibri"/>
          <w:sz w:val="9"/>
          <w:szCs w:val="9"/>
          <w:color w:val="auto"/>
        </w:rPr>
      </w:pPr>
      <w:r>
        <w:rPr>
          <w:rFonts w:ascii="Calibri" w:cs="Calibri" w:eastAsia="Calibri" w:hAnsi="Calibri"/>
          <w:sz w:val="9"/>
          <w:szCs w:val="9"/>
          <w:color w:val="auto"/>
        </w:rPr>
        <w:t>The year with the historic maximum level of dollarizaton for Wholesale Banking was 2012, for Mibanco was 2016, for Credit Card was in 2021 and for the rest of segments was 2009. * For dollarizaton fgures in quarter-end period, please refer to “12. Annexes – 12.2 Loan Portolio Quality</w:t>
      </w:r>
    </w:p>
    <w:p>
      <w:pPr>
        <w:spacing w:after="0" w:line="193"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Loan Evoluton in Quarter-end Balances</w:t>
      </w:r>
    </w:p>
    <w:p>
      <w:pPr>
        <w:spacing w:after="0" w:line="206" w:lineRule="exact"/>
        <w:rPr>
          <w:sz w:val="20"/>
          <w:szCs w:val="20"/>
          <w:color w:val="auto"/>
        </w:rPr>
      </w:pPr>
    </w:p>
    <w:p>
      <w:pPr>
        <w:jc w:val="both"/>
        <w:ind w:left="9"/>
        <w:spacing w:after="0" w:line="236" w:lineRule="auto"/>
        <w:rPr>
          <w:sz w:val="20"/>
          <w:szCs w:val="20"/>
          <w:color w:val="auto"/>
        </w:rPr>
      </w:pPr>
      <w:r>
        <w:rPr>
          <w:rFonts w:ascii="Calibri" w:cs="Calibri" w:eastAsia="Calibri" w:hAnsi="Calibri"/>
          <w:sz w:val="15"/>
          <w:szCs w:val="15"/>
          <w:color w:val="auto"/>
        </w:rPr>
        <w:t xml:space="preserve">Structural loans fell -0.7% </w:t>
      </w:r>
      <w:r>
        <w:rPr>
          <w:rFonts w:ascii="Calibri" w:cs="Calibri" w:eastAsia="Calibri" w:hAnsi="Calibri"/>
          <w:sz w:val="15"/>
          <w:szCs w:val="15"/>
          <w:b w:val="1"/>
          <w:bCs w:val="1"/>
          <w:color w:val="auto"/>
        </w:rPr>
        <w:t>QoQ</w:t>
      </w:r>
      <w:r>
        <w:rPr>
          <w:rFonts w:ascii="Calibri" w:cs="Calibri" w:eastAsia="Calibri" w:hAnsi="Calibri"/>
          <w:sz w:val="15"/>
          <w:szCs w:val="15"/>
          <w:color w:val="auto"/>
        </w:rPr>
        <w:t xml:space="preserve"> in quarter-end balances due to the same factors outlined in the analysis of loans measured in average daily balances. If we include the contracton in the GP portolio in the analysis, total loans fell -2.3% </w:t>
      </w:r>
      <w:r>
        <w:rPr>
          <w:rFonts w:ascii="Calibri" w:cs="Calibri" w:eastAsia="Calibri" w:hAnsi="Calibri"/>
          <w:sz w:val="15"/>
          <w:szCs w:val="15"/>
          <w:b w:val="1"/>
          <w:bCs w:val="1"/>
          <w:color w:val="auto"/>
        </w:rPr>
        <w:t>QoQ.</w:t>
      </w:r>
    </w:p>
    <w:p>
      <w:pPr>
        <w:spacing w:after="0" w:line="207" w:lineRule="exact"/>
        <w:rPr>
          <w:sz w:val="20"/>
          <w:szCs w:val="20"/>
          <w:color w:val="auto"/>
        </w:rPr>
      </w:pPr>
    </w:p>
    <w:p>
      <w:pPr>
        <w:jc w:val="both"/>
        <w:ind w:left="9"/>
        <w:spacing w:after="0" w:line="236" w:lineRule="auto"/>
        <w:rPr>
          <w:sz w:val="20"/>
          <w:szCs w:val="20"/>
          <w:color w:val="auto"/>
        </w:rPr>
      </w:pPr>
      <w:r>
        <w:rPr>
          <w:rFonts w:ascii="Calibri" w:cs="Calibri" w:eastAsia="Calibri" w:hAnsi="Calibri"/>
          <w:sz w:val="15"/>
          <w:szCs w:val="15"/>
          <w:color w:val="auto"/>
        </w:rPr>
        <w:t xml:space="preserve">In </w:t>
      </w:r>
      <w:r>
        <w:rPr>
          <w:rFonts w:ascii="Calibri" w:cs="Calibri" w:eastAsia="Calibri" w:hAnsi="Calibri"/>
          <w:sz w:val="15"/>
          <w:szCs w:val="15"/>
          <w:b w:val="1"/>
          <w:bCs w:val="1"/>
          <w:color w:val="auto"/>
        </w:rPr>
        <w:t>YoY</w:t>
      </w:r>
      <w:r>
        <w:rPr>
          <w:rFonts w:ascii="Calibri" w:cs="Calibri" w:eastAsia="Calibri" w:hAnsi="Calibri"/>
          <w:sz w:val="15"/>
          <w:szCs w:val="15"/>
          <w:color w:val="auto"/>
        </w:rPr>
        <w:t xml:space="preserve"> terms, structural loans rose 8.2% in quarter-end balances due to the same drivers as those that fueled the evoluton of average daily balances. If we include GP loans in the analysis, total loans rose 0.4% </w:t>
      </w:r>
      <w:r>
        <w:rPr>
          <w:rFonts w:ascii="Calibri" w:cs="Calibri" w:eastAsia="Calibri" w:hAnsi="Calibri"/>
          <w:sz w:val="15"/>
          <w:szCs w:val="15"/>
          <w:b w:val="1"/>
          <w:bCs w:val="1"/>
          <w:color w:val="auto"/>
        </w:rPr>
        <w:t>YoY</w:t>
      </w:r>
      <w:r>
        <w:rPr>
          <w:rFonts w:ascii="Calibri" w:cs="Calibri" w:eastAsia="Calibri" w:hAnsi="Calibri"/>
          <w:sz w:val="15"/>
          <w:szCs w:val="15"/>
          <w:color w:val="auto"/>
        </w:rPr>
        <w:t>.</w:t>
      </w:r>
    </w:p>
    <w:p>
      <w:pPr>
        <w:spacing w:after="0" w:line="204"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1.2. Portolio Quality</w:t>
      </w:r>
    </w:p>
    <w:p>
      <w:pPr>
        <w:spacing w:after="0" w:line="203" w:lineRule="exact"/>
        <w:rPr>
          <w:sz w:val="20"/>
          <w:szCs w:val="20"/>
          <w:color w:val="auto"/>
        </w:rPr>
      </w:pPr>
    </w:p>
    <w:p>
      <w:pPr>
        <w:jc w:val="center"/>
        <w:ind w:right="-8"/>
        <w:spacing w:after="0"/>
        <w:rPr>
          <w:sz w:val="20"/>
          <w:szCs w:val="20"/>
          <w:color w:val="auto"/>
        </w:rPr>
      </w:pPr>
      <w:r>
        <w:rPr>
          <w:rFonts w:ascii="Calibri" w:cs="Calibri" w:eastAsia="Calibri" w:hAnsi="Calibri"/>
          <w:sz w:val="15"/>
          <w:szCs w:val="15"/>
          <w:b w:val="1"/>
          <w:bCs w:val="1"/>
          <w:color w:val="auto"/>
        </w:rPr>
        <w:t>Quality of the Structural Portolio (in Quarter-end balances)</w:t>
      </w:r>
    </w:p>
    <w:p>
      <w:pPr>
        <w:spacing w:after="0" w:line="1" w:lineRule="exact"/>
        <w:rPr>
          <w:sz w:val="20"/>
          <w:szCs w:val="20"/>
          <w:color w:val="auto"/>
        </w:rPr>
      </w:pPr>
    </w:p>
    <w:tbl>
      <w:tblPr>
        <w:tblLayout w:type="fixed"/>
        <w:tblInd w:w="19" w:type="dxa"/>
        <w:tblCellMar>
          <w:top w:w="0" w:type="dxa"/>
          <w:left w:w="0" w:type="dxa"/>
          <w:bottom w:w="0" w:type="dxa"/>
          <w:right w:w="0" w:type="dxa"/>
        </w:tblCellMar>
      </w:tblPr>
      <w:tr>
        <w:trPr>
          <w:trHeight w:val="167"/>
        </w:trPr>
        <w:tc>
          <w:tcPr>
            <w:tcW w:w="520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2"/>
                <w:szCs w:val="12"/>
                <w:b w:val="1"/>
                <w:bCs w:val="1"/>
                <w:color w:val="FFFFFF"/>
              </w:rPr>
              <w:t>Structural Portolio quality and Delinquency ratos</w:t>
            </w:r>
          </w:p>
        </w:tc>
        <w:tc>
          <w:tcPr>
            <w:tcW w:w="1580" w:type="dxa"/>
            <w:vAlign w:val="bottom"/>
            <w:tcBorders>
              <w:top w:val="single" w:sz="8" w:color="auto"/>
            </w:tcBorders>
            <w:shd w:val="clear" w:color="auto" w:fill="2AD2C9"/>
          </w:tcPr>
          <w:p>
            <w:pPr>
              <w:spacing w:after="0"/>
              <w:rPr>
                <w:sz w:val="14"/>
                <w:szCs w:val="14"/>
                <w:color w:val="auto"/>
              </w:rPr>
            </w:pPr>
          </w:p>
        </w:tc>
        <w:tc>
          <w:tcPr>
            <w:tcW w:w="1320" w:type="dxa"/>
            <w:vAlign w:val="bottom"/>
            <w:tcBorders>
              <w:top w:val="single" w:sz="8" w:color="auto"/>
            </w:tcBorders>
            <w:shd w:val="clear" w:color="auto" w:fill="2AD2C9"/>
          </w:tcPr>
          <w:p>
            <w:pPr>
              <w:jc w:val="right"/>
              <w:ind w:right="720"/>
              <w:spacing w:after="0"/>
              <w:rPr>
                <w:sz w:val="20"/>
                <w:szCs w:val="20"/>
                <w:color w:val="auto"/>
              </w:rPr>
            </w:pPr>
            <w:r>
              <w:rPr>
                <w:rFonts w:ascii="Calibri" w:cs="Calibri" w:eastAsia="Calibri" w:hAnsi="Calibri"/>
                <w:sz w:val="12"/>
                <w:szCs w:val="12"/>
                <w:b w:val="1"/>
                <w:bCs w:val="1"/>
                <w:color w:val="FFFFFF"/>
              </w:rPr>
              <w:t>As of</w:t>
            </w:r>
          </w:p>
        </w:tc>
        <w:tc>
          <w:tcPr>
            <w:tcW w:w="1120" w:type="dxa"/>
            <w:vAlign w:val="bottom"/>
            <w:tcBorders>
              <w:top w:val="single" w:sz="8" w:color="auto"/>
              <w:right w:val="single" w:sz="8" w:color="auto"/>
            </w:tcBorders>
            <w:shd w:val="clear" w:color="auto" w:fill="2AD2C9"/>
          </w:tcPr>
          <w:p>
            <w:pPr>
              <w:spacing w:after="0"/>
              <w:rPr>
                <w:sz w:val="14"/>
                <w:szCs w:val="14"/>
                <w:color w:val="auto"/>
              </w:rPr>
            </w:pPr>
          </w:p>
        </w:tc>
        <w:tc>
          <w:tcPr>
            <w:tcW w:w="740" w:type="dxa"/>
            <w:vAlign w:val="bottom"/>
            <w:tcBorders>
              <w:top w:val="single" w:sz="8" w:color="auto"/>
            </w:tcBorders>
            <w:shd w:val="clear" w:color="auto" w:fill="2AD2C9"/>
          </w:tcPr>
          <w:p>
            <w:pPr>
              <w:spacing w:after="0"/>
              <w:rPr>
                <w:sz w:val="14"/>
                <w:szCs w:val="14"/>
                <w:color w:val="auto"/>
              </w:rPr>
            </w:pPr>
          </w:p>
        </w:tc>
        <w:tc>
          <w:tcPr>
            <w:tcW w:w="1300" w:type="dxa"/>
            <w:vAlign w:val="bottom"/>
            <w:tcBorders>
              <w:top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2"/>
                <w:szCs w:val="12"/>
                <w:b w:val="1"/>
                <w:bCs w:val="1"/>
                <w:color w:val="FFFFFF"/>
              </w:rPr>
              <w:t>% change</w:t>
            </w:r>
          </w:p>
        </w:tc>
      </w:tr>
      <w:tr>
        <w:trPr>
          <w:trHeight w:val="203"/>
        </w:trPr>
        <w:tc>
          <w:tcPr>
            <w:tcW w:w="5200" w:type="dxa"/>
            <w:vAlign w:val="bottom"/>
            <w:tcBorders>
              <w:left w:val="single" w:sz="8" w:color="auto"/>
              <w:bottom w:val="single" w:sz="8" w:color="2AD2C9"/>
              <w:right w:val="single" w:sz="8" w:color="auto"/>
            </w:tcBorders>
            <w:shd w:val="clear" w:color="auto" w:fill="2AD2C9"/>
          </w:tcPr>
          <w:p>
            <w:pPr>
              <w:ind w:left="20"/>
              <w:spacing w:after="0"/>
              <w:rPr>
                <w:sz w:val="20"/>
                <w:szCs w:val="20"/>
                <w:color w:val="auto"/>
              </w:rPr>
            </w:pPr>
            <w:r>
              <w:rPr>
                <w:rFonts w:ascii="Calibri" w:cs="Calibri" w:eastAsia="Calibri" w:hAnsi="Calibri"/>
                <w:sz w:val="12"/>
                <w:szCs w:val="12"/>
                <w:b w:val="1"/>
                <w:bCs w:val="1"/>
                <w:color w:val="FFFFFF"/>
              </w:rPr>
              <w:t>S/ 000</w:t>
            </w:r>
          </w:p>
        </w:tc>
        <w:tc>
          <w:tcPr>
            <w:tcW w:w="1580" w:type="dxa"/>
            <w:vAlign w:val="bottom"/>
            <w:tcBorders>
              <w:bottom w:val="single" w:sz="8" w:color="2AD2C9"/>
            </w:tcBorders>
            <w:shd w:val="clear" w:color="auto" w:fill="2AD2C9"/>
          </w:tcPr>
          <w:p>
            <w:pPr>
              <w:jc w:val="right"/>
              <w:ind w:right="680"/>
              <w:spacing w:after="0"/>
              <w:rPr>
                <w:sz w:val="20"/>
                <w:szCs w:val="20"/>
                <w:color w:val="auto"/>
              </w:rPr>
            </w:pPr>
            <w:r>
              <w:rPr>
                <w:rFonts w:ascii="Calibri" w:cs="Calibri" w:eastAsia="Calibri" w:hAnsi="Calibri"/>
                <w:sz w:val="12"/>
                <w:szCs w:val="12"/>
                <w:b w:val="1"/>
                <w:bCs w:val="1"/>
                <w:color w:val="FFFFFF"/>
              </w:rPr>
              <w:t>Mar 22</w:t>
            </w:r>
          </w:p>
        </w:tc>
        <w:tc>
          <w:tcPr>
            <w:tcW w:w="1320" w:type="dxa"/>
            <w:vAlign w:val="bottom"/>
            <w:tcBorders>
              <w:bottom w:val="single" w:sz="8" w:color="2AD2C9"/>
            </w:tcBorders>
            <w:shd w:val="clear" w:color="auto" w:fill="2AD2C9"/>
          </w:tcPr>
          <w:p>
            <w:pPr>
              <w:jc w:val="right"/>
              <w:ind w:right="680"/>
              <w:spacing w:after="0"/>
              <w:rPr>
                <w:sz w:val="20"/>
                <w:szCs w:val="20"/>
                <w:color w:val="auto"/>
              </w:rPr>
            </w:pPr>
            <w:r>
              <w:rPr>
                <w:rFonts w:ascii="Calibri" w:cs="Calibri" w:eastAsia="Calibri" w:hAnsi="Calibri"/>
                <w:sz w:val="12"/>
                <w:szCs w:val="12"/>
                <w:b w:val="1"/>
                <w:bCs w:val="1"/>
                <w:color w:val="FFFFFF"/>
              </w:rPr>
              <w:t>Dec 22</w:t>
            </w:r>
          </w:p>
        </w:tc>
        <w:tc>
          <w:tcPr>
            <w:tcW w:w="1120" w:type="dxa"/>
            <w:vAlign w:val="bottom"/>
            <w:tcBorders>
              <w:bottom w:val="single" w:sz="8" w:color="2AD2C9"/>
              <w:right w:val="single" w:sz="8" w:color="auto"/>
            </w:tcBorders>
            <w:shd w:val="clear" w:color="auto" w:fill="2AD2C9"/>
          </w:tcPr>
          <w:p>
            <w:pPr>
              <w:jc w:val="right"/>
              <w:ind w:right="460"/>
              <w:spacing w:after="0"/>
              <w:rPr>
                <w:sz w:val="20"/>
                <w:szCs w:val="20"/>
                <w:color w:val="auto"/>
              </w:rPr>
            </w:pPr>
            <w:r>
              <w:rPr>
                <w:rFonts w:ascii="Calibri" w:cs="Calibri" w:eastAsia="Calibri" w:hAnsi="Calibri"/>
                <w:sz w:val="12"/>
                <w:szCs w:val="12"/>
                <w:b w:val="1"/>
                <w:bCs w:val="1"/>
                <w:color w:val="FFFFFF"/>
              </w:rPr>
              <w:t>Mar 23</w:t>
            </w:r>
          </w:p>
        </w:tc>
        <w:tc>
          <w:tcPr>
            <w:tcW w:w="740" w:type="dxa"/>
            <w:vAlign w:val="bottom"/>
            <w:tcBorders>
              <w:bottom w:val="single" w:sz="8" w:color="2AD2C9"/>
            </w:tcBorders>
            <w:shd w:val="clear" w:color="auto" w:fill="2AD2C9"/>
          </w:tcPr>
          <w:p>
            <w:pPr>
              <w:jc w:val="center"/>
              <w:ind w:left="200"/>
              <w:spacing w:after="0"/>
              <w:rPr>
                <w:sz w:val="20"/>
                <w:szCs w:val="20"/>
                <w:color w:val="auto"/>
              </w:rPr>
            </w:pPr>
            <w:r>
              <w:rPr>
                <w:rFonts w:ascii="Calibri" w:cs="Calibri" w:eastAsia="Calibri" w:hAnsi="Calibri"/>
                <w:sz w:val="12"/>
                <w:szCs w:val="12"/>
                <w:b w:val="1"/>
                <w:bCs w:val="1"/>
                <w:color w:val="FFFFFF"/>
              </w:rPr>
              <w:t>QoQ</w:t>
            </w:r>
          </w:p>
        </w:tc>
        <w:tc>
          <w:tcPr>
            <w:tcW w:w="1300" w:type="dxa"/>
            <w:vAlign w:val="bottom"/>
            <w:tcBorders>
              <w:bottom w:val="single" w:sz="8" w:color="2AD2C9"/>
              <w:right w:val="single" w:sz="8" w:color="auto"/>
            </w:tcBorders>
            <w:shd w:val="clear" w:color="auto" w:fill="2AD2C9"/>
          </w:tcPr>
          <w:p>
            <w:pPr>
              <w:jc w:val="center"/>
              <w:ind w:left="180"/>
              <w:spacing w:after="0"/>
              <w:rPr>
                <w:sz w:val="20"/>
                <w:szCs w:val="20"/>
                <w:color w:val="auto"/>
              </w:rPr>
            </w:pPr>
            <w:r>
              <w:rPr>
                <w:rFonts w:ascii="Calibri" w:cs="Calibri" w:eastAsia="Calibri" w:hAnsi="Calibri"/>
                <w:sz w:val="12"/>
                <w:szCs w:val="12"/>
                <w:b w:val="1"/>
                <w:bCs w:val="1"/>
                <w:color w:val="FFFFFF"/>
                <w:w w:val="94"/>
              </w:rPr>
              <w:t>YoY</w:t>
            </w:r>
          </w:p>
        </w:tc>
      </w:tr>
      <w:tr>
        <w:trPr>
          <w:trHeight w:val="173"/>
        </w:trPr>
        <w:tc>
          <w:tcPr>
            <w:tcW w:w="5200" w:type="dxa"/>
            <w:vAlign w:val="bottom"/>
            <w:tcBorders>
              <w:top w:val="single" w:sz="8" w:color="auto"/>
              <w:left w:val="single" w:sz="8" w:color="auto"/>
              <w:bottom w:val="single" w:sz="8" w:color="auto"/>
              <w:right w:val="single" w:sz="8" w:color="auto"/>
            </w:tcBorders>
          </w:tcPr>
          <w:p>
            <w:pPr>
              <w:ind w:left="20"/>
              <w:spacing w:after="0" w:line="170" w:lineRule="exact"/>
              <w:rPr>
                <w:sz w:val="20"/>
                <w:szCs w:val="20"/>
                <w:color w:val="auto"/>
              </w:rPr>
            </w:pPr>
            <w:r>
              <w:rPr>
                <w:rFonts w:ascii="Calibri" w:cs="Calibri" w:eastAsia="Calibri" w:hAnsi="Calibri"/>
                <w:sz w:val="11"/>
                <w:szCs w:val="11"/>
                <w:b w:val="1"/>
                <w:bCs w:val="1"/>
                <w:color w:val="auto"/>
              </w:rPr>
              <w:t>Structural loans (Quarter-end balance)</w:t>
            </w:r>
            <w:r>
              <w:rPr>
                <w:rFonts w:ascii="Calibri" w:cs="Calibri" w:eastAsia="Calibri" w:hAnsi="Calibri"/>
                <w:sz w:val="18"/>
                <w:szCs w:val="18"/>
                <w:b w:val="1"/>
                <w:bCs w:val="1"/>
                <w:color w:val="auto"/>
                <w:vertAlign w:val="superscript"/>
              </w:rPr>
              <w:t>(2)</w:t>
            </w:r>
          </w:p>
        </w:tc>
        <w:tc>
          <w:tcPr>
            <w:tcW w:w="1580" w:type="dxa"/>
            <w:vAlign w:val="bottom"/>
            <w:tcBorders>
              <w:top w:val="single" w:sz="8" w:color="auto"/>
              <w:bottom w:val="single" w:sz="8" w:color="auto"/>
            </w:tcBorders>
          </w:tcPr>
          <w:p>
            <w:pPr>
              <w:jc w:val="right"/>
              <w:ind w:right="200"/>
              <w:spacing w:after="0" w:line="145" w:lineRule="exact"/>
              <w:rPr>
                <w:sz w:val="20"/>
                <w:szCs w:val="20"/>
                <w:color w:val="auto"/>
              </w:rPr>
            </w:pPr>
            <w:r>
              <w:rPr>
                <w:rFonts w:ascii="Calibri" w:cs="Calibri" w:eastAsia="Calibri" w:hAnsi="Calibri"/>
                <w:sz w:val="12"/>
                <w:szCs w:val="12"/>
                <w:b w:val="1"/>
                <w:bCs w:val="1"/>
                <w:color w:val="auto"/>
              </w:rPr>
              <w:t>127,585,105</w:t>
            </w:r>
          </w:p>
        </w:tc>
        <w:tc>
          <w:tcPr>
            <w:tcW w:w="1320" w:type="dxa"/>
            <w:vAlign w:val="bottom"/>
            <w:tcBorders>
              <w:top w:val="single" w:sz="8" w:color="auto"/>
              <w:bottom w:val="single" w:sz="8" w:color="auto"/>
            </w:tcBorders>
          </w:tcPr>
          <w:p>
            <w:pPr>
              <w:jc w:val="right"/>
              <w:ind w:right="180"/>
              <w:spacing w:after="0" w:line="145" w:lineRule="exact"/>
              <w:rPr>
                <w:sz w:val="20"/>
                <w:szCs w:val="20"/>
                <w:color w:val="auto"/>
              </w:rPr>
            </w:pPr>
            <w:r>
              <w:rPr>
                <w:rFonts w:ascii="Calibri" w:cs="Calibri" w:eastAsia="Calibri" w:hAnsi="Calibri"/>
                <w:sz w:val="12"/>
                <w:szCs w:val="12"/>
                <w:b w:val="1"/>
                <w:bCs w:val="1"/>
                <w:color w:val="auto"/>
              </w:rPr>
              <w:t>139,115,242</w:t>
            </w:r>
          </w:p>
        </w:tc>
        <w:tc>
          <w:tcPr>
            <w:tcW w:w="1120" w:type="dxa"/>
            <w:vAlign w:val="bottom"/>
            <w:tcBorders>
              <w:top w:val="single" w:sz="8" w:color="auto"/>
              <w:bottom w:val="single" w:sz="8" w:color="auto"/>
              <w:right w:val="single" w:sz="8" w:color="auto"/>
            </w:tcBorders>
          </w:tcPr>
          <w:p>
            <w:pPr>
              <w:jc w:val="right"/>
              <w:spacing w:after="0" w:line="145" w:lineRule="exact"/>
              <w:rPr>
                <w:sz w:val="20"/>
                <w:szCs w:val="20"/>
                <w:color w:val="auto"/>
              </w:rPr>
            </w:pPr>
            <w:r>
              <w:rPr>
                <w:rFonts w:ascii="Calibri" w:cs="Calibri" w:eastAsia="Calibri" w:hAnsi="Calibri"/>
                <w:sz w:val="12"/>
                <w:szCs w:val="12"/>
                <w:b w:val="1"/>
                <w:bCs w:val="1"/>
                <w:color w:val="auto"/>
              </w:rPr>
              <w:t>138,073,343</w:t>
            </w:r>
          </w:p>
        </w:tc>
        <w:tc>
          <w:tcPr>
            <w:tcW w:w="740" w:type="dxa"/>
            <w:vAlign w:val="bottom"/>
            <w:tcBorders>
              <w:top w:val="single" w:sz="8" w:color="auto"/>
              <w:bottom w:val="single" w:sz="8" w:color="auto"/>
            </w:tcBorders>
          </w:tcPr>
          <w:p>
            <w:pPr>
              <w:jc w:val="center"/>
              <w:ind w:left="200"/>
              <w:spacing w:after="0" w:line="145" w:lineRule="exact"/>
              <w:rPr>
                <w:sz w:val="20"/>
                <w:szCs w:val="20"/>
                <w:color w:val="auto"/>
              </w:rPr>
            </w:pPr>
            <w:r>
              <w:rPr>
                <w:rFonts w:ascii="Calibri" w:cs="Calibri" w:eastAsia="Calibri" w:hAnsi="Calibri"/>
                <w:sz w:val="12"/>
                <w:szCs w:val="12"/>
                <w:b w:val="1"/>
                <w:bCs w:val="1"/>
                <w:color w:val="auto"/>
              </w:rPr>
              <w:t>-0.7%</w:t>
            </w:r>
          </w:p>
        </w:tc>
        <w:tc>
          <w:tcPr>
            <w:tcW w:w="1300" w:type="dxa"/>
            <w:vAlign w:val="bottom"/>
            <w:tcBorders>
              <w:top w:val="single" w:sz="8" w:color="auto"/>
              <w:bottom w:val="single" w:sz="8" w:color="auto"/>
              <w:right w:val="single" w:sz="8" w:color="auto"/>
            </w:tcBorders>
          </w:tcPr>
          <w:p>
            <w:pPr>
              <w:jc w:val="center"/>
              <w:ind w:left="180"/>
              <w:spacing w:after="0" w:line="145" w:lineRule="exact"/>
              <w:rPr>
                <w:sz w:val="20"/>
                <w:szCs w:val="20"/>
                <w:color w:val="auto"/>
              </w:rPr>
            </w:pPr>
            <w:r>
              <w:rPr>
                <w:rFonts w:ascii="Calibri" w:cs="Calibri" w:eastAsia="Calibri" w:hAnsi="Calibri"/>
                <w:sz w:val="12"/>
                <w:szCs w:val="12"/>
                <w:b w:val="1"/>
                <w:bCs w:val="1"/>
                <w:color w:val="auto"/>
              </w:rPr>
              <w:t>8.2%</w:t>
            </w:r>
          </w:p>
        </w:tc>
      </w:tr>
      <w:tr>
        <w:trPr>
          <w:trHeight w:val="173"/>
        </w:trPr>
        <w:tc>
          <w:tcPr>
            <w:tcW w:w="5200" w:type="dxa"/>
            <w:vAlign w:val="bottom"/>
            <w:tcBorders>
              <w:left w:val="single" w:sz="8" w:color="auto"/>
              <w:bottom w:val="single" w:sz="8" w:color="auto"/>
              <w:right w:val="single" w:sz="8" w:color="auto"/>
            </w:tcBorders>
          </w:tcPr>
          <w:p>
            <w:pPr>
              <w:ind w:left="20"/>
              <w:spacing w:after="0" w:line="170" w:lineRule="exact"/>
              <w:rPr>
                <w:sz w:val="20"/>
                <w:szCs w:val="20"/>
                <w:color w:val="auto"/>
              </w:rPr>
            </w:pPr>
            <w:r>
              <w:rPr>
                <w:rFonts w:ascii="Calibri" w:cs="Calibri" w:eastAsia="Calibri" w:hAnsi="Calibri"/>
                <w:sz w:val="11"/>
                <w:szCs w:val="11"/>
                <w:color w:val="auto"/>
              </w:rPr>
              <w:t>Structural Allowance for loan losses</w:t>
            </w:r>
            <w:r>
              <w:rPr>
                <w:rFonts w:ascii="Calibri" w:cs="Calibri" w:eastAsia="Calibri" w:hAnsi="Calibri"/>
                <w:sz w:val="18"/>
                <w:szCs w:val="18"/>
                <w:color w:val="auto"/>
                <w:vertAlign w:val="superscript"/>
              </w:rPr>
              <w:t>(2)</w:t>
            </w:r>
          </w:p>
        </w:tc>
        <w:tc>
          <w:tcPr>
            <w:tcW w:w="1580" w:type="dxa"/>
            <w:vAlign w:val="bottom"/>
            <w:tcBorders>
              <w:bottom w:val="single" w:sz="8" w:color="auto"/>
            </w:tcBorders>
          </w:tcPr>
          <w:p>
            <w:pPr>
              <w:jc w:val="right"/>
              <w:ind w:right="200"/>
              <w:spacing w:after="0" w:line="145" w:lineRule="exact"/>
              <w:rPr>
                <w:sz w:val="20"/>
                <w:szCs w:val="20"/>
                <w:color w:val="auto"/>
              </w:rPr>
            </w:pPr>
            <w:r>
              <w:rPr>
                <w:rFonts w:ascii="Calibri" w:cs="Calibri" w:eastAsia="Calibri" w:hAnsi="Calibri"/>
                <w:sz w:val="12"/>
                <w:szCs w:val="12"/>
                <w:color w:val="auto"/>
              </w:rPr>
              <w:t>8,061,670</w:t>
            </w:r>
          </w:p>
        </w:tc>
        <w:tc>
          <w:tcPr>
            <w:tcW w:w="1320" w:type="dxa"/>
            <w:vAlign w:val="bottom"/>
            <w:tcBorders>
              <w:bottom w:val="single" w:sz="8" w:color="auto"/>
            </w:tcBorders>
          </w:tcPr>
          <w:p>
            <w:pPr>
              <w:jc w:val="right"/>
              <w:ind w:right="180"/>
              <w:spacing w:after="0" w:line="145" w:lineRule="exact"/>
              <w:rPr>
                <w:sz w:val="20"/>
                <w:szCs w:val="20"/>
                <w:color w:val="auto"/>
              </w:rPr>
            </w:pPr>
            <w:r>
              <w:rPr>
                <w:rFonts w:ascii="Calibri" w:cs="Calibri" w:eastAsia="Calibri" w:hAnsi="Calibri"/>
                <w:sz w:val="12"/>
                <w:szCs w:val="12"/>
                <w:color w:val="auto"/>
              </w:rPr>
              <w:t>7,733,575</w:t>
            </w:r>
          </w:p>
        </w:tc>
        <w:tc>
          <w:tcPr>
            <w:tcW w:w="1120" w:type="dxa"/>
            <w:vAlign w:val="bottom"/>
            <w:tcBorders>
              <w:bottom w:val="single" w:sz="8" w:color="auto"/>
              <w:right w:val="single" w:sz="8" w:color="auto"/>
            </w:tcBorders>
          </w:tcPr>
          <w:p>
            <w:pPr>
              <w:jc w:val="right"/>
              <w:spacing w:after="0" w:line="145" w:lineRule="exact"/>
              <w:rPr>
                <w:sz w:val="20"/>
                <w:szCs w:val="20"/>
                <w:color w:val="auto"/>
              </w:rPr>
            </w:pPr>
            <w:r>
              <w:rPr>
                <w:rFonts w:ascii="Calibri" w:cs="Calibri" w:eastAsia="Calibri" w:hAnsi="Calibri"/>
                <w:sz w:val="12"/>
                <w:szCs w:val="12"/>
                <w:color w:val="auto"/>
              </w:rPr>
              <w:t>7,779,501</w:t>
            </w:r>
          </w:p>
        </w:tc>
        <w:tc>
          <w:tcPr>
            <w:tcW w:w="740" w:type="dxa"/>
            <w:vAlign w:val="bottom"/>
            <w:tcBorders>
              <w:bottom w:val="single" w:sz="8" w:color="auto"/>
            </w:tcBorders>
          </w:tcPr>
          <w:p>
            <w:pPr>
              <w:jc w:val="center"/>
              <w:ind w:left="200"/>
              <w:spacing w:after="0" w:line="145" w:lineRule="exact"/>
              <w:rPr>
                <w:sz w:val="20"/>
                <w:szCs w:val="20"/>
                <w:color w:val="auto"/>
              </w:rPr>
            </w:pPr>
            <w:r>
              <w:rPr>
                <w:rFonts w:ascii="Calibri" w:cs="Calibri" w:eastAsia="Calibri" w:hAnsi="Calibri"/>
                <w:sz w:val="12"/>
                <w:szCs w:val="12"/>
                <w:color w:val="auto"/>
              </w:rPr>
              <w:t>0.6%</w:t>
            </w:r>
          </w:p>
        </w:tc>
        <w:tc>
          <w:tcPr>
            <w:tcW w:w="1300" w:type="dxa"/>
            <w:vAlign w:val="bottom"/>
            <w:tcBorders>
              <w:bottom w:val="single" w:sz="8" w:color="auto"/>
              <w:right w:val="single" w:sz="8" w:color="auto"/>
            </w:tcBorders>
          </w:tcPr>
          <w:p>
            <w:pPr>
              <w:jc w:val="center"/>
              <w:ind w:left="180"/>
              <w:spacing w:after="0" w:line="145" w:lineRule="exact"/>
              <w:rPr>
                <w:sz w:val="20"/>
                <w:szCs w:val="20"/>
                <w:color w:val="auto"/>
              </w:rPr>
            </w:pPr>
            <w:r>
              <w:rPr>
                <w:rFonts w:ascii="Calibri" w:cs="Calibri" w:eastAsia="Calibri" w:hAnsi="Calibri"/>
                <w:sz w:val="12"/>
                <w:szCs w:val="12"/>
                <w:color w:val="auto"/>
                <w:w w:val="94"/>
              </w:rPr>
              <w:t>-3.5%</w:t>
            </w:r>
          </w:p>
        </w:tc>
      </w:tr>
      <w:tr>
        <w:trPr>
          <w:trHeight w:val="145"/>
        </w:trPr>
        <w:tc>
          <w:tcPr>
            <w:tcW w:w="520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Structural Write-ofs</w:t>
            </w:r>
          </w:p>
        </w:tc>
        <w:tc>
          <w:tcPr>
            <w:tcW w:w="1580" w:type="dxa"/>
            <w:vAlign w:val="bottom"/>
          </w:tcPr>
          <w:p>
            <w:pPr>
              <w:jc w:val="right"/>
              <w:ind w:right="200"/>
              <w:spacing w:after="0" w:line="145" w:lineRule="exact"/>
              <w:rPr>
                <w:sz w:val="20"/>
                <w:szCs w:val="20"/>
                <w:color w:val="auto"/>
              </w:rPr>
            </w:pPr>
            <w:r>
              <w:rPr>
                <w:rFonts w:ascii="Calibri" w:cs="Calibri" w:eastAsia="Calibri" w:hAnsi="Calibri"/>
                <w:sz w:val="12"/>
                <w:szCs w:val="12"/>
                <w:color w:val="auto"/>
              </w:rPr>
              <w:t>378,093</w:t>
            </w:r>
          </w:p>
        </w:tc>
        <w:tc>
          <w:tcPr>
            <w:tcW w:w="1320" w:type="dxa"/>
            <w:vAlign w:val="bottom"/>
          </w:tcPr>
          <w:p>
            <w:pPr>
              <w:jc w:val="right"/>
              <w:ind w:right="180"/>
              <w:spacing w:after="0" w:line="145" w:lineRule="exact"/>
              <w:rPr>
                <w:sz w:val="20"/>
                <w:szCs w:val="20"/>
                <w:color w:val="auto"/>
              </w:rPr>
            </w:pPr>
            <w:r>
              <w:rPr>
                <w:rFonts w:ascii="Calibri" w:cs="Calibri" w:eastAsia="Calibri" w:hAnsi="Calibri"/>
                <w:sz w:val="12"/>
                <w:szCs w:val="12"/>
                <w:color w:val="auto"/>
              </w:rPr>
              <w:t>754,326</w:t>
            </w:r>
          </w:p>
        </w:tc>
        <w:tc>
          <w:tcPr>
            <w:tcW w:w="1120" w:type="dxa"/>
            <w:vAlign w:val="bottom"/>
            <w:tcBorders>
              <w:right w:val="single" w:sz="8" w:color="auto"/>
            </w:tcBorders>
          </w:tcPr>
          <w:p>
            <w:pPr>
              <w:jc w:val="right"/>
              <w:spacing w:after="0" w:line="145" w:lineRule="exact"/>
              <w:rPr>
                <w:sz w:val="20"/>
                <w:szCs w:val="20"/>
                <w:color w:val="auto"/>
              </w:rPr>
            </w:pPr>
            <w:r>
              <w:rPr>
                <w:rFonts w:ascii="Calibri" w:cs="Calibri" w:eastAsia="Calibri" w:hAnsi="Calibri"/>
                <w:sz w:val="12"/>
                <w:szCs w:val="12"/>
                <w:color w:val="auto"/>
              </w:rPr>
              <w:t>677,148</w:t>
            </w:r>
          </w:p>
        </w:tc>
        <w:tc>
          <w:tcPr>
            <w:tcW w:w="740" w:type="dxa"/>
            <w:vAlign w:val="bottom"/>
          </w:tcPr>
          <w:p>
            <w:pPr>
              <w:jc w:val="center"/>
              <w:ind w:left="200"/>
              <w:spacing w:after="0" w:line="145" w:lineRule="exact"/>
              <w:rPr>
                <w:sz w:val="20"/>
                <w:szCs w:val="20"/>
                <w:color w:val="auto"/>
              </w:rPr>
            </w:pPr>
            <w:r>
              <w:rPr>
                <w:rFonts w:ascii="Calibri" w:cs="Calibri" w:eastAsia="Calibri" w:hAnsi="Calibri"/>
                <w:sz w:val="12"/>
                <w:szCs w:val="12"/>
                <w:color w:val="auto"/>
                <w:w w:val="95"/>
              </w:rPr>
              <w:t>-10.2%</w:t>
            </w:r>
          </w:p>
        </w:tc>
        <w:tc>
          <w:tcPr>
            <w:tcW w:w="1300" w:type="dxa"/>
            <w:vAlign w:val="bottom"/>
            <w:tcBorders>
              <w:right w:val="single" w:sz="8" w:color="auto"/>
            </w:tcBorders>
          </w:tcPr>
          <w:p>
            <w:pPr>
              <w:jc w:val="center"/>
              <w:ind w:left="180"/>
              <w:spacing w:after="0" w:line="145" w:lineRule="exact"/>
              <w:rPr>
                <w:sz w:val="20"/>
                <w:szCs w:val="20"/>
                <w:color w:val="auto"/>
              </w:rPr>
            </w:pPr>
            <w:r>
              <w:rPr>
                <w:rFonts w:ascii="Calibri" w:cs="Calibri" w:eastAsia="Calibri" w:hAnsi="Calibri"/>
                <w:sz w:val="12"/>
                <w:szCs w:val="12"/>
                <w:color w:val="auto"/>
              </w:rPr>
              <w:t>79.1%</w:t>
            </w:r>
          </w:p>
        </w:tc>
      </w:tr>
      <w:tr>
        <w:trPr>
          <w:trHeight w:val="28"/>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145"/>
        </w:trPr>
        <w:tc>
          <w:tcPr>
            <w:tcW w:w="520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Structural IOLs</w:t>
            </w:r>
          </w:p>
        </w:tc>
        <w:tc>
          <w:tcPr>
            <w:tcW w:w="1580" w:type="dxa"/>
            <w:vAlign w:val="bottom"/>
          </w:tcPr>
          <w:p>
            <w:pPr>
              <w:jc w:val="right"/>
              <w:ind w:right="200"/>
              <w:spacing w:after="0" w:line="145" w:lineRule="exact"/>
              <w:rPr>
                <w:sz w:val="20"/>
                <w:szCs w:val="20"/>
                <w:color w:val="auto"/>
              </w:rPr>
            </w:pPr>
            <w:r>
              <w:rPr>
                <w:rFonts w:ascii="Calibri" w:cs="Calibri" w:eastAsia="Calibri" w:hAnsi="Calibri"/>
                <w:sz w:val="12"/>
                <w:szCs w:val="12"/>
                <w:color w:val="auto"/>
              </w:rPr>
              <w:t>4,850,191</w:t>
            </w:r>
          </w:p>
        </w:tc>
        <w:tc>
          <w:tcPr>
            <w:tcW w:w="1320" w:type="dxa"/>
            <w:vAlign w:val="bottom"/>
          </w:tcPr>
          <w:p>
            <w:pPr>
              <w:jc w:val="right"/>
              <w:ind w:right="180"/>
              <w:spacing w:after="0" w:line="145" w:lineRule="exact"/>
              <w:rPr>
                <w:sz w:val="20"/>
                <w:szCs w:val="20"/>
                <w:color w:val="auto"/>
              </w:rPr>
            </w:pPr>
            <w:r>
              <w:rPr>
                <w:rFonts w:ascii="Calibri" w:cs="Calibri" w:eastAsia="Calibri" w:hAnsi="Calibri"/>
                <w:sz w:val="12"/>
                <w:szCs w:val="12"/>
                <w:color w:val="auto"/>
              </w:rPr>
              <w:t>4,791,245</w:t>
            </w:r>
          </w:p>
        </w:tc>
        <w:tc>
          <w:tcPr>
            <w:tcW w:w="1120" w:type="dxa"/>
            <w:vAlign w:val="bottom"/>
            <w:tcBorders>
              <w:right w:val="single" w:sz="8" w:color="auto"/>
            </w:tcBorders>
          </w:tcPr>
          <w:p>
            <w:pPr>
              <w:jc w:val="right"/>
              <w:spacing w:after="0" w:line="145" w:lineRule="exact"/>
              <w:rPr>
                <w:sz w:val="20"/>
                <w:szCs w:val="20"/>
                <w:color w:val="auto"/>
              </w:rPr>
            </w:pPr>
            <w:r>
              <w:rPr>
                <w:rFonts w:ascii="Calibri" w:cs="Calibri" w:eastAsia="Calibri" w:hAnsi="Calibri"/>
                <w:sz w:val="12"/>
                <w:szCs w:val="12"/>
                <w:color w:val="auto"/>
              </w:rPr>
              <w:t>4,952,108</w:t>
            </w:r>
          </w:p>
        </w:tc>
        <w:tc>
          <w:tcPr>
            <w:tcW w:w="740" w:type="dxa"/>
            <w:vAlign w:val="bottom"/>
          </w:tcPr>
          <w:p>
            <w:pPr>
              <w:jc w:val="center"/>
              <w:ind w:left="200"/>
              <w:spacing w:after="0" w:line="145" w:lineRule="exact"/>
              <w:rPr>
                <w:sz w:val="20"/>
                <w:szCs w:val="20"/>
                <w:color w:val="auto"/>
              </w:rPr>
            </w:pPr>
            <w:r>
              <w:rPr>
                <w:rFonts w:ascii="Calibri" w:cs="Calibri" w:eastAsia="Calibri" w:hAnsi="Calibri"/>
                <w:sz w:val="12"/>
                <w:szCs w:val="12"/>
                <w:color w:val="auto"/>
              </w:rPr>
              <w:t>3.4%</w:t>
            </w:r>
          </w:p>
        </w:tc>
        <w:tc>
          <w:tcPr>
            <w:tcW w:w="1300" w:type="dxa"/>
            <w:vAlign w:val="bottom"/>
            <w:tcBorders>
              <w:right w:val="single" w:sz="8" w:color="auto"/>
            </w:tcBorders>
          </w:tcPr>
          <w:p>
            <w:pPr>
              <w:jc w:val="center"/>
              <w:ind w:left="160"/>
              <w:spacing w:after="0" w:line="145" w:lineRule="exact"/>
              <w:rPr>
                <w:sz w:val="20"/>
                <w:szCs w:val="20"/>
                <w:color w:val="auto"/>
              </w:rPr>
            </w:pPr>
            <w:r>
              <w:rPr>
                <w:rFonts w:ascii="Calibri" w:cs="Calibri" w:eastAsia="Calibri" w:hAnsi="Calibri"/>
                <w:sz w:val="12"/>
                <w:szCs w:val="12"/>
                <w:color w:val="auto"/>
              </w:rPr>
              <w:t>2.1%</w:t>
            </w:r>
          </w:p>
        </w:tc>
      </w:tr>
      <w:tr>
        <w:trPr>
          <w:trHeight w:val="169"/>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Structural Refnanced loans</w:t>
            </w:r>
          </w:p>
        </w:tc>
        <w:tc>
          <w:tcPr>
            <w:tcW w:w="1580" w:type="dxa"/>
            <w:vAlign w:val="bottom"/>
          </w:tcPr>
          <w:p>
            <w:pPr>
              <w:jc w:val="right"/>
              <w:ind w:right="200"/>
              <w:spacing w:after="0"/>
              <w:rPr>
                <w:sz w:val="20"/>
                <w:szCs w:val="20"/>
                <w:color w:val="auto"/>
              </w:rPr>
            </w:pPr>
            <w:r>
              <w:rPr>
                <w:rFonts w:ascii="Calibri" w:cs="Calibri" w:eastAsia="Calibri" w:hAnsi="Calibri"/>
                <w:sz w:val="12"/>
                <w:szCs w:val="12"/>
                <w:color w:val="auto"/>
              </w:rPr>
              <w:t>1,714,074</w:t>
            </w:r>
          </w:p>
        </w:tc>
        <w:tc>
          <w:tcPr>
            <w:tcW w:w="1320" w:type="dxa"/>
            <w:vAlign w:val="bottom"/>
          </w:tcPr>
          <w:p>
            <w:pPr>
              <w:jc w:val="right"/>
              <w:ind w:right="180"/>
              <w:spacing w:after="0"/>
              <w:rPr>
                <w:sz w:val="20"/>
                <w:szCs w:val="20"/>
                <w:color w:val="auto"/>
              </w:rPr>
            </w:pPr>
            <w:r>
              <w:rPr>
                <w:rFonts w:ascii="Calibri" w:cs="Calibri" w:eastAsia="Calibri" w:hAnsi="Calibri"/>
                <w:sz w:val="12"/>
                <w:szCs w:val="12"/>
                <w:color w:val="auto"/>
              </w:rPr>
              <w:t>2,098,748</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2,121,068</w:t>
            </w:r>
          </w:p>
        </w:tc>
        <w:tc>
          <w:tcPr>
            <w:tcW w:w="740" w:type="dxa"/>
            <w:vAlign w:val="bottom"/>
          </w:tcPr>
          <w:p>
            <w:pPr>
              <w:jc w:val="center"/>
              <w:ind w:left="200"/>
              <w:spacing w:after="0"/>
              <w:rPr>
                <w:sz w:val="20"/>
                <w:szCs w:val="20"/>
                <w:color w:val="auto"/>
              </w:rPr>
            </w:pPr>
            <w:r>
              <w:rPr>
                <w:rFonts w:ascii="Calibri" w:cs="Calibri" w:eastAsia="Calibri" w:hAnsi="Calibri"/>
                <w:sz w:val="12"/>
                <w:szCs w:val="12"/>
                <w:color w:val="auto"/>
              </w:rPr>
              <w:t>1.1%</w:t>
            </w:r>
          </w:p>
        </w:tc>
        <w:tc>
          <w:tcPr>
            <w:tcW w:w="1300" w:type="dxa"/>
            <w:vAlign w:val="bottom"/>
            <w:tcBorders>
              <w:right w:val="single" w:sz="8" w:color="auto"/>
            </w:tcBorders>
          </w:tcPr>
          <w:p>
            <w:pPr>
              <w:jc w:val="center"/>
              <w:ind w:left="180"/>
              <w:spacing w:after="0"/>
              <w:rPr>
                <w:sz w:val="20"/>
                <w:szCs w:val="20"/>
                <w:color w:val="auto"/>
              </w:rPr>
            </w:pPr>
            <w:r>
              <w:rPr>
                <w:rFonts w:ascii="Calibri" w:cs="Calibri" w:eastAsia="Calibri" w:hAnsi="Calibri"/>
                <w:sz w:val="12"/>
                <w:szCs w:val="12"/>
                <w:color w:val="auto"/>
              </w:rPr>
              <w:t>23.7%</w:t>
            </w:r>
          </w:p>
        </w:tc>
      </w:tr>
      <w:tr>
        <w:trPr>
          <w:trHeight w:val="170"/>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Structural NPLs</w:t>
            </w:r>
          </w:p>
        </w:tc>
        <w:tc>
          <w:tcPr>
            <w:tcW w:w="1580" w:type="dxa"/>
            <w:vAlign w:val="bottom"/>
          </w:tcPr>
          <w:p>
            <w:pPr>
              <w:jc w:val="right"/>
              <w:ind w:right="200"/>
              <w:spacing w:after="0"/>
              <w:rPr>
                <w:sz w:val="20"/>
                <w:szCs w:val="20"/>
                <w:color w:val="auto"/>
              </w:rPr>
            </w:pPr>
            <w:r>
              <w:rPr>
                <w:rFonts w:ascii="Calibri" w:cs="Calibri" w:eastAsia="Calibri" w:hAnsi="Calibri"/>
                <w:sz w:val="12"/>
                <w:szCs w:val="12"/>
                <w:color w:val="auto"/>
              </w:rPr>
              <w:t>6,564,265</w:t>
            </w:r>
          </w:p>
        </w:tc>
        <w:tc>
          <w:tcPr>
            <w:tcW w:w="1320" w:type="dxa"/>
            <w:vAlign w:val="bottom"/>
          </w:tcPr>
          <w:p>
            <w:pPr>
              <w:jc w:val="right"/>
              <w:ind w:right="180"/>
              <w:spacing w:after="0"/>
              <w:rPr>
                <w:sz w:val="20"/>
                <w:szCs w:val="20"/>
                <w:color w:val="auto"/>
              </w:rPr>
            </w:pPr>
            <w:r>
              <w:rPr>
                <w:rFonts w:ascii="Calibri" w:cs="Calibri" w:eastAsia="Calibri" w:hAnsi="Calibri"/>
                <w:sz w:val="12"/>
                <w:szCs w:val="12"/>
                <w:color w:val="auto"/>
              </w:rPr>
              <w:t>6,889,993</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7,073,176</w:t>
            </w:r>
          </w:p>
        </w:tc>
        <w:tc>
          <w:tcPr>
            <w:tcW w:w="740" w:type="dxa"/>
            <w:vAlign w:val="bottom"/>
          </w:tcPr>
          <w:p>
            <w:pPr>
              <w:jc w:val="center"/>
              <w:ind w:left="200"/>
              <w:spacing w:after="0"/>
              <w:rPr>
                <w:sz w:val="20"/>
                <w:szCs w:val="20"/>
                <w:color w:val="auto"/>
              </w:rPr>
            </w:pPr>
            <w:r>
              <w:rPr>
                <w:rFonts w:ascii="Calibri" w:cs="Calibri" w:eastAsia="Calibri" w:hAnsi="Calibri"/>
                <w:sz w:val="12"/>
                <w:szCs w:val="12"/>
                <w:color w:val="auto"/>
              </w:rPr>
              <w:t>2.7%</w:t>
            </w:r>
          </w:p>
        </w:tc>
        <w:tc>
          <w:tcPr>
            <w:tcW w:w="1300" w:type="dxa"/>
            <w:vAlign w:val="bottom"/>
            <w:tcBorders>
              <w:right w:val="single" w:sz="8" w:color="auto"/>
            </w:tcBorders>
          </w:tcPr>
          <w:p>
            <w:pPr>
              <w:jc w:val="center"/>
              <w:ind w:left="160"/>
              <w:spacing w:after="0"/>
              <w:rPr>
                <w:sz w:val="20"/>
                <w:szCs w:val="20"/>
                <w:color w:val="auto"/>
              </w:rPr>
            </w:pPr>
            <w:r>
              <w:rPr>
                <w:rFonts w:ascii="Calibri" w:cs="Calibri" w:eastAsia="Calibri" w:hAnsi="Calibri"/>
                <w:sz w:val="12"/>
                <w:szCs w:val="12"/>
                <w:color w:val="auto"/>
              </w:rPr>
              <w:t>7.8%</w:t>
            </w:r>
          </w:p>
        </w:tc>
      </w:tr>
      <w:tr>
        <w:trPr>
          <w:trHeight w:val="29"/>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145"/>
        </w:trPr>
        <w:tc>
          <w:tcPr>
            <w:tcW w:w="520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b w:val="1"/>
                <w:bCs w:val="1"/>
                <w:color w:val="auto"/>
              </w:rPr>
              <w:t>Structural IOL rato</w:t>
            </w:r>
          </w:p>
        </w:tc>
        <w:tc>
          <w:tcPr>
            <w:tcW w:w="1580" w:type="dxa"/>
            <w:vAlign w:val="bottom"/>
          </w:tcPr>
          <w:p>
            <w:pPr>
              <w:jc w:val="right"/>
              <w:ind w:right="200"/>
              <w:spacing w:after="0" w:line="145" w:lineRule="exact"/>
              <w:rPr>
                <w:sz w:val="20"/>
                <w:szCs w:val="20"/>
                <w:color w:val="auto"/>
              </w:rPr>
            </w:pPr>
            <w:r>
              <w:rPr>
                <w:rFonts w:ascii="Calibri" w:cs="Calibri" w:eastAsia="Calibri" w:hAnsi="Calibri"/>
                <w:sz w:val="12"/>
                <w:szCs w:val="12"/>
                <w:b w:val="1"/>
                <w:bCs w:val="1"/>
                <w:color w:val="auto"/>
              </w:rPr>
              <w:t>3.80%</w:t>
            </w:r>
          </w:p>
        </w:tc>
        <w:tc>
          <w:tcPr>
            <w:tcW w:w="1320" w:type="dxa"/>
            <w:vAlign w:val="bottom"/>
          </w:tcPr>
          <w:p>
            <w:pPr>
              <w:jc w:val="right"/>
              <w:ind w:right="180"/>
              <w:spacing w:after="0" w:line="145" w:lineRule="exact"/>
              <w:rPr>
                <w:sz w:val="20"/>
                <w:szCs w:val="20"/>
                <w:color w:val="auto"/>
              </w:rPr>
            </w:pPr>
            <w:r>
              <w:rPr>
                <w:rFonts w:ascii="Calibri" w:cs="Calibri" w:eastAsia="Calibri" w:hAnsi="Calibri"/>
                <w:sz w:val="12"/>
                <w:szCs w:val="12"/>
                <w:b w:val="1"/>
                <w:bCs w:val="1"/>
                <w:color w:val="auto"/>
              </w:rPr>
              <w:t>3.44%</w:t>
            </w:r>
          </w:p>
        </w:tc>
        <w:tc>
          <w:tcPr>
            <w:tcW w:w="1120" w:type="dxa"/>
            <w:vAlign w:val="bottom"/>
            <w:tcBorders>
              <w:right w:val="single" w:sz="8" w:color="auto"/>
            </w:tcBorders>
          </w:tcPr>
          <w:p>
            <w:pPr>
              <w:jc w:val="right"/>
              <w:spacing w:after="0" w:line="145" w:lineRule="exact"/>
              <w:rPr>
                <w:sz w:val="20"/>
                <w:szCs w:val="20"/>
                <w:color w:val="auto"/>
              </w:rPr>
            </w:pPr>
            <w:r>
              <w:rPr>
                <w:rFonts w:ascii="Calibri" w:cs="Calibri" w:eastAsia="Calibri" w:hAnsi="Calibri"/>
                <w:sz w:val="12"/>
                <w:szCs w:val="12"/>
                <w:b w:val="1"/>
                <w:bCs w:val="1"/>
                <w:color w:val="auto"/>
              </w:rPr>
              <w:t>3.59%</w:t>
            </w:r>
          </w:p>
        </w:tc>
        <w:tc>
          <w:tcPr>
            <w:tcW w:w="740" w:type="dxa"/>
            <w:vAlign w:val="bottom"/>
          </w:tcPr>
          <w:p>
            <w:pPr>
              <w:jc w:val="center"/>
              <w:ind w:left="200"/>
              <w:spacing w:after="0" w:line="145" w:lineRule="exact"/>
              <w:rPr>
                <w:sz w:val="20"/>
                <w:szCs w:val="20"/>
                <w:color w:val="auto"/>
              </w:rPr>
            </w:pPr>
            <w:r>
              <w:rPr>
                <w:rFonts w:ascii="Calibri" w:cs="Calibri" w:eastAsia="Calibri" w:hAnsi="Calibri"/>
                <w:sz w:val="12"/>
                <w:szCs w:val="12"/>
                <w:color w:val="auto"/>
                <w:w w:val="99"/>
              </w:rPr>
              <w:t>15 bps</w:t>
            </w:r>
          </w:p>
        </w:tc>
        <w:tc>
          <w:tcPr>
            <w:tcW w:w="1300" w:type="dxa"/>
            <w:vAlign w:val="bottom"/>
            <w:tcBorders>
              <w:right w:val="single" w:sz="8" w:color="auto"/>
            </w:tcBorders>
          </w:tcPr>
          <w:p>
            <w:pPr>
              <w:jc w:val="center"/>
              <w:ind w:left="180"/>
              <w:spacing w:after="0" w:line="145" w:lineRule="exact"/>
              <w:rPr>
                <w:sz w:val="20"/>
                <w:szCs w:val="20"/>
                <w:color w:val="auto"/>
              </w:rPr>
            </w:pPr>
            <w:r>
              <w:rPr>
                <w:rFonts w:ascii="Calibri" w:cs="Calibri" w:eastAsia="Calibri" w:hAnsi="Calibri"/>
                <w:sz w:val="12"/>
                <w:szCs w:val="12"/>
                <w:color w:val="auto"/>
              </w:rPr>
              <w:t>-21 bps</w:t>
            </w:r>
          </w:p>
        </w:tc>
      </w:tr>
      <w:tr>
        <w:trPr>
          <w:trHeight w:val="169"/>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Structural NPL rato</w:t>
            </w:r>
          </w:p>
        </w:tc>
        <w:tc>
          <w:tcPr>
            <w:tcW w:w="1580" w:type="dxa"/>
            <w:vAlign w:val="bottom"/>
          </w:tcPr>
          <w:p>
            <w:pPr>
              <w:jc w:val="right"/>
              <w:ind w:right="200"/>
              <w:spacing w:after="0"/>
              <w:rPr>
                <w:sz w:val="20"/>
                <w:szCs w:val="20"/>
                <w:color w:val="auto"/>
              </w:rPr>
            </w:pPr>
            <w:r>
              <w:rPr>
                <w:rFonts w:ascii="Calibri" w:cs="Calibri" w:eastAsia="Calibri" w:hAnsi="Calibri"/>
                <w:sz w:val="12"/>
                <w:szCs w:val="12"/>
                <w:b w:val="1"/>
                <w:bCs w:val="1"/>
                <w:color w:val="auto"/>
              </w:rPr>
              <w:t>5.15%</w:t>
            </w:r>
          </w:p>
        </w:tc>
        <w:tc>
          <w:tcPr>
            <w:tcW w:w="1320" w:type="dxa"/>
            <w:vAlign w:val="bottom"/>
          </w:tcPr>
          <w:p>
            <w:pPr>
              <w:jc w:val="right"/>
              <w:ind w:right="180"/>
              <w:spacing w:after="0"/>
              <w:rPr>
                <w:sz w:val="20"/>
                <w:szCs w:val="20"/>
                <w:color w:val="auto"/>
              </w:rPr>
            </w:pPr>
            <w:r>
              <w:rPr>
                <w:rFonts w:ascii="Calibri" w:cs="Calibri" w:eastAsia="Calibri" w:hAnsi="Calibri"/>
                <w:sz w:val="12"/>
                <w:szCs w:val="12"/>
                <w:b w:val="1"/>
                <w:bCs w:val="1"/>
                <w:color w:val="auto"/>
              </w:rPr>
              <w:t>4.95%</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b w:val="1"/>
                <w:bCs w:val="1"/>
                <w:color w:val="auto"/>
              </w:rPr>
              <w:t>5.12%</w:t>
            </w:r>
          </w:p>
        </w:tc>
        <w:tc>
          <w:tcPr>
            <w:tcW w:w="740" w:type="dxa"/>
            <w:vAlign w:val="bottom"/>
          </w:tcPr>
          <w:p>
            <w:pPr>
              <w:jc w:val="center"/>
              <w:ind w:left="200"/>
              <w:spacing w:after="0"/>
              <w:rPr>
                <w:sz w:val="20"/>
                <w:szCs w:val="20"/>
                <w:color w:val="auto"/>
              </w:rPr>
            </w:pPr>
            <w:r>
              <w:rPr>
                <w:rFonts w:ascii="Calibri" w:cs="Calibri" w:eastAsia="Calibri" w:hAnsi="Calibri"/>
                <w:sz w:val="12"/>
                <w:szCs w:val="12"/>
                <w:color w:val="auto"/>
                <w:w w:val="99"/>
              </w:rPr>
              <w:t>17 bps</w:t>
            </w:r>
          </w:p>
        </w:tc>
        <w:tc>
          <w:tcPr>
            <w:tcW w:w="1300" w:type="dxa"/>
            <w:vAlign w:val="bottom"/>
            <w:tcBorders>
              <w:right w:val="single" w:sz="8" w:color="auto"/>
            </w:tcBorders>
          </w:tcPr>
          <w:p>
            <w:pPr>
              <w:jc w:val="center"/>
              <w:ind w:left="180"/>
              <w:spacing w:after="0"/>
              <w:rPr>
                <w:sz w:val="20"/>
                <w:szCs w:val="20"/>
                <w:color w:val="auto"/>
              </w:rPr>
            </w:pPr>
            <w:r>
              <w:rPr>
                <w:rFonts w:ascii="Calibri" w:cs="Calibri" w:eastAsia="Calibri" w:hAnsi="Calibri"/>
                <w:sz w:val="12"/>
                <w:szCs w:val="12"/>
                <w:color w:val="auto"/>
              </w:rPr>
              <w:t>-3 bps</w:t>
            </w:r>
          </w:p>
        </w:tc>
      </w:tr>
      <w:tr>
        <w:trPr>
          <w:trHeight w:val="170"/>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Structural Allowance for loan losses over Structural loans</w:t>
            </w:r>
          </w:p>
        </w:tc>
        <w:tc>
          <w:tcPr>
            <w:tcW w:w="1580" w:type="dxa"/>
            <w:vAlign w:val="bottom"/>
          </w:tcPr>
          <w:p>
            <w:pPr>
              <w:jc w:val="right"/>
              <w:ind w:right="200"/>
              <w:spacing w:after="0"/>
              <w:rPr>
                <w:sz w:val="20"/>
                <w:szCs w:val="20"/>
                <w:color w:val="auto"/>
              </w:rPr>
            </w:pPr>
            <w:r>
              <w:rPr>
                <w:rFonts w:ascii="Calibri" w:cs="Calibri" w:eastAsia="Calibri" w:hAnsi="Calibri"/>
                <w:sz w:val="12"/>
                <w:szCs w:val="12"/>
                <w:b w:val="1"/>
                <w:bCs w:val="1"/>
                <w:color w:val="auto"/>
              </w:rPr>
              <w:t>6.3%</w:t>
            </w:r>
          </w:p>
        </w:tc>
        <w:tc>
          <w:tcPr>
            <w:tcW w:w="1320" w:type="dxa"/>
            <w:vAlign w:val="bottom"/>
          </w:tcPr>
          <w:p>
            <w:pPr>
              <w:jc w:val="right"/>
              <w:ind w:right="180"/>
              <w:spacing w:after="0"/>
              <w:rPr>
                <w:sz w:val="20"/>
                <w:szCs w:val="20"/>
                <w:color w:val="auto"/>
              </w:rPr>
            </w:pPr>
            <w:r>
              <w:rPr>
                <w:rFonts w:ascii="Calibri" w:cs="Calibri" w:eastAsia="Calibri" w:hAnsi="Calibri"/>
                <w:sz w:val="12"/>
                <w:szCs w:val="12"/>
                <w:b w:val="1"/>
                <w:bCs w:val="1"/>
                <w:color w:val="auto"/>
              </w:rPr>
              <w:t>5.6%</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b w:val="1"/>
                <w:bCs w:val="1"/>
                <w:color w:val="auto"/>
              </w:rPr>
              <w:t>5.6%</w:t>
            </w:r>
          </w:p>
        </w:tc>
        <w:tc>
          <w:tcPr>
            <w:tcW w:w="740" w:type="dxa"/>
            <w:vAlign w:val="bottom"/>
          </w:tcPr>
          <w:p>
            <w:pPr>
              <w:jc w:val="center"/>
              <w:ind w:left="200"/>
              <w:spacing w:after="0"/>
              <w:rPr>
                <w:sz w:val="20"/>
                <w:szCs w:val="20"/>
                <w:color w:val="auto"/>
              </w:rPr>
            </w:pPr>
            <w:r>
              <w:rPr>
                <w:rFonts w:ascii="Calibri" w:cs="Calibri" w:eastAsia="Calibri" w:hAnsi="Calibri"/>
                <w:sz w:val="12"/>
                <w:szCs w:val="12"/>
                <w:color w:val="auto"/>
              </w:rPr>
              <w:t>7 bps</w:t>
            </w:r>
          </w:p>
        </w:tc>
        <w:tc>
          <w:tcPr>
            <w:tcW w:w="1300" w:type="dxa"/>
            <w:vAlign w:val="bottom"/>
            <w:tcBorders>
              <w:right w:val="single" w:sz="8" w:color="auto"/>
            </w:tcBorders>
          </w:tcPr>
          <w:p>
            <w:pPr>
              <w:jc w:val="center"/>
              <w:ind w:left="180"/>
              <w:spacing w:after="0"/>
              <w:rPr>
                <w:sz w:val="20"/>
                <w:szCs w:val="20"/>
                <w:color w:val="auto"/>
              </w:rPr>
            </w:pPr>
            <w:r>
              <w:rPr>
                <w:rFonts w:ascii="Calibri" w:cs="Calibri" w:eastAsia="Calibri" w:hAnsi="Calibri"/>
                <w:sz w:val="12"/>
                <w:szCs w:val="12"/>
                <w:color w:val="auto"/>
              </w:rPr>
              <w:t>-69 bps</w:t>
            </w:r>
          </w:p>
        </w:tc>
      </w:tr>
      <w:tr>
        <w:trPr>
          <w:trHeight w:val="170"/>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Structural Coverage rato of NPLs</w:t>
            </w:r>
          </w:p>
        </w:tc>
        <w:tc>
          <w:tcPr>
            <w:tcW w:w="1580" w:type="dxa"/>
            <w:vAlign w:val="bottom"/>
          </w:tcPr>
          <w:p>
            <w:pPr>
              <w:jc w:val="right"/>
              <w:ind w:right="200"/>
              <w:spacing w:after="0"/>
              <w:rPr>
                <w:sz w:val="20"/>
                <w:szCs w:val="20"/>
                <w:color w:val="auto"/>
              </w:rPr>
            </w:pPr>
            <w:r>
              <w:rPr>
                <w:rFonts w:ascii="Calibri" w:cs="Calibri" w:eastAsia="Calibri" w:hAnsi="Calibri"/>
                <w:sz w:val="12"/>
                <w:szCs w:val="12"/>
                <w:color w:val="auto"/>
              </w:rPr>
              <w:t>122.8%</w:t>
            </w:r>
          </w:p>
        </w:tc>
        <w:tc>
          <w:tcPr>
            <w:tcW w:w="1320" w:type="dxa"/>
            <w:vAlign w:val="bottom"/>
          </w:tcPr>
          <w:p>
            <w:pPr>
              <w:jc w:val="right"/>
              <w:ind w:right="180"/>
              <w:spacing w:after="0"/>
              <w:rPr>
                <w:sz w:val="20"/>
                <w:szCs w:val="20"/>
                <w:color w:val="auto"/>
              </w:rPr>
            </w:pPr>
            <w:r>
              <w:rPr>
                <w:rFonts w:ascii="Calibri" w:cs="Calibri" w:eastAsia="Calibri" w:hAnsi="Calibri"/>
                <w:sz w:val="12"/>
                <w:szCs w:val="12"/>
                <w:color w:val="auto"/>
              </w:rPr>
              <w:t>112.2%</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110.0%</w:t>
            </w:r>
          </w:p>
        </w:tc>
        <w:tc>
          <w:tcPr>
            <w:tcW w:w="740" w:type="dxa"/>
            <w:vAlign w:val="bottom"/>
          </w:tcPr>
          <w:p>
            <w:pPr>
              <w:jc w:val="center"/>
              <w:ind w:left="200"/>
              <w:spacing w:after="0"/>
              <w:rPr>
                <w:sz w:val="20"/>
                <w:szCs w:val="20"/>
                <w:color w:val="auto"/>
              </w:rPr>
            </w:pPr>
            <w:r>
              <w:rPr>
                <w:rFonts w:ascii="Calibri" w:cs="Calibri" w:eastAsia="Calibri" w:hAnsi="Calibri"/>
                <w:sz w:val="12"/>
                <w:szCs w:val="12"/>
                <w:color w:val="auto"/>
              </w:rPr>
              <w:t>-225 bps</w:t>
            </w:r>
          </w:p>
        </w:tc>
        <w:tc>
          <w:tcPr>
            <w:tcW w:w="1300" w:type="dxa"/>
            <w:vAlign w:val="bottom"/>
            <w:tcBorders>
              <w:right w:val="single" w:sz="8" w:color="auto"/>
            </w:tcBorders>
          </w:tcPr>
          <w:p>
            <w:pPr>
              <w:jc w:val="center"/>
              <w:ind w:left="180"/>
              <w:spacing w:after="0"/>
              <w:rPr>
                <w:sz w:val="20"/>
                <w:szCs w:val="20"/>
                <w:color w:val="auto"/>
              </w:rPr>
            </w:pPr>
            <w:r>
              <w:rPr>
                <w:rFonts w:ascii="Calibri" w:cs="Calibri" w:eastAsia="Calibri" w:hAnsi="Calibri"/>
                <w:sz w:val="12"/>
                <w:szCs w:val="12"/>
                <w:color w:val="auto"/>
              </w:rPr>
              <w:t>-1282 bps</w:t>
            </w:r>
          </w:p>
        </w:tc>
      </w:tr>
      <w:tr>
        <w:trPr>
          <w:trHeight w:val="29"/>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bl>
    <w:p>
      <w:pPr>
        <w:spacing w:after="0" w:line="186" w:lineRule="exact"/>
        <w:rPr>
          <w:sz w:val="20"/>
          <w:szCs w:val="20"/>
          <w:color w:val="auto"/>
        </w:rPr>
      </w:pPr>
    </w:p>
    <w:p>
      <w:pPr>
        <w:ind w:left="9"/>
        <w:spacing w:after="0"/>
        <w:rPr>
          <w:sz w:val="20"/>
          <w:szCs w:val="20"/>
          <w:color w:val="auto"/>
        </w:rPr>
      </w:pPr>
      <w:r>
        <w:rPr>
          <w:rFonts w:ascii="Calibri" w:cs="Calibri" w:eastAsia="Calibri" w:hAnsi="Calibri"/>
          <w:sz w:val="10"/>
          <w:szCs w:val="10"/>
          <w:color w:val="auto"/>
        </w:rPr>
        <w:t>(1) The Structural Portolio excludes Government Programs (GP) efects.</w:t>
      </w:r>
    </w:p>
    <w:p>
      <w:pPr>
        <w:spacing w:after="0" w:line="116" w:lineRule="exact"/>
        <w:rPr>
          <w:sz w:val="20"/>
          <w:szCs w:val="20"/>
          <w:color w:val="auto"/>
        </w:rPr>
      </w:pPr>
    </w:p>
    <w:p>
      <w:pPr>
        <w:jc w:val="both"/>
        <w:ind w:left="9"/>
        <w:spacing w:after="0" w:line="237" w:lineRule="auto"/>
        <w:rPr>
          <w:sz w:val="20"/>
          <w:szCs w:val="20"/>
          <w:color w:val="auto"/>
        </w:rPr>
      </w:pPr>
      <w:r>
        <w:rPr>
          <w:rFonts w:ascii="Calibri" w:cs="Calibri" w:eastAsia="Calibri" w:hAnsi="Calibri"/>
          <w:sz w:val="15"/>
          <w:szCs w:val="15"/>
          <w:color w:val="auto"/>
        </w:rPr>
        <w:t xml:space="preserve">The volume of structural NPL loans rose </w:t>
      </w:r>
      <w:r>
        <w:rPr>
          <w:rFonts w:ascii="Calibri" w:cs="Calibri" w:eastAsia="Calibri" w:hAnsi="Calibri"/>
          <w:sz w:val="15"/>
          <w:szCs w:val="15"/>
          <w:b w:val="1"/>
          <w:bCs w:val="1"/>
          <w:color w:val="auto"/>
        </w:rPr>
        <w:t>QoQ</w:t>
      </w:r>
      <w:r>
        <w:rPr>
          <w:rFonts w:ascii="Calibri" w:cs="Calibri" w:eastAsia="Calibri" w:hAnsi="Calibri"/>
          <w:sz w:val="15"/>
          <w:szCs w:val="15"/>
          <w:color w:val="auto"/>
        </w:rPr>
        <w:t xml:space="preserve"> and </w:t>
      </w:r>
      <w:r>
        <w:rPr>
          <w:rFonts w:ascii="Calibri" w:cs="Calibri" w:eastAsia="Calibri" w:hAnsi="Calibri"/>
          <w:sz w:val="15"/>
          <w:szCs w:val="15"/>
          <w:b w:val="1"/>
          <w:bCs w:val="1"/>
          <w:color w:val="auto"/>
        </w:rPr>
        <w:t>YoY</w:t>
      </w:r>
      <w:r>
        <w:rPr>
          <w:rFonts w:ascii="Calibri" w:cs="Calibri" w:eastAsia="Calibri" w:hAnsi="Calibri"/>
          <w:sz w:val="15"/>
          <w:szCs w:val="15"/>
          <w:color w:val="auto"/>
        </w:rPr>
        <w:t xml:space="preserve"> by 2.7% and 7.8% respectvely. QoQ, the increase was driven by growth in IOL loans in </w:t>
      </w:r>
      <w:r>
        <w:rPr>
          <w:rFonts w:ascii="Calibri" w:cs="Calibri" w:eastAsia="Calibri" w:hAnsi="Calibri"/>
          <w:sz w:val="15"/>
          <w:szCs w:val="15"/>
          <w:b w:val="1"/>
          <w:bCs w:val="1"/>
          <w:color w:val="auto"/>
        </w:rPr>
        <w:t>Wholesale Banking</w:t>
      </w:r>
      <w:r>
        <w:rPr>
          <w:rFonts w:ascii="Calibri" w:cs="Calibri" w:eastAsia="Calibri" w:hAnsi="Calibri"/>
          <w:sz w:val="15"/>
          <w:szCs w:val="15"/>
          <w:color w:val="auto"/>
        </w:rPr>
        <w:t xml:space="preserve">. This increase was partally ofset by the sale of a judicial portolio in </w:t>
      </w:r>
      <w:r>
        <w:rPr>
          <w:rFonts w:ascii="Calibri" w:cs="Calibri" w:eastAsia="Calibri" w:hAnsi="Calibri"/>
          <w:sz w:val="15"/>
          <w:szCs w:val="15"/>
          <w:b w:val="1"/>
          <w:bCs w:val="1"/>
          <w:color w:val="auto"/>
        </w:rPr>
        <w:t>Retail Banking</w:t>
      </w:r>
      <w:r>
        <w:rPr>
          <w:rFonts w:ascii="Calibri" w:cs="Calibri" w:eastAsia="Calibri" w:hAnsi="Calibri"/>
          <w:sz w:val="15"/>
          <w:szCs w:val="15"/>
          <w:color w:val="auto"/>
        </w:rPr>
        <w:t xml:space="preserve"> this quarter. It is important to note that, thanks to Wholesale provisions models that foresaw the potental for deterioraton, the IOL portolio was completely provisioned prior to advancement to the IOL stage. </w:t>
      </w:r>
      <w:r>
        <w:rPr>
          <w:rFonts w:ascii="Calibri" w:cs="Calibri" w:eastAsia="Calibri" w:hAnsi="Calibri"/>
          <w:sz w:val="15"/>
          <w:szCs w:val="15"/>
          <w:b w:val="1"/>
          <w:bCs w:val="1"/>
          <w:color w:val="auto"/>
        </w:rPr>
        <w:t>YoY</w:t>
      </w:r>
      <w:r>
        <w:rPr>
          <w:rFonts w:ascii="Calibri" w:cs="Calibri" w:eastAsia="Calibri" w:hAnsi="Calibri"/>
          <w:sz w:val="15"/>
          <w:szCs w:val="15"/>
          <w:color w:val="auto"/>
        </w:rPr>
        <w:t xml:space="preserve">, dynamics were driven by an increase in refnanced loans in </w:t>
      </w:r>
      <w:r>
        <w:rPr>
          <w:rFonts w:ascii="Calibri" w:cs="Calibri" w:eastAsia="Calibri" w:hAnsi="Calibri"/>
          <w:sz w:val="15"/>
          <w:szCs w:val="15"/>
          <w:b w:val="1"/>
          <w:bCs w:val="1"/>
          <w:color w:val="auto"/>
        </w:rPr>
        <w:t>Wholesale Banking</w:t>
      </w:r>
      <w:r>
        <w:rPr>
          <w:rFonts w:ascii="Calibri" w:cs="Calibri" w:eastAsia="Calibri" w:hAnsi="Calibri"/>
          <w:sz w:val="15"/>
          <w:szCs w:val="15"/>
          <w:color w:val="auto"/>
        </w:rPr>
        <w:t>.</w:t>
      </w:r>
    </w:p>
    <w:p>
      <w:pPr>
        <w:spacing w:after="0" w:line="341"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54" w:right="319" w:bottom="1440" w:gutter="0" w:footer="0" w:header="0"/>
        </w:sectPr>
      </w:pPr>
    </w:p>
    <w:bookmarkStart w:id="21" w:name="page22"/>
    <w:bookmarkEnd w:id="21"/>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53910" cy="2159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910" cy="215900"/>
                    </a:xfrm>
                    <a:prstGeom prst="rect">
                      <a:avLst/>
                    </a:prstGeom>
                    <a:noFill/>
                  </pic:spPr>
                </pic:pic>
              </a:graphicData>
            </a:graphic>
          </wp:anchor>
        </w:drawing>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01. Loan Portfolio</w:t>
      </w:r>
    </w:p>
    <w:p>
      <w:pPr>
        <w:spacing w:after="0" w:line="248"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Structural NPL 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1586230</wp:posOffset>
            </wp:positionH>
            <wp:positionV relativeFrom="paragraph">
              <wp:posOffset>13335</wp:posOffset>
            </wp:positionV>
            <wp:extent cx="3977005" cy="22332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77005" cy="223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alibri" w:cs="Calibri" w:eastAsia="Calibri" w:hAnsi="Calibri"/>
          <w:sz w:val="15"/>
          <w:szCs w:val="15"/>
          <w:color w:val="auto"/>
        </w:rPr>
        <w:t xml:space="preserve">In the </w:t>
      </w:r>
      <w:r>
        <w:rPr>
          <w:rFonts w:ascii="Calibri" w:cs="Calibri" w:eastAsia="Calibri" w:hAnsi="Calibri"/>
          <w:sz w:val="15"/>
          <w:szCs w:val="15"/>
          <w:b w:val="1"/>
          <w:bCs w:val="1"/>
          <w:color w:val="auto"/>
        </w:rPr>
        <w:t>QoQ</w:t>
      </w:r>
      <w:r>
        <w:rPr>
          <w:rFonts w:ascii="Calibri" w:cs="Calibri" w:eastAsia="Calibri" w:hAnsi="Calibri"/>
          <w:sz w:val="15"/>
          <w:szCs w:val="15"/>
          <w:color w:val="auto"/>
        </w:rPr>
        <w:t xml:space="preserve"> analysis, the structural NPL rato rose, which refects an increase in NPL volumes. The segments that contributed to growth were:</w:t>
      </w:r>
    </w:p>
    <w:p>
      <w:pPr>
        <w:spacing w:after="0" w:line="127" w:lineRule="exact"/>
        <w:rPr>
          <w:sz w:val="20"/>
          <w:szCs w:val="20"/>
          <w:color w:val="auto"/>
        </w:rPr>
      </w:pPr>
    </w:p>
    <w:p>
      <w:pPr>
        <w:ind w:left="680" w:hanging="269"/>
        <w:spacing w:after="0" w:line="236" w:lineRule="auto"/>
        <w:tabs>
          <w:tab w:leader="none" w:pos="680" w:val="left"/>
        </w:tabs>
        <w:numPr>
          <w:ilvl w:val="0"/>
          <w:numId w:val="23"/>
        </w:numPr>
        <w:rPr>
          <w:rFonts w:ascii="Arial" w:cs="Arial" w:eastAsia="Arial" w:hAnsi="Arial"/>
          <w:sz w:val="15"/>
          <w:szCs w:val="15"/>
          <w:color w:val="auto"/>
        </w:rPr>
      </w:pPr>
      <w:r>
        <w:rPr>
          <w:rFonts w:ascii="Calibri" w:cs="Calibri" w:eastAsia="Calibri" w:hAnsi="Calibri"/>
          <w:sz w:val="15"/>
          <w:szCs w:val="15"/>
          <w:b w:val="1"/>
          <w:bCs w:val="1"/>
          <w:color w:val="auto"/>
        </w:rPr>
        <w:t>Wholesale Banking</w:t>
      </w:r>
      <w:r>
        <w:rPr>
          <w:rFonts w:ascii="Calibri" w:cs="Calibri" w:eastAsia="Calibri" w:hAnsi="Calibri"/>
          <w:sz w:val="15"/>
          <w:szCs w:val="15"/>
          <w:color w:val="auto"/>
        </w:rPr>
        <w:t>, due to an uptck in overdue loans afer leters of credit were executed to cover loans to a client in the constructon sector. It is important to note that these</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loans were already 100% provisioned given that provisions models had antcipated deterioraton.</w:t>
      </w:r>
    </w:p>
    <w:p>
      <w:pPr>
        <w:spacing w:after="0" w:line="2" w:lineRule="exact"/>
        <w:rPr>
          <w:rFonts w:ascii="Arial" w:cs="Arial" w:eastAsia="Arial" w:hAnsi="Arial"/>
          <w:sz w:val="15"/>
          <w:szCs w:val="15"/>
          <w:color w:val="auto"/>
        </w:rPr>
      </w:pPr>
    </w:p>
    <w:p>
      <w:pPr>
        <w:jc w:val="both"/>
        <w:ind w:left="680" w:hanging="269"/>
        <w:spacing w:after="0" w:line="237" w:lineRule="auto"/>
        <w:tabs>
          <w:tab w:leader="none" w:pos="680" w:val="left"/>
        </w:tabs>
        <w:numPr>
          <w:ilvl w:val="0"/>
          <w:numId w:val="23"/>
        </w:numPr>
        <w:rPr>
          <w:rFonts w:ascii="Arial" w:cs="Arial" w:eastAsia="Arial" w:hAnsi="Arial"/>
          <w:sz w:val="15"/>
          <w:szCs w:val="15"/>
          <w:color w:val="auto"/>
        </w:rPr>
      </w:pPr>
      <w:r>
        <w:rPr>
          <w:rFonts w:ascii="Calibri" w:cs="Calibri" w:eastAsia="Calibri" w:hAnsi="Calibri"/>
          <w:sz w:val="15"/>
          <w:szCs w:val="15"/>
          <w:b w:val="1"/>
          <w:bCs w:val="1"/>
          <w:color w:val="auto"/>
        </w:rPr>
        <w:t xml:space="preserve">Mibanco, </w:t>
      </w:r>
      <w:r>
        <w:rPr>
          <w:rFonts w:ascii="Calibri" w:cs="Calibri" w:eastAsia="Calibri" w:hAnsi="Calibri"/>
          <w:sz w:val="15"/>
          <w:szCs w:val="15"/>
          <w:color w:val="auto"/>
        </w:rPr>
        <w:t>which was heavily impacted by the protests in the south of the country, damaging rains in the north and an adverse macroeconomic climate. These events have</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generated an increase in the IOL portolio given that some clients who received early relief measures at the end of 4Q22 or 1Q23; nonetheless fell delinquent. In 1Q23, an additonal tranche of clients was ofered refnancing.</w:t>
      </w:r>
    </w:p>
    <w:p>
      <w:pPr>
        <w:spacing w:after="0" w:line="2" w:lineRule="exact"/>
        <w:rPr>
          <w:rFonts w:ascii="Arial" w:cs="Arial" w:eastAsia="Arial" w:hAnsi="Arial"/>
          <w:sz w:val="15"/>
          <w:szCs w:val="15"/>
          <w:color w:val="auto"/>
        </w:rPr>
      </w:pPr>
    </w:p>
    <w:p>
      <w:pPr>
        <w:ind w:left="680" w:right="20" w:hanging="269"/>
        <w:spacing w:after="0" w:line="236" w:lineRule="auto"/>
        <w:tabs>
          <w:tab w:leader="none" w:pos="680" w:val="left"/>
        </w:tabs>
        <w:numPr>
          <w:ilvl w:val="0"/>
          <w:numId w:val="23"/>
        </w:numPr>
        <w:rPr>
          <w:rFonts w:ascii="Arial" w:cs="Arial" w:eastAsia="Arial" w:hAnsi="Arial"/>
          <w:sz w:val="15"/>
          <w:szCs w:val="15"/>
          <w:color w:val="auto"/>
        </w:rPr>
      </w:pPr>
      <w:r>
        <w:rPr>
          <w:rFonts w:ascii="Calibri" w:cs="Calibri" w:eastAsia="Calibri" w:hAnsi="Calibri"/>
          <w:sz w:val="15"/>
          <w:szCs w:val="15"/>
          <w:b w:val="1"/>
          <w:bCs w:val="1"/>
          <w:color w:val="auto"/>
        </w:rPr>
        <w:t>Consumer and Credit Cards</w:t>
      </w:r>
      <w:r>
        <w:rPr>
          <w:rFonts w:ascii="Calibri" w:cs="Calibri" w:eastAsia="Calibri" w:hAnsi="Calibri"/>
          <w:sz w:val="15"/>
          <w:szCs w:val="15"/>
          <w:color w:val="auto"/>
        </w:rPr>
        <w:t>, which reported deterioraton in the portolio disbursed in 2022 afer penetratng segments with higher risk profles. In this scenario, adjustments</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were made to credit guidelines to shif the focus to clients with beter profles.</w:t>
      </w:r>
    </w:p>
    <w:p>
      <w:pPr>
        <w:spacing w:after="0" w:line="184" w:lineRule="exact"/>
        <w:rPr>
          <w:sz w:val="20"/>
          <w:szCs w:val="20"/>
          <w:color w:val="auto"/>
        </w:rPr>
      </w:pPr>
    </w:p>
    <w:p>
      <w:pPr>
        <w:spacing w:after="0" w:line="236" w:lineRule="auto"/>
        <w:rPr>
          <w:sz w:val="20"/>
          <w:szCs w:val="20"/>
          <w:color w:val="auto"/>
        </w:rPr>
      </w:pPr>
      <w:r>
        <w:rPr>
          <w:rFonts w:ascii="Calibri" w:cs="Calibri" w:eastAsia="Calibri" w:hAnsi="Calibri"/>
          <w:sz w:val="15"/>
          <w:szCs w:val="15"/>
          <w:color w:val="auto"/>
        </w:rPr>
        <w:t xml:space="preserve">Growth in the structural NPL rato was partally ofset by the sale of a judicial recovery portolio in </w:t>
      </w:r>
      <w:r>
        <w:rPr>
          <w:rFonts w:ascii="Calibri" w:cs="Calibri" w:eastAsia="Calibri" w:hAnsi="Calibri"/>
          <w:sz w:val="15"/>
          <w:szCs w:val="15"/>
          <w:b w:val="1"/>
          <w:bCs w:val="1"/>
          <w:color w:val="auto"/>
        </w:rPr>
        <w:t>Retail Banking</w:t>
      </w:r>
      <w:r>
        <w:rPr>
          <w:rFonts w:ascii="Calibri" w:cs="Calibri" w:eastAsia="Calibri" w:hAnsi="Calibri"/>
          <w:sz w:val="15"/>
          <w:szCs w:val="15"/>
          <w:color w:val="auto"/>
        </w:rPr>
        <w:t xml:space="preserve">, which was concentrated primarily in </w:t>
      </w:r>
      <w:r>
        <w:rPr>
          <w:rFonts w:ascii="Calibri" w:cs="Calibri" w:eastAsia="Calibri" w:hAnsi="Calibri"/>
          <w:sz w:val="15"/>
          <w:szCs w:val="15"/>
          <w:b w:val="1"/>
          <w:bCs w:val="1"/>
          <w:color w:val="auto"/>
        </w:rPr>
        <w:t>SME-Pyme</w:t>
      </w:r>
      <w:r>
        <w:rPr>
          <w:rFonts w:ascii="Calibri" w:cs="Calibri" w:eastAsia="Calibri" w:hAnsi="Calibri"/>
          <w:sz w:val="15"/>
          <w:szCs w:val="15"/>
          <w:color w:val="auto"/>
        </w:rPr>
        <w:t xml:space="preserve"> and </w:t>
      </w:r>
      <w:r>
        <w:rPr>
          <w:rFonts w:ascii="Calibri" w:cs="Calibri" w:eastAsia="Calibri" w:hAnsi="Calibri"/>
          <w:sz w:val="15"/>
          <w:szCs w:val="15"/>
          <w:b w:val="1"/>
          <w:bCs w:val="1"/>
          <w:color w:val="auto"/>
        </w:rPr>
        <w:t>Mortgage</w:t>
      </w:r>
      <w:r>
        <w:rPr>
          <w:rFonts w:ascii="Calibri" w:cs="Calibri" w:eastAsia="Calibri" w:hAnsi="Calibri"/>
          <w:sz w:val="15"/>
          <w:szCs w:val="15"/>
          <w:color w:val="auto"/>
        </w:rPr>
        <w:t xml:space="preserve"> loans. Had the bank not taken the aforementoned measures, the SME-Pyme segment would have reported deterioraton in disbursements of higher-risk loans disbursed in 2022.</w:t>
      </w:r>
    </w:p>
    <w:p>
      <w:pPr>
        <w:spacing w:after="0" w:line="184" w:lineRule="exact"/>
        <w:rPr>
          <w:sz w:val="20"/>
          <w:szCs w:val="20"/>
          <w:color w:val="auto"/>
        </w:rPr>
      </w:pPr>
    </w:p>
    <w:p>
      <w:pPr>
        <w:ind w:right="120"/>
        <w:spacing w:after="0" w:line="236" w:lineRule="auto"/>
        <w:rPr>
          <w:sz w:val="20"/>
          <w:szCs w:val="20"/>
          <w:color w:val="auto"/>
        </w:rPr>
      </w:pPr>
      <w:r>
        <w:rPr>
          <w:rFonts w:ascii="Calibri" w:cs="Calibri" w:eastAsia="Calibri" w:hAnsi="Calibri"/>
          <w:sz w:val="15"/>
          <w:szCs w:val="15"/>
          <w:b w:val="1"/>
          <w:bCs w:val="1"/>
          <w:color w:val="auto"/>
        </w:rPr>
        <w:t>YoY</w:t>
      </w:r>
      <w:r>
        <w:rPr>
          <w:rFonts w:ascii="Calibri" w:cs="Calibri" w:eastAsia="Calibri" w:hAnsi="Calibri"/>
          <w:sz w:val="15"/>
          <w:szCs w:val="15"/>
          <w:color w:val="auto"/>
        </w:rPr>
        <w:t>, the structural NPL rato fell slightly by 3bps, which refects the impact of loan growth as outlined in the previous chapter. The uptck in loan volumes was partally ofset by an increase</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in NPL loans, which was driven by:</w:t>
      </w:r>
    </w:p>
    <w:p>
      <w:pPr>
        <w:spacing w:after="0" w:line="116" w:lineRule="exact"/>
        <w:rPr>
          <w:sz w:val="20"/>
          <w:szCs w:val="20"/>
          <w:color w:val="auto"/>
        </w:rPr>
      </w:pPr>
    </w:p>
    <w:p>
      <w:pPr>
        <w:ind w:left="680" w:right="20" w:hanging="269"/>
        <w:spacing w:after="0" w:line="236" w:lineRule="auto"/>
        <w:tabs>
          <w:tab w:leader="none" w:pos="680" w:val="left"/>
        </w:tabs>
        <w:numPr>
          <w:ilvl w:val="0"/>
          <w:numId w:val="24"/>
        </w:numPr>
        <w:rPr>
          <w:rFonts w:ascii="Arial" w:cs="Arial" w:eastAsia="Arial" w:hAnsi="Arial"/>
          <w:sz w:val="15"/>
          <w:szCs w:val="15"/>
          <w:color w:val="auto"/>
        </w:rPr>
      </w:pPr>
      <w:r>
        <w:rPr>
          <w:rFonts w:ascii="Calibri" w:cs="Calibri" w:eastAsia="Calibri" w:hAnsi="Calibri"/>
          <w:sz w:val="15"/>
          <w:szCs w:val="15"/>
          <w:b w:val="1"/>
          <w:bCs w:val="1"/>
          <w:color w:val="auto"/>
        </w:rPr>
        <w:t>Wholesale Banking</w:t>
      </w:r>
      <w:r>
        <w:rPr>
          <w:rFonts w:ascii="Calibri" w:cs="Calibri" w:eastAsia="Calibri" w:hAnsi="Calibri"/>
          <w:sz w:val="15"/>
          <w:szCs w:val="15"/>
          <w:color w:val="auto"/>
        </w:rPr>
        <w:t>, given that in 2022, loans were refnanced for clients in the commercial real estate and tourism sectors, both of which were heavily impacted by the</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pandemic. It is important to note that these loans are backed by collateral levels that far exceed total debt.</w:t>
      </w:r>
    </w:p>
    <w:p>
      <w:pPr>
        <w:ind w:left="680" w:hanging="269"/>
        <w:spacing w:after="0" w:line="237" w:lineRule="auto"/>
        <w:tabs>
          <w:tab w:leader="none" w:pos="680" w:val="left"/>
        </w:tabs>
        <w:numPr>
          <w:ilvl w:val="0"/>
          <w:numId w:val="24"/>
        </w:numPr>
        <w:rPr>
          <w:rFonts w:ascii="Arial" w:cs="Arial" w:eastAsia="Arial" w:hAnsi="Arial"/>
          <w:sz w:val="15"/>
          <w:szCs w:val="15"/>
          <w:color w:val="auto"/>
        </w:rPr>
      </w:pPr>
      <w:r>
        <w:rPr>
          <w:rFonts w:ascii="Calibri" w:cs="Calibri" w:eastAsia="Calibri" w:hAnsi="Calibri"/>
          <w:sz w:val="15"/>
          <w:szCs w:val="15"/>
          <w:b w:val="1"/>
          <w:bCs w:val="1"/>
          <w:color w:val="auto"/>
        </w:rPr>
        <w:t xml:space="preserve">Consumer and Credit Cards, </w:t>
      </w:r>
      <w:r>
        <w:rPr>
          <w:rFonts w:ascii="Calibri" w:cs="Calibri" w:eastAsia="Calibri" w:hAnsi="Calibri"/>
          <w:sz w:val="15"/>
          <w:szCs w:val="15"/>
          <w:color w:val="auto"/>
        </w:rPr>
        <w:t>where deterioraton was driven by the same factors as those presented in the QoQ analysis.</w:t>
      </w:r>
    </w:p>
    <w:p>
      <w:pPr>
        <w:spacing w:after="0" w:line="24" w:lineRule="exact"/>
        <w:rPr>
          <w:rFonts w:ascii="Arial" w:cs="Arial" w:eastAsia="Arial" w:hAnsi="Arial"/>
          <w:sz w:val="15"/>
          <w:szCs w:val="15"/>
          <w:color w:val="auto"/>
        </w:rPr>
      </w:pPr>
    </w:p>
    <w:p>
      <w:pPr>
        <w:ind w:left="680" w:hanging="269"/>
        <w:spacing w:after="0" w:line="207" w:lineRule="auto"/>
        <w:tabs>
          <w:tab w:leader="none" w:pos="680" w:val="left"/>
        </w:tabs>
        <w:numPr>
          <w:ilvl w:val="0"/>
          <w:numId w:val="24"/>
        </w:numPr>
        <w:rPr>
          <w:rFonts w:ascii="Arial" w:cs="Arial" w:eastAsia="Arial" w:hAnsi="Arial"/>
          <w:sz w:val="15"/>
          <w:szCs w:val="15"/>
          <w:color w:val="auto"/>
        </w:rPr>
      </w:pPr>
      <w:r>
        <w:rPr>
          <w:rFonts w:ascii="Calibri" w:cs="Calibri" w:eastAsia="Calibri" w:hAnsi="Calibri"/>
          <w:sz w:val="15"/>
          <w:szCs w:val="15"/>
          <w:b w:val="1"/>
          <w:bCs w:val="1"/>
          <w:color w:val="auto"/>
        </w:rPr>
        <w:t xml:space="preserve">Mibanco, </w:t>
      </w:r>
      <w:r>
        <w:rPr>
          <w:rFonts w:ascii="Calibri" w:cs="Calibri" w:eastAsia="Calibri" w:hAnsi="Calibri"/>
          <w:sz w:val="15"/>
          <w:szCs w:val="15"/>
          <w:color w:val="auto"/>
        </w:rPr>
        <w:t>where deterioraton was spurred by the same factor as those outlined in the QoQ analysis</w:t>
      </w:r>
    </w:p>
    <w:p>
      <w:pPr>
        <w:spacing w:after="0" w:line="180" w:lineRule="exact"/>
        <w:rPr>
          <w:sz w:val="20"/>
          <w:szCs w:val="20"/>
          <w:color w:val="auto"/>
        </w:rPr>
      </w:pPr>
    </w:p>
    <w:p>
      <w:pPr>
        <w:spacing w:after="0"/>
        <w:rPr>
          <w:sz w:val="20"/>
          <w:szCs w:val="20"/>
          <w:color w:val="auto"/>
        </w:rPr>
      </w:pPr>
      <w:r>
        <w:rPr>
          <w:rFonts w:ascii="Calibri" w:cs="Calibri" w:eastAsia="Calibri" w:hAnsi="Calibri"/>
          <w:sz w:val="15"/>
          <w:szCs w:val="15"/>
          <w:color w:val="auto"/>
        </w:rPr>
        <w:t>As was the case QoQ, the uptck in the structural loan rato was partally ofset by the sale of a portolio.</w:t>
      </w:r>
    </w:p>
    <w:p>
      <w:pPr>
        <w:spacing w:after="0" w:line="341"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54"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430"/>
        </w:trPr>
        <w:tc>
          <w:tcPr>
            <w:tcW w:w="5220" w:type="dxa"/>
            <w:vAlign w:val="bottom"/>
            <w:shd w:val="clear" w:color="auto" w:fill="000000"/>
          </w:tcPr>
          <w:p>
            <w:pPr>
              <w:ind w:left="2700"/>
              <w:spacing w:after="0"/>
              <w:rPr>
                <w:sz w:val="20"/>
                <w:szCs w:val="20"/>
                <w:color w:val="auto"/>
              </w:rPr>
            </w:pPr>
            <w:r>
              <w:rPr>
                <w:rFonts w:ascii="Arial" w:cs="Arial" w:eastAsia="Arial" w:hAnsi="Arial"/>
                <w:sz w:val="14"/>
                <w:szCs w:val="14"/>
                <w:color w:val="A6A6A6"/>
              </w:rPr>
              <w:t xml:space="preserve">|   </w:t>
            </w:r>
            <w:r>
              <w:rPr>
                <w:rFonts w:ascii="Calibri" w:cs="Calibri" w:eastAsia="Calibri" w:hAnsi="Calibri"/>
                <w:sz w:val="15"/>
                <w:szCs w:val="15"/>
                <w:b w:val="1"/>
                <w:bCs w:val="1"/>
                <w:color w:val="FFFFFF"/>
              </w:rPr>
              <w:t>Earnings Release 1Q / 2023</w:t>
            </w:r>
          </w:p>
        </w:tc>
        <w:tc>
          <w:tcPr>
            <w:tcW w:w="6040" w:type="dxa"/>
            <w:vAlign w:val="bottom"/>
            <w:shd w:val="clear" w:color="auto" w:fill="000000"/>
          </w:tcPr>
          <w:p>
            <w:pPr>
              <w:ind w:left="3360"/>
              <w:spacing w:after="0"/>
              <w:rPr>
                <w:sz w:val="20"/>
                <w:szCs w:val="20"/>
                <w:color w:val="auto"/>
              </w:rPr>
            </w:pPr>
            <w:r>
              <w:rPr>
                <w:rFonts w:ascii="Calibri" w:cs="Calibri" w:eastAsia="Calibri" w:hAnsi="Calibri"/>
                <w:sz w:val="17"/>
                <w:szCs w:val="17"/>
                <w:b w:val="1"/>
                <w:bCs w:val="1"/>
                <w:color w:val="E93CAC"/>
                <w:w w:val="98"/>
              </w:rPr>
              <w:t>Analysis of 1Q23 Consolidated Results</w:t>
            </w:r>
          </w:p>
        </w:tc>
      </w:tr>
      <w:tr>
        <w:trPr>
          <w:trHeight w:val="251"/>
        </w:trPr>
        <w:tc>
          <w:tcPr>
            <w:tcW w:w="5220" w:type="dxa"/>
            <w:vAlign w:val="bottom"/>
            <w:shd w:val="clear" w:color="auto" w:fill="000000"/>
          </w:tcPr>
          <w:p>
            <w:pPr>
              <w:spacing w:after="0"/>
              <w:rPr>
                <w:sz w:val="21"/>
                <w:szCs w:val="21"/>
                <w:color w:val="auto"/>
              </w:rPr>
            </w:pPr>
          </w:p>
        </w:tc>
        <w:tc>
          <w:tcPr>
            <w:tcW w:w="6040" w:type="dxa"/>
            <w:vAlign w:val="bottom"/>
            <w:shd w:val="clear" w:color="auto" w:fill="000000"/>
          </w:tcPr>
          <w:p>
            <w:pPr>
              <w:spacing w:after="0"/>
              <w:rPr>
                <w:sz w:val="21"/>
                <w:szCs w:val="21"/>
                <w:color w:val="auto"/>
              </w:rPr>
            </w:pPr>
          </w:p>
        </w:tc>
      </w:tr>
      <w:tr>
        <w:trPr>
          <w:trHeight w:val="320"/>
        </w:trPr>
        <w:tc>
          <w:tcPr>
            <w:tcW w:w="5220" w:type="dxa"/>
            <w:vAlign w:val="bottom"/>
            <w:tcBorders>
              <w:bottom w:val="single" w:sz="8" w:color="E93CAC"/>
            </w:tcBorders>
            <w:shd w:val="clear" w:color="auto" w:fill="E93CAC"/>
          </w:tcPr>
          <w:p>
            <w:pPr>
              <w:ind w:left="40"/>
              <w:spacing w:after="0"/>
              <w:rPr>
                <w:sz w:val="20"/>
                <w:szCs w:val="20"/>
                <w:color w:val="auto"/>
              </w:rPr>
            </w:pPr>
            <w:r>
              <w:rPr>
                <w:rFonts w:ascii="Arial" w:cs="Arial" w:eastAsia="Arial" w:hAnsi="Arial"/>
                <w:sz w:val="18"/>
                <w:szCs w:val="18"/>
                <w:b w:val="1"/>
                <w:bCs w:val="1"/>
                <w:color w:val="FFFFFF"/>
              </w:rPr>
              <w:t>01. Loan Portfolio</w:t>
            </w:r>
          </w:p>
        </w:tc>
        <w:tc>
          <w:tcPr>
            <w:tcW w:w="6040" w:type="dxa"/>
            <w:vAlign w:val="bottom"/>
            <w:tcBorders>
              <w:bottom w:val="single" w:sz="8" w:color="E93CAC"/>
            </w:tcBorders>
            <w:shd w:val="clear" w:color="auto" w:fill="E93CAC"/>
          </w:tcPr>
          <w:p>
            <w:pPr>
              <w:spacing w:after="0"/>
              <w:rPr>
                <w:sz w:val="24"/>
                <w:szCs w:val="24"/>
                <w:color w:val="auto"/>
              </w:rPr>
            </w:pPr>
          </w:p>
        </w:tc>
      </w:tr>
      <w:tr>
        <w:trPr>
          <w:trHeight w:val="365"/>
        </w:trPr>
        <w:tc>
          <w:tcPr>
            <w:tcW w:w="5220" w:type="dxa"/>
            <w:vAlign w:val="bottom"/>
          </w:tcPr>
          <w:p>
            <w:pPr>
              <w:ind w:left="960"/>
              <w:spacing w:after="0"/>
              <w:rPr>
                <w:sz w:val="20"/>
                <w:szCs w:val="20"/>
                <w:color w:val="auto"/>
              </w:rPr>
            </w:pPr>
            <w:r>
              <w:rPr>
                <w:rFonts w:ascii="Calibri" w:cs="Calibri" w:eastAsia="Calibri" w:hAnsi="Calibri"/>
                <w:sz w:val="15"/>
                <w:szCs w:val="15"/>
                <w:b w:val="1"/>
                <w:bCs w:val="1"/>
                <w:color w:val="auto"/>
              </w:rPr>
              <w:t>Structural write-ofs</w:t>
            </w:r>
          </w:p>
        </w:tc>
        <w:tc>
          <w:tcPr>
            <w:tcW w:w="6040" w:type="dxa"/>
            <w:vAlign w:val="bottom"/>
          </w:tcPr>
          <w:p>
            <w:pPr>
              <w:ind w:left="620"/>
              <w:spacing w:after="0"/>
              <w:rPr>
                <w:sz w:val="20"/>
                <w:szCs w:val="20"/>
                <w:color w:val="auto"/>
              </w:rPr>
            </w:pPr>
            <w:r>
              <w:rPr>
                <w:rFonts w:ascii="Calibri" w:cs="Calibri" w:eastAsia="Calibri" w:hAnsi="Calibri"/>
                <w:sz w:val="15"/>
                <w:szCs w:val="15"/>
                <w:b w:val="1"/>
                <w:bCs w:val="1"/>
                <w:color w:val="auto"/>
              </w:rPr>
              <w:t>QoQ</w:t>
            </w:r>
            <w:r>
              <w:rPr>
                <w:rFonts w:ascii="Calibri" w:cs="Calibri" w:eastAsia="Calibri" w:hAnsi="Calibri"/>
                <w:sz w:val="15"/>
                <w:szCs w:val="15"/>
                <w:color w:val="auto"/>
              </w:rPr>
              <w:t>, structural loans fell -10.2%. This evoluton was atributable to the fact that</w:t>
            </w:r>
          </w:p>
        </w:tc>
      </w:tr>
      <w:tr>
        <w:trPr>
          <w:trHeight w:val="182"/>
        </w:trPr>
        <w:tc>
          <w:tcPr>
            <w:tcW w:w="5220" w:type="dxa"/>
            <w:vAlign w:val="bottom"/>
          </w:tcPr>
          <w:p>
            <w:pPr>
              <w:ind w:left="420"/>
              <w:spacing w:after="0" w:line="181" w:lineRule="exact"/>
              <w:rPr>
                <w:sz w:val="20"/>
                <w:szCs w:val="20"/>
                <w:color w:val="auto"/>
              </w:rPr>
            </w:pPr>
            <w:r>
              <w:rPr>
                <w:rFonts w:ascii="Calibri" w:cs="Calibri" w:eastAsia="Calibri" w:hAnsi="Calibri"/>
                <w:sz w:val="15"/>
                <w:szCs w:val="15"/>
                <w:color w:val="auto"/>
              </w:rPr>
              <w:t>(in quarter-end balances – S/ thousands)</w:t>
            </w:r>
          </w:p>
        </w:tc>
        <w:tc>
          <w:tcPr>
            <w:tcW w:w="6040" w:type="dxa"/>
            <w:vAlign w:val="bottom"/>
          </w:tcPr>
          <w:p>
            <w:pPr>
              <w:ind w:left="620"/>
              <w:spacing w:after="0" w:line="181" w:lineRule="exact"/>
              <w:rPr>
                <w:sz w:val="20"/>
                <w:szCs w:val="20"/>
                <w:color w:val="auto"/>
              </w:rPr>
            </w:pPr>
            <w:r>
              <w:rPr>
                <w:rFonts w:ascii="Calibri" w:cs="Calibri" w:eastAsia="Calibri" w:hAnsi="Calibri"/>
                <w:sz w:val="15"/>
                <w:szCs w:val="15"/>
                <w:color w:val="auto"/>
              </w:rPr>
              <w:t>regulatory restrictons that impeded taking charge-ofs on structural loans held by clients</w:t>
            </w:r>
          </w:p>
        </w:tc>
      </w:tr>
      <w:tr>
        <w:trPr>
          <w:trHeight w:val="182"/>
        </w:trPr>
        <w:tc>
          <w:tcPr>
            <w:tcW w:w="5220" w:type="dxa"/>
            <w:vAlign w:val="bottom"/>
          </w:tcPr>
          <w:p>
            <w:pPr>
              <w:spacing w:after="0"/>
              <w:rPr>
                <w:sz w:val="15"/>
                <w:szCs w:val="15"/>
                <w:color w:val="auto"/>
              </w:rPr>
            </w:pPr>
          </w:p>
        </w:tc>
        <w:tc>
          <w:tcPr>
            <w:tcW w:w="6040" w:type="dxa"/>
            <w:vAlign w:val="bottom"/>
          </w:tcPr>
          <w:p>
            <w:pPr>
              <w:ind w:left="620"/>
              <w:spacing w:after="0" w:line="181" w:lineRule="exact"/>
              <w:rPr>
                <w:sz w:val="20"/>
                <w:szCs w:val="20"/>
                <w:color w:val="auto"/>
              </w:rPr>
            </w:pPr>
            <w:r>
              <w:rPr>
                <w:rFonts w:ascii="Calibri" w:cs="Calibri" w:eastAsia="Calibri" w:hAnsi="Calibri"/>
                <w:sz w:val="15"/>
                <w:szCs w:val="15"/>
                <w:color w:val="auto"/>
              </w:rPr>
              <w:t>that also possess Reactva loans were lifed.  Consequently, the frst wave of charge-ofs</w:t>
            </w:r>
          </w:p>
        </w:tc>
      </w:tr>
      <w:tr>
        <w:trPr>
          <w:trHeight w:val="182"/>
        </w:trPr>
        <w:tc>
          <w:tcPr>
            <w:tcW w:w="5220" w:type="dxa"/>
            <w:vAlign w:val="bottom"/>
          </w:tcPr>
          <w:p>
            <w:pPr>
              <w:spacing w:after="0"/>
              <w:rPr>
                <w:sz w:val="15"/>
                <w:szCs w:val="15"/>
                <w:color w:val="auto"/>
              </w:rPr>
            </w:pPr>
          </w:p>
        </w:tc>
        <w:tc>
          <w:tcPr>
            <w:tcW w:w="6040" w:type="dxa"/>
            <w:vAlign w:val="bottom"/>
          </w:tcPr>
          <w:p>
            <w:pPr>
              <w:ind w:left="620"/>
              <w:spacing w:after="0" w:line="181" w:lineRule="exact"/>
              <w:rPr>
                <w:sz w:val="20"/>
                <w:szCs w:val="20"/>
                <w:color w:val="auto"/>
              </w:rPr>
            </w:pPr>
            <w:r>
              <w:rPr>
                <w:rFonts w:ascii="Calibri" w:cs="Calibri" w:eastAsia="Calibri" w:hAnsi="Calibri"/>
                <w:sz w:val="15"/>
                <w:szCs w:val="15"/>
                <w:color w:val="auto"/>
              </w:rPr>
              <w:t xml:space="preserve">was rolled out in the </w:t>
            </w:r>
            <w:r>
              <w:rPr>
                <w:rFonts w:ascii="Calibri" w:cs="Calibri" w:eastAsia="Calibri" w:hAnsi="Calibri"/>
                <w:sz w:val="15"/>
                <w:szCs w:val="15"/>
                <w:b w:val="1"/>
                <w:bCs w:val="1"/>
                <w:color w:val="auto"/>
              </w:rPr>
              <w:t>SME-Pyme</w:t>
            </w:r>
            <w:r>
              <w:rPr>
                <w:rFonts w:ascii="Calibri" w:cs="Calibri" w:eastAsia="Calibri" w:hAnsi="Calibri"/>
                <w:sz w:val="15"/>
                <w:szCs w:val="15"/>
                <w:color w:val="auto"/>
              </w:rPr>
              <w:t xml:space="preserve"> sector in 3Q22 and contnued through this quarter.</w:t>
            </w:r>
          </w:p>
        </w:tc>
      </w:tr>
      <w:tr>
        <w:trPr>
          <w:trHeight w:val="182"/>
        </w:trPr>
        <w:tc>
          <w:tcPr>
            <w:tcW w:w="5220" w:type="dxa"/>
            <w:vAlign w:val="bottom"/>
          </w:tcPr>
          <w:p>
            <w:pPr>
              <w:spacing w:after="0"/>
              <w:rPr>
                <w:sz w:val="15"/>
                <w:szCs w:val="15"/>
                <w:color w:val="auto"/>
              </w:rPr>
            </w:pPr>
          </w:p>
        </w:tc>
        <w:tc>
          <w:tcPr>
            <w:tcW w:w="6040" w:type="dxa"/>
            <w:vAlign w:val="bottom"/>
          </w:tcPr>
          <w:p>
            <w:pPr>
              <w:ind w:left="620"/>
              <w:spacing w:after="0" w:line="181" w:lineRule="exact"/>
              <w:rPr>
                <w:sz w:val="20"/>
                <w:szCs w:val="20"/>
                <w:color w:val="auto"/>
              </w:rPr>
            </w:pPr>
            <w:r>
              <w:rPr>
                <w:rFonts w:ascii="Calibri" w:cs="Calibri" w:eastAsia="Calibri" w:hAnsi="Calibri"/>
                <w:sz w:val="15"/>
                <w:szCs w:val="15"/>
                <w:color w:val="auto"/>
              </w:rPr>
              <w:t>Although charge-ofs in 4Q22 were lower than those registered last quarter, the level is</w:t>
            </w:r>
          </w:p>
        </w:tc>
      </w:tr>
      <w:tr>
        <w:trPr>
          <w:trHeight w:val="182"/>
        </w:trPr>
        <w:tc>
          <w:tcPr>
            <w:tcW w:w="5220" w:type="dxa"/>
            <w:vAlign w:val="bottom"/>
          </w:tcPr>
          <w:p>
            <w:pPr>
              <w:spacing w:after="0"/>
              <w:rPr>
                <w:sz w:val="15"/>
                <w:szCs w:val="15"/>
                <w:color w:val="auto"/>
              </w:rPr>
            </w:pPr>
          </w:p>
        </w:tc>
        <w:tc>
          <w:tcPr>
            <w:tcW w:w="6040" w:type="dxa"/>
            <w:vAlign w:val="bottom"/>
          </w:tcPr>
          <w:p>
            <w:pPr>
              <w:ind w:left="620"/>
              <w:spacing w:after="0" w:line="181" w:lineRule="exact"/>
              <w:rPr>
                <w:sz w:val="20"/>
                <w:szCs w:val="20"/>
                <w:color w:val="auto"/>
              </w:rPr>
            </w:pPr>
            <w:r>
              <w:rPr>
                <w:rFonts w:ascii="Calibri" w:cs="Calibri" w:eastAsia="Calibri" w:hAnsi="Calibri"/>
                <w:sz w:val="15"/>
                <w:szCs w:val="15"/>
                <w:color w:val="auto"/>
              </w:rPr>
              <w:t>high and is expected to remain so over coming quarters.</w:t>
            </w:r>
          </w:p>
        </w:tc>
      </w:tr>
      <w:tr>
        <w:trPr>
          <w:trHeight w:val="386"/>
        </w:trPr>
        <w:tc>
          <w:tcPr>
            <w:tcW w:w="5220" w:type="dxa"/>
            <w:vAlign w:val="bottom"/>
          </w:tcPr>
          <w:p>
            <w:pPr>
              <w:spacing w:after="0"/>
              <w:rPr>
                <w:sz w:val="24"/>
                <w:szCs w:val="24"/>
                <w:color w:val="auto"/>
              </w:rPr>
            </w:pPr>
          </w:p>
        </w:tc>
        <w:tc>
          <w:tcPr>
            <w:tcW w:w="6040" w:type="dxa"/>
            <w:vAlign w:val="bottom"/>
          </w:tcPr>
          <w:p>
            <w:pPr>
              <w:ind w:left="620"/>
              <w:spacing w:after="0"/>
              <w:rPr>
                <w:sz w:val="20"/>
                <w:szCs w:val="20"/>
                <w:color w:val="auto"/>
              </w:rPr>
            </w:pPr>
            <w:r>
              <w:rPr>
                <w:rFonts w:ascii="Calibri" w:cs="Calibri" w:eastAsia="Calibri" w:hAnsi="Calibri"/>
                <w:sz w:val="15"/>
                <w:szCs w:val="15"/>
                <w:b w:val="1"/>
                <w:bCs w:val="1"/>
                <w:color w:val="auto"/>
                <w:w w:val="99"/>
              </w:rPr>
              <w:t>YoY</w:t>
            </w:r>
            <w:r>
              <w:rPr>
                <w:rFonts w:ascii="Calibri" w:cs="Calibri" w:eastAsia="Calibri" w:hAnsi="Calibri"/>
                <w:sz w:val="15"/>
                <w:szCs w:val="15"/>
                <w:color w:val="auto"/>
                <w:w w:val="99"/>
              </w:rPr>
              <w:t>, growth in the NPL volume (+79.1%) was fueled by write-ofs in SME-Pyme, Consumer</w:t>
            </w:r>
          </w:p>
        </w:tc>
      </w:tr>
      <w:tr>
        <w:trPr>
          <w:trHeight w:val="182"/>
        </w:trPr>
        <w:tc>
          <w:tcPr>
            <w:tcW w:w="5220" w:type="dxa"/>
            <w:vAlign w:val="bottom"/>
          </w:tcPr>
          <w:p>
            <w:pPr>
              <w:spacing w:after="0"/>
              <w:rPr>
                <w:sz w:val="15"/>
                <w:szCs w:val="15"/>
                <w:color w:val="auto"/>
              </w:rPr>
            </w:pPr>
          </w:p>
        </w:tc>
        <w:tc>
          <w:tcPr>
            <w:tcW w:w="6040" w:type="dxa"/>
            <w:vAlign w:val="bottom"/>
          </w:tcPr>
          <w:p>
            <w:pPr>
              <w:ind w:left="620"/>
              <w:spacing w:after="0" w:line="181" w:lineRule="exact"/>
              <w:rPr>
                <w:sz w:val="20"/>
                <w:szCs w:val="20"/>
                <w:color w:val="auto"/>
              </w:rPr>
            </w:pPr>
            <w:r>
              <w:rPr>
                <w:rFonts w:ascii="Calibri" w:cs="Calibri" w:eastAsia="Calibri" w:hAnsi="Calibri"/>
                <w:sz w:val="15"/>
                <w:szCs w:val="15"/>
                <w:color w:val="auto"/>
                <w:w w:val="98"/>
              </w:rPr>
              <w:t>and Mibanco. Growth in NLP loans in SME-Pyme and Mibanco was primarily driven by the</w:t>
            </w:r>
          </w:p>
        </w:tc>
      </w:tr>
      <w:tr>
        <w:trPr>
          <w:trHeight w:val="182"/>
        </w:trPr>
        <w:tc>
          <w:tcPr>
            <w:tcW w:w="5220" w:type="dxa"/>
            <w:vAlign w:val="bottom"/>
          </w:tcPr>
          <w:p>
            <w:pPr>
              <w:spacing w:after="0"/>
              <w:rPr>
                <w:sz w:val="15"/>
                <w:szCs w:val="15"/>
                <w:color w:val="auto"/>
              </w:rPr>
            </w:pPr>
          </w:p>
        </w:tc>
        <w:tc>
          <w:tcPr>
            <w:tcW w:w="6040" w:type="dxa"/>
            <w:vAlign w:val="bottom"/>
          </w:tcPr>
          <w:p>
            <w:pPr>
              <w:ind w:left="620"/>
              <w:spacing w:after="0" w:line="181" w:lineRule="exact"/>
              <w:rPr>
                <w:sz w:val="20"/>
                <w:szCs w:val="20"/>
                <w:color w:val="auto"/>
              </w:rPr>
            </w:pPr>
            <w:r>
              <w:rPr>
                <w:rFonts w:ascii="Calibri" w:cs="Calibri" w:eastAsia="Calibri" w:hAnsi="Calibri"/>
                <w:sz w:val="15"/>
                <w:szCs w:val="15"/>
                <w:color w:val="auto"/>
              </w:rPr>
              <w:t>factors indicated above while the uptck in Consumer was atributable to write-ofs that</w:t>
            </w:r>
          </w:p>
        </w:tc>
      </w:tr>
      <w:tr>
        <w:trPr>
          <w:trHeight w:val="182"/>
        </w:trPr>
        <w:tc>
          <w:tcPr>
            <w:tcW w:w="5220" w:type="dxa"/>
            <w:vAlign w:val="bottom"/>
          </w:tcPr>
          <w:p>
            <w:pPr>
              <w:spacing w:after="0"/>
              <w:rPr>
                <w:sz w:val="15"/>
                <w:szCs w:val="15"/>
                <w:color w:val="auto"/>
              </w:rPr>
            </w:pPr>
          </w:p>
        </w:tc>
        <w:tc>
          <w:tcPr>
            <w:tcW w:w="6040" w:type="dxa"/>
            <w:vAlign w:val="bottom"/>
          </w:tcPr>
          <w:p>
            <w:pPr>
              <w:ind w:left="620"/>
              <w:spacing w:after="0" w:line="181" w:lineRule="exact"/>
              <w:rPr>
                <w:sz w:val="20"/>
                <w:szCs w:val="20"/>
                <w:color w:val="auto"/>
              </w:rPr>
            </w:pPr>
            <w:r>
              <w:rPr>
                <w:rFonts w:ascii="Calibri" w:cs="Calibri" w:eastAsia="Calibri" w:hAnsi="Calibri"/>
                <w:sz w:val="15"/>
                <w:szCs w:val="15"/>
                <w:color w:val="auto"/>
              </w:rPr>
              <w:t>had been postponed during the pandemic.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-1038225</wp:posOffset>
            </wp:positionV>
            <wp:extent cx="2334260" cy="1498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34260" cy="14986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-1938655</wp:posOffset>
            </wp:positionV>
            <wp:extent cx="908050" cy="1943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08050" cy="19431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80"/>
        <w:spacing w:after="0"/>
        <w:rPr>
          <w:sz w:val="20"/>
          <w:szCs w:val="20"/>
          <w:color w:val="auto"/>
        </w:rPr>
      </w:pPr>
      <w:r>
        <w:rPr>
          <w:rFonts w:ascii="Calibri" w:cs="Calibri" w:eastAsia="Calibri" w:hAnsi="Calibri"/>
          <w:sz w:val="14"/>
          <w:szCs w:val="14"/>
          <w:b w:val="1"/>
          <w:bCs w:val="1"/>
          <w:color w:val="auto"/>
        </w:rPr>
        <w:t>Coverage Rato of Structural NPL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18415</wp:posOffset>
            </wp:positionV>
            <wp:extent cx="2946400" cy="17722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46400" cy="1772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 xml:space="preserve">In the last few quarters, the coverage rato for structural NPL loans has presented an on-going reducton. This decline was primarily driven by </w:t>
      </w:r>
      <w:r>
        <w:rPr>
          <w:rFonts w:ascii="Calibri" w:cs="Calibri" w:eastAsia="Calibri" w:hAnsi="Calibri"/>
          <w:sz w:val="15"/>
          <w:szCs w:val="15"/>
          <w:b w:val="1"/>
          <w:bCs w:val="1"/>
          <w:color w:val="auto"/>
        </w:rPr>
        <w:t>Wholesale Banking</w:t>
      </w:r>
      <w:r>
        <w:rPr>
          <w:rFonts w:ascii="Calibri" w:cs="Calibri" w:eastAsia="Calibri" w:hAnsi="Calibri"/>
          <w:sz w:val="15"/>
          <w:szCs w:val="15"/>
          <w:color w:val="auto"/>
        </w:rPr>
        <w:t>, which experienced a signifcant uptck in structural loan volumes in 2022 and 1Q23 due to the impulse of refnanced loans. This growth was not accompanied by a commensurate increase in provisions given that these loans are backed by collateral levels that far exceed total debt.</w:t>
      </w:r>
    </w:p>
    <w:p>
      <w:pPr>
        <w:spacing w:after="0" w:line="200" w:lineRule="exact"/>
        <w:rPr>
          <w:sz w:val="20"/>
          <w:szCs w:val="20"/>
          <w:color w:val="auto"/>
        </w:rPr>
      </w:pPr>
    </w:p>
    <w:p>
      <w:pPr>
        <w:sectPr>
          <w:pgSz w:w="11900" w:h="16838" w:orient="portrait"/>
          <w:cols w:equalWidth="0" w:num="2">
            <w:col w:w="5120" w:space="720"/>
            <w:col w:w="5420"/>
          </w:cols>
          <w:pgMar w:left="320" w:top="1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60" w:type="dxa"/>
        <w:tblCellMar>
          <w:top w:w="0" w:type="dxa"/>
          <w:left w:w="0" w:type="dxa"/>
          <w:bottom w:w="0" w:type="dxa"/>
          <w:right w:w="0" w:type="dxa"/>
        </w:tblCellMar>
      </w:tblPr>
      <w:tr>
        <w:trPr>
          <w:trHeight w:val="183"/>
        </w:trPr>
        <w:tc>
          <w:tcPr>
            <w:tcW w:w="3780" w:type="dxa"/>
            <w:vAlign w:val="bottom"/>
          </w:tcPr>
          <w:p>
            <w:pPr>
              <w:ind w:left="320"/>
              <w:spacing w:after="0"/>
              <w:rPr>
                <w:sz w:val="20"/>
                <w:szCs w:val="20"/>
                <w:color w:val="auto"/>
              </w:rPr>
            </w:pPr>
            <w:r>
              <w:rPr>
                <w:rFonts w:ascii="Calibri" w:cs="Calibri" w:eastAsia="Calibri" w:hAnsi="Calibri"/>
                <w:sz w:val="15"/>
                <w:szCs w:val="15"/>
                <w:b w:val="1"/>
                <w:bCs w:val="1"/>
                <w:color w:val="auto"/>
              </w:rPr>
              <w:t>NPL loans in the Government Loan Portolio</w:t>
            </w:r>
          </w:p>
        </w:tc>
        <w:tc>
          <w:tcPr>
            <w:tcW w:w="6220" w:type="dxa"/>
            <w:vAlign w:val="bottom"/>
          </w:tcPr>
          <w:p>
            <w:pPr>
              <w:ind w:left="800"/>
              <w:spacing w:after="0"/>
              <w:rPr>
                <w:sz w:val="20"/>
                <w:szCs w:val="20"/>
                <w:color w:val="auto"/>
              </w:rPr>
            </w:pPr>
            <w:r>
              <w:rPr>
                <w:rFonts w:ascii="Calibri" w:cs="Calibri" w:eastAsia="Calibri" w:hAnsi="Calibri"/>
                <w:sz w:val="15"/>
                <w:szCs w:val="15"/>
                <w:b w:val="1"/>
                <w:bCs w:val="1"/>
                <w:color w:val="auto"/>
              </w:rPr>
              <w:t xml:space="preserve">QoQ, </w:t>
            </w:r>
            <w:r>
              <w:rPr>
                <w:rFonts w:ascii="Calibri" w:cs="Calibri" w:eastAsia="Calibri" w:hAnsi="Calibri"/>
                <w:sz w:val="15"/>
                <w:szCs w:val="15"/>
                <w:color w:val="auto"/>
              </w:rPr>
              <w:t>the volume of NPLs dropped due to growth in honoring processes for Reactva</w:t>
            </w:r>
          </w:p>
        </w:tc>
      </w:tr>
      <w:tr>
        <w:trPr>
          <w:trHeight w:val="186"/>
        </w:trPr>
        <w:tc>
          <w:tcPr>
            <w:tcW w:w="378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(in quarter-end balances– S/ thousands)</w:t>
            </w:r>
          </w:p>
        </w:tc>
        <w:tc>
          <w:tcPr>
            <w:tcW w:w="6220" w:type="dxa"/>
            <w:vAlign w:val="bottom"/>
          </w:tcPr>
          <w:p>
            <w:pPr>
              <w:ind w:left="800"/>
              <w:spacing w:after="0"/>
              <w:rPr>
                <w:sz w:val="20"/>
                <w:szCs w:val="20"/>
                <w:color w:val="auto"/>
              </w:rPr>
            </w:pPr>
            <w:r>
              <w:rPr>
                <w:rFonts w:ascii="Calibri" w:cs="Calibri" w:eastAsia="Calibri" w:hAnsi="Calibri"/>
                <w:sz w:val="15"/>
                <w:szCs w:val="15"/>
                <w:color w:val="auto"/>
                <w:w w:val="97"/>
              </w:rPr>
              <w:t>Loans. At the end of March 2023, a total of S/1,430 million was received for the concept of</w:t>
            </w:r>
          </w:p>
        </w:tc>
      </w:tr>
      <w:tr>
        <w:trPr>
          <w:trHeight w:val="179"/>
        </w:trPr>
        <w:tc>
          <w:tcPr>
            <w:tcW w:w="3780" w:type="dxa"/>
            <w:vAlign w:val="bottom"/>
          </w:tcPr>
          <w:p>
            <w:pPr>
              <w:spacing w:after="0"/>
              <w:rPr>
                <w:sz w:val="15"/>
                <w:szCs w:val="15"/>
                <w:color w:val="auto"/>
              </w:rPr>
            </w:pPr>
          </w:p>
        </w:tc>
        <w:tc>
          <w:tcPr>
            <w:tcW w:w="6220" w:type="dxa"/>
            <w:vAlign w:val="bottom"/>
          </w:tcPr>
          <w:p>
            <w:pPr>
              <w:ind w:left="800"/>
              <w:spacing w:after="0" w:line="180" w:lineRule="exact"/>
              <w:rPr>
                <w:sz w:val="20"/>
                <w:szCs w:val="20"/>
                <w:color w:val="auto"/>
              </w:rPr>
            </w:pPr>
            <w:r>
              <w:rPr>
                <w:rFonts w:ascii="Calibri" w:cs="Calibri" w:eastAsia="Calibri" w:hAnsi="Calibri"/>
                <w:sz w:val="15"/>
                <w:szCs w:val="15"/>
                <w:color w:val="auto"/>
              </w:rPr>
              <w:t>state guarantees.</w:t>
            </w:r>
          </w:p>
        </w:tc>
      </w:tr>
      <w:tr>
        <w:trPr>
          <w:trHeight w:val="386"/>
        </w:trPr>
        <w:tc>
          <w:tcPr>
            <w:tcW w:w="3780" w:type="dxa"/>
            <w:vAlign w:val="bottom"/>
          </w:tcPr>
          <w:p>
            <w:pPr>
              <w:spacing w:after="0"/>
              <w:rPr>
                <w:sz w:val="24"/>
                <w:szCs w:val="24"/>
                <w:color w:val="auto"/>
              </w:rPr>
            </w:pPr>
          </w:p>
        </w:tc>
        <w:tc>
          <w:tcPr>
            <w:tcW w:w="6220" w:type="dxa"/>
            <w:vAlign w:val="bottom"/>
          </w:tcPr>
          <w:p>
            <w:pPr>
              <w:ind w:left="800"/>
              <w:spacing w:after="0"/>
              <w:rPr>
                <w:sz w:val="20"/>
                <w:szCs w:val="20"/>
                <w:color w:val="auto"/>
              </w:rPr>
            </w:pPr>
            <w:r>
              <w:rPr>
                <w:rFonts w:ascii="Calibri" w:cs="Calibri" w:eastAsia="Calibri" w:hAnsi="Calibri"/>
                <w:sz w:val="15"/>
                <w:szCs w:val="15"/>
                <w:color w:val="auto"/>
              </w:rPr>
              <w:t>To execute these guarantees, loans must present delinquency for more than 90 days.</w:t>
            </w:r>
          </w:p>
        </w:tc>
      </w:tr>
      <w:tr>
        <w:trPr>
          <w:trHeight w:val="182"/>
        </w:trPr>
        <w:tc>
          <w:tcPr>
            <w:tcW w:w="3780" w:type="dxa"/>
            <w:vAlign w:val="bottom"/>
          </w:tcPr>
          <w:p>
            <w:pPr>
              <w:spacing w:after="0"/>
              <w:rPr>
                <w:sz w:val="15"/>
                <w:szCs w:val="15"/>
                <w:color w:val="auto"/>
              </w:rPr>
            </w:pPr>
          </w:p>
        </w:tc>
        <w:tc>
          <w:tcPr>
            <w:tcW w:w="6220" w:type="dxa"/>
            <w:vAlign w:val="bottom"/>
          </w:tcPr>
          <w:p>
            <w:pPr>
              <w:ind w:left="800"/>
              <w:spacing w:after="0" w:line="181" w:lineRule="exact"/>
              <w:rPr>
                <w:sz w:val="20"/>
                <w:szCs w:val="20"/>
                <w:color w:val="auto"/>
              </w:rPr>
            </w:pPr>
            <w:r>
              <w:rPr>
                <w:rFonts w:ascii="Calibri" w:cs="Calibri" w:eastAsia="Calibri" w:hAnsi="Calibri"/>
                <w:sz w:val="15"/>
                <w:szCs w:val="15"/>
                <w:color w:val="auto"/>
              </w:rPr>
              <w:t>Average guarantee levels stand at 84%, 91% and 97% for Wholesale Banking, Retail</w:t>
            </w:r>
          </w:p>
        </w:tc>
      </w:tr>
      <w:tr>
        <w:trPr>
          <w:trHeight w:val="182"/>
        </w:trPr>
        <w:tc>
          <w:tcPr>
            <w:tcW w:w="3780" w:type="dxa"/>
            <w:vAlign w:val="bottom"/>
          </w:tcPr>
          <w:p>
            <w:pPr>
              <w:spacing w:after="0"/>
              <w:rPr>
                <w:sz w:val="15"/>
                <w:szCs w:val="15"/>
                <w:color w:val="auto"/>
              </w:rPr>
            </w:pPr>
          </w:p>
        </w:tc>
        <w:tc>
          <w:tcPr>
            <w:tcW w:w="6220" w:type="dxa"/>
            <w:vAlign w:val="bottom"/>
          </w:tcPr>
          <w:p>
            <w:pPr>
              <w:ind w:left="800"/>
              <w:spacing w:after="0" w:line="181" w:lineRule="exact"/>
              <w:rPr>
                <w:sz w:val="20"/>
                <w:szCs w:val="20"/>
                <w:color w:val="auto"/>
              </w:rPr>
            </w:pPr>
            <w:r>
              <w:rPr>
                <w:rFonts w:ascii="Calibri" w:cs="Calibri" w:eastAsia="Calibri" w:hAnsi="Calibri"/>
                <w:sz w:val="15"/>
                <w:szCs w:val="15"/>
                <w:color w:val="auto"/>
              </w:rPr>
              <w:t>Banking and Mibanco respectvely.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-562610</wp:posOffset>
            </wp:positionV>
            <wp:extent cx="2766695" cy="16497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66695" cy="164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type w:val="continuous"/>
        </w:sectPr>
      </w:pPr>
    </w:p>
    <w:bookmarkStart w:id="23" w:name="page24"/>
    <w:bookmarkEnd w:id="23"/>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7153910" cy="215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910" cy="215900"/>
                    </a:xfrm>
                    <a:prstGeom prst="rect">
                      <a:avLst/>
                    </a:prstGeom>
                    <a:noFill/>
                  </pic:spPr>
                </pic:pic>
              </a:graphicData>
            </a:graphic>
          </wp:anchor>
        </w:drawing>
      </w:r>
    </w:p>
    <w:p>
      <w:pPr>
        <w:spacing w:after="0" w:line="292" w:lineRule="exact"/>
        <w:rPr>
          <w:sz w:val="20"/>
          <w:szCs w:val="20"/>
          <w:color w:val="auto"/>
        </w:rPr>
      </w:pPr>
    </w:p>
    <w:p>
      <w:pPr>
        <w:ind w:left="49"/>
        <w:spacing w:after="0"/>
        <w:rPr>
          <w:sz w:val="20"/>
          <w:szCs w:val="20"/>
          <w:color w:val="auto"/>
        </w:rPr>
      </w:pPr>
      <w:r>
        <w:rPr>
          <w:rFonts w:ascii="Arial" w:cs="Arial" w:eastAsia="Arial" w:hAnsi="Arial"/>
          <w:sz w:val="18"/>
          <w:szCs w:val="18"/>
          <w:b w:val="1"/>
          <w:bCs w:val="1"/>
          <w:color w:val="FFFFFF"/>
        </w:rPr>
        <w:t>01. Loan Portfolio</w:t>
      </w:r>
    </w:p>
    <w:p>
      <w:pPr>
        <w:spacing w:after="0" w:line="271" w:lineRule="exact"/>
        <w:rPr>
          <w:sz w:val="20"/>
          <w:szCs w:val="20"/>
          <w:color w:val="auto"/>
        </w:rPr>
      </w:pPr>
    </w:p>
    <w:p>
      <w:pPr>
        <w:jc w:val="center"/>
        <w:ind w:right="-8"/>
        <w:spacing w:after="0"/>
        <w:rPr>
          <w:sz w:val="20"/>
          <w:szCs w:val="20"/>
          <w:color w:val="auto"/>
        </w:rPr>
      </w:pPr>
      <w:r>
        <w:rPr>
          <w:rFonts w:ascii="Calibri" w:cs="Calibri" w:eastAsia="Calibri" w:hAnsi="Calibri"/>
          <w:sz w:val="15"/>
          <w:szCs w:val="15"/>
          <w:b w:val="1"/>
          <w:bCs w:val="1"/>
          <w:color w:val="auto"/>
        </w:rPr>
        <w:t>Quality of the Total Portolio (in quarter-end balances)</w:t>
      </w:r>
    </w:p>
    <w:p>
      <w:pPr>
        <w:spacing w:after="0" w:line="1" w:lineRule="exact"/>
        <w:rPr>
          <w:sz w:val="20"/>
          <w:szCs w:val="20"/>
          <w:color w:val="auto"/>
        </w:rPr>
      </w:pPr>
    </w:p>
    <w:tbl>
      <w:tblPr>
        <w:tblLayout w:type="fixed"/>
        <w:tblInd w:w="19" w:type="dxa"/>
        <w:tblCellMar>
          <w:top w:w="0" w:type="dxa"/>
          <w:left w:w="0" w:type="dxa"/>
          <w:bottom w:w="0" w:type="dxa"/>
          <w:right w:w="0" w:type="dxa"/>
        </w:tblCellMar>
      </w:tblPr>
      <w:tr>
        <w:trPr>
          <w:trHeight w:val="167"/>
        </w:trPr>
        <w:tc>
          <w:tcPr>
            <w:tcW w:w="520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2"/>
                <w:szCs w:val="12"/>
                <w:b w:val="1"/>
                <w:bCs w:val="1"/>
                <w:color w:val="FFFFFF"/>
              </w:rPr>
              <w:t>Loan Portolio Quality and Delinquency Ratos</w:t>
            </w:r>
          </w:p>
        </w:tc>
        <w:tc>
          <w:tcPr>
            <w:tcW w:w="1580" w:type="dxa"/>
            <w:vAlign w:val="bottom"/>
            <w:tcBorders>
              <w:top w:val="single" w:sz="8" w:color="auto"/>
            </w:tcBorders>
            <w:shd w:val="clear" w:color="auto" w:fill="2AD2C9"/>
          </w:tcPr>
          <w:p>
            <w:pPr>
              <w:spacing w:after="0"/>
              <w:rPr>
                <w:sz w:val="14"/>
                <w:szCs w:val="14"/>
                <w:color w:val="auto"/>
              </w:rPr>
            </w:pPr>
          </w:p>
        </w:tc>
        <w:tc>
          <w:tcPr>
            <w:tcW w:w="1320" w:type="dxa"/>
            <w:vAlign w:val="bottom"/>
            <w:tcBorders>
              <w:top w:val="single" w:sz="8" w:color="auto"/>
            </w:tcBorders>
            <w:shd w:val="clear" w:color="auto" w:fill="2AD2C9"/>
          </w:tcPr>
          <w:p>
            <w:pPr>
              <w:jc w:val="right"/>
              <w:ind w:right="720"/>
              <w:spacing w:after="0"/>
              <w:rPr>
                <w:sz w:val="20"/>
                <w:szCs w:val="20"/>
                <w:color w:val="auto"/>
              </w:rPr>
            </w:pPr>
            <w:r>
              <w:rPr>
                <w:rFonts w:ascii="Calibri" w:cs="Calibri" w:eastAsia="Calibri" w:hAnsi="Calibri"/>
                <w:sz w:val="12"/>
                <w:szCs w:val="12"/>
                <w:b w:val="1"/>
                <w:bCs w:val="1"/>
                <w:color w:val="FFFFFF"/>
              </w:rPr>
              <w:t>As of</w:t>
            </w:r>
          </w:p>
        </w:tc>
        <w:tc>
          <w:tcPr>
            <w:tcW w:w="1120" w:type="dxa"/>
            <w:vAlign w:val="bottom"/>
            <w:tcBorders>
              <w:top w:val="single" w:sz="8" w:color="auto"/>
              <w:right w:val="single" w:sz="8" w:color="auto"/>
            </w:tcBorders>
            <w:shd w:val="clear" w:color="auto" w:fill="2AD2C9"/>
          </w:tcPr>
          <w:p>
            <w:pPr>
              <w:spacing w:after="0"/>
              <w:rPr>
                <w:sz w:val="14"/>
                <w:szCs w:val="14"/>
                <w:color w:val="auto"/>
              </w:rPr>
            </w:pPr>
          </w:p>
        </w:tc>
        <w:tc>
          <w:tcPr>
            <w:tcW w:w="740" w:type="dxa"/>
            <w:vAlign w:val="bottom"/>
            <w:tcBorders>
              <w:top w:val="single" w:sz="8" w:color="auto"/>
            </w:tcBorders>
            <w:shd w:val="clear" w:color="auto" w:fill="2AD2C9"/>
          </w:tcPr>
          <w:p>
            <w:pPr>
              <w:spacing w:after="0"/>
              <w:rPr>
                <w:sz w:val="14"/>
                <w:szCs w:val="14"/>
                <w:color w:val="auto"/>
              </w:rPr>
            </w:pPr>
          </w:p>
        </w:tc>
        <w:tc>
          <w:tcPr>
            <w:tcW w:w="1300" w:type="dxa"/>
            <w:vAlign w:val="bottom"/>
            <w:tcBorders>
              <w:top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2"/>
                <w:szCs w:val="12"/>
                <w:b w:val="1"/>
                <w:bCs w:val="1"/>
                <w:color w:val="FFFFFF"/>
              </w:rPr>
              <w:t>% change</w:t>
            </w:r>
          </w:p>
        </w:tc>
      </w:tr>
      <w:tr>
        <w:trPr>
          <w:trHeight w:val="203"/>
        </w:trPr>
        <w:tc>
          <w:tcPr>
            <w:tcW w:w="5200" w:type="dxa"/>
            <w:vAlign w:val="bottom"/>
            <w:tcBorders>
              <w:left w:val="single" w:sz="8" w:color="auto"/>
              <w:bottom w:val="single" w:sz="8" w:color="2AD2C9"/>
              <w:right w:val="single" w:sz="8" w:color="auto"/>
            </w:tcBorders>
            <w:shd w:val="clear" w:color="auto" w:fill="2AD2C9"/>
          </w:tcPr>
          <w:p>
            <w:pPr>
              <w:ind w:left="20"/>
              <w:spacing w:after="0"/>
              <w:rPr>
                <w:sz w:val="20"/>
                <w:szCs w:val="20"/>
                <w:color w:val="auto"/>
              </w:rPr>
            </w:pPr>
            <w:r>
              <w:rPr>
                <w:rFonts w:ascii="Calibri" w:cs="Calibri" w:eastAsia="Calibri" w:hAnsi="Calibri"/>
                <w:sz w:val="12"/>
                <w:szCs w:val="12"/>
                <w:b w:val="1"/>
                <w:bCs w:val="1"/>
                <w:color w:val="FFFFFF"/>
              </w:rPr>
              <w:t>S/ 000</w:t>
            </w:r>
          </w:p>
        </w:tc>
        <w:tc>
          <w:tcPr>
            <w:tcW w:w="1580" w:type="dxa"/>
            <w:vAlign w:val="bottom"/>
            <w:tcBorders>
              <w:bottom w:val="single" w:sz="8" w:color="2AD2C9"/>
            </w:tcBorders>
            <w:shd w:val="clear" w:color="auto" w:fill="2AD2C9"/>
          </w:tcPr>
          <w:p>
            <w:pPr>
              <w:jc w:val="right"/>
              <w:ind w:right="680"/>
              <w:spacing w:after="0"/>
              <w:rPr>
                <w:sz w:val="20"/>
                <w:szCs w:val="20"/>
                <w:color w:val="auto"/>
              </w:rPr>
            </w:pPr>
            <w:r>
              <w:rPr>
                <w:rFonts w:ascii="Calibri" w:cs="Calibri" w:eastAsia="Calibri" w:hAnsi="Calibri"/>
                <w:sz w:val="12"/>
                <w:szCs w:val="12"/>
                <w:b w:val="1"/>
                <w:bCs w:val="1"/>
                <w:color w:val="FFFFFF"/>
              </w:rPr>
              <w:t>Mar 22</w:t>
            </w:r>
          </w:p>
        </w:tc>
        <w:tc>
          <w:tcPr>
            <w:tcW w:w="1320" w:type="dxa"/>
            <w:vAlign w:val="bottom"/>
            <w:tcBorders>
              <w:bottom w:val="single" w:sz="8" w:color="2AD2C9"/>
            </w:tcBorders>
            <w:shd w:val="clear" w:color="auto" w:fill="2AD2C9"/>
          </w:tcPr>
          <w:p>
            <w:pPr>
              <w:jc w:val="right"/>
              <w:ind w:right="680"/>
              <w:spacing w:after="0"/>
              <w:rPr>
                <w:sz w:val="20"/>
                <w:szCs w:val="20"/>
                <w:color w:val="auto"/>
              </w:rPr>
            </w:pPr>
            <w:r>
              <w:rPr>
                <w:rFonts w:ascii="Calibri" w:cs="Calibri" w:eastAsia="Calibri" w:hAnsi="Calibri"/>
                <w:sz w:val="12"/>
                <w:szCs w:val="12"/>
                <w:b w:val="1"/>
                <w:bCs w:val="1"/>
                <w:color w:val="FFFFFF"/>
              </w:rPr>
              <w:t>Dec 22</w:t>
            </w:r>
          </w:p>
        </w:tc>
        <w:tc>
          <w:tcPr>
            <w:tcW w:w="1120" w:type="dxa"/>
            <w:vAlign w:val="bottom"/>
            <w:tcBorders>
              <w:bottom w:val="single" w:sz="8" w:color="2AD2C9"/>
              <w:right w:val="single" w:sz="8" w:color="auto"/>
            </w:tcBorders>
            <w:shd w:val="clear" w:color="auto" w:fill="2AD2C9"/>
          </w:tcPr>
          <w:p>
            <w:pPr>
              <w:jc w:val="right"/>
              <w:ind w:right="460"/>
              <w:spacing w:after="0"/>
              <w:rPr>
                <w:sz w:val="20"/>
                <w:szCs w:val="20"/>
                <w:color w:val="auto"/>
              </w:rPr>
            </w:pPr>
            <w:r>
              <w:rPr>
                <w:rFonts w:ascii="Calibri" w:cs="Calibri" w:eastAsia="Calibri" w:hAnsi="Calibri"/>
                <w:sz w:val="12"/>
                <w:szCs w:val="12"/>
                <w:b w:val="1"/>
                <w:bCs w:val="1"/>
                <w:color w:val="FFFFFF"/>
              </w:rPr>
              <w:t>Mar 23</w:t>
            </w:r>
          </w:p>
        </w:tc>
        <w:tc>
          <w:tcPr>
            <w:tcW w:w="740" w:type="dxa"/>
            <w:vAlign w:val="bottom"/>
            <w:tcBorders>
              <w:bottom w:val="single" w:sz="8" w:color="2AD2C9"/>
            </w:tcBorders>
            <w:shd w:val="clear" w:color="auto" w:fill="2AD2C9"/>
          </w:tcPr>
          <w:p>
            <w:pPr>
              <w:jc w:val="center"/>
              <w:ind w:left="200"/>
              <w:spacing w:after="0"/>
              <w:rPr>
                <w:sz w:val="20"/>
                <w:szCs w:val="20"/>
                <w:color w:val="auto"/>
              </w:rPr>
            </w:pPr>
            <w:r>
              <w:rPr>
                <w:rFonts w:ascii="Calibri" w:cs="Calibri" w:eastAsia="Calibri" w:hAnsi="Calibri"/>
                <w:sz w:val="12"/>
                <w:szCs w:val="12"/>
                <w:b w:val="1"/>
                <w:bCs w:val="1"/>
                <w:color w:val="FFFFFF"/>
              </w:rPr>
              <w:t>QoQ</w:t>
            </w:r>
          </w:p>
        </w:tc>
        <w:tc>
          <w:tcPr>
            <w:tcW w:w="1300" w:type="dxa"/>
            <w:vAlign w:val="bottom"/>
            <w:tcBorders>
              <w:bottom w:val="single" w:sz="8" w:color="2AD2C9"/>
              <w:right w:val="single" w:sz="8" w:color="auto"/>
            </w:tcBorders>
            <w:shd w:val="clear" w:color="auto" w:fill="2AD2C9"/>
          </w:tcPr>
          <w:p>
            <w:pPr>
              <w:jc w:val="center"/>
              <w:ind w:left="180"/>
              <w:spacing w:after="0"/>
              <w:rPr>
                <w:sz w:val="20"/>
                <w:szCs w:val="20"/>
                <w:color w:val="auto"/>
              </w:rPr>
            </w:pPr>
            <w:r>
              <w:rPr>
                <w:rFonts w:ascii="Calibri" w:cs="Calibri" w:eastAsia="Calibri" w:hAnsi="Calibri"/>
                <w:sz w:val="12"/>
                <w:szCs w:val="12"/>
                <w:b w:val="1"/>
                <w:bCs w:val="1"/>
                <w:color w:val="FFFFFF"/>
                <w:w w:val="94"/>
              </w:rPr>
              <w:t>YoY</w:t>
            </w:r>
          </w:p>
        </w:tc>
      </w:tr>
      <w:tr>
        <w:trPr>
          <w:trHeight w:val="145"/>
        </w:trPr>
        <w:tc>
          <w:tcPr>
            <w:tcW w:w="5200" w:type="dxa"/>
            <w:vAlign w:val="bottom"/>
            <w:tcBorders>
              <w:top w:val="single" w:sz="8" w:color="auto"/>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b w:val="1"/>
                <w:bCs w:val="1"/>
                <w:color w:val="auto"/>
              </w:rPr>
              <w:t>Total loans (Quarter-end balance)</w:t>
            </w:r>
          </w:p>
        </w:tc>
        <w:tc>
          <w:tcPr>
            <w:tcW w:w="1580" w:type="dxa"/>
            <w:vAlign w:val="bottom"/>
            <w:tcBorders>
              <w:top w:val="single" w:sz="8" w:color="auto"/>
            </w:tcBorders>
          </w:tcPr>
          <w:p>
            <w:pPr>
              <w:jc w:val="right"/>
              <w:ind w:right="200"/>
              <w:spacing w:after="0" w:line="145" w:lineRule="exact"/>
              <w:rPr>
                <w:sz w:val="20"/>
                <w:szCs w:val="20"/>
                <w:color w:val="auto"/>
              </w:rPr>
            </w:pPr>
            <w:r>
              <w:rPr>
                <w:rFonts w:ascii="Calibri" w:cs="Calibri" w:eastAsia="Calibri" w:hAnsi="Calibri"/>
                <w:sz w:val="12"/>
                <w:szCs w:val="12"/>
                <w:b w:val="1"/>
                <w:bCs w:val="1"/>
                <w:color w:val="auto"/>
              </w:rPr>
              <w:t>144,621,513</w:t>
            </w:r>
          </w:p>
        </w:tc>
        <w:tc>
          <w:tcPr>
            <w:tcW w:w="1320" w:type="dxa"/>
            <w:vAlign w:val="bottom"/>
            <w:tcBorders>
              <w:top w:val="single" w:sz="8" w:color="auto"/>
            </w:tcBorders>
          </w:tcPr>
          <w:p>
            <w:pPr>
              <w:jc w:val="right"/>
              <w:ind w:right="180"/>
              <w:spacing w:after="0" w:line="145" w:lineRule="exact"/>
              <w:rPr>
                <w:sz w:val="20"/>
                <w:szCs w:val="20"/>
                <w:color w:val="auto"/>
              </w:rPr>
            </w:pPr>
            <w:r>
              <w:rPr>
                <w:rFonts w:ascii="Calibri" w:cs="Calibri" w:eastAsia="Calibri" w:hAnsi="Calibri"/>
                <w:sz w:val="12"/>
                <w:szCs w:val="12"/>
                <w:b w:val="1"/>
                <w:bCs w:val="1"/>
                <w:color w:val="auto"/>
              </w:rPr>
              <w:t>148,626,374</w:t>
            </w:r>
          </w:p>
        </w:tc>
        <w:tc>
          <w:tcPr>
            <w:tcW w:w="1120" w:type="dxa"/>
            <w:vAlign w:val="bottom"/>
            <w:tcBorders>
              <w:top w:val="single" w:sz="8" w:color="auto"/>
              <w:right w:val="single" w:sz="8" w:color="auto"/>
            </w:tcBorders>
          </w:tcPr>
          <w:p>
            <w:pPr>
              <w:jc w:val="right"/>
              <w:spacing w:after="0" w:line="145" w:lineRule="exact"/>
              <w:rPr>
                <w:sz w:val="20"/>
                <w:szCs w:val="20"/>
                <w:color w:val="auto"/>
              </w:rPr>
            </w:pPr>
            <w:r>
              <w:rPr>
                <w:rFonts w:ascii="Calibri" w:cs="Calibri" w:eastAsia="Calibri" w:hAnsi="Calibri"/>
                <w:sz w:val="12"/>
                <w:szCs w:val="12"/>
                <w:b w:val="1"/>
                <w:bCs w:val="1"/>
                <w:color w:val="auto"/>
              </w:rPr>
              <w:t>145,165,713</w:t>
            </w:r>
          </w:p>
        </w:tc>
        <w:tc>
          <w:tcPr>
            <w:tcW w:w="740" w:type="dxa"/>
            <w:vAlign w:val="bottom"/>
            <w:tcBorders>
              <w:top w:val="single" w:sz="8" w:color="auto"/>
            </w:tcBorders>
          </w:tcPr>
          <w:p>
            <w:pPr>
              <w:jc w:val="center"/>
              <w:ind w:left="200"/>
              <w:spacing w:after="0" w:line="145" w:lineRule="exact"/>
              <w:rPr>
                <w:sz w:val="20"/>
                <w:szCs w:val="20"/>
                <w:color w:val="auto"/>
              </w:rPr>
            </w:pPr>
            <w:r>
              <w:rPr>
                <w:rFonts w:ascii="Calibri" w:cs="Calibri" w:eastAsia="Calibri" w:hAnsi="Calibri"/>
                <w:sz w:val="12"/>
                <w:szCs w:val="12"/>
                <w:b w:val="1"/>
                <w:bCs w:val="1"/>
                <w:color w:val="auto"/>
              </w:rPr>
              <w:t>-2.3%</w:t>
            </w:r>
          </w:p>
        </w:tc>
        <w:tc>
          <w:tcPr>
            <w:tcW w:w="1300" w:type="dxa"/>
            <w:vAlign w:val="bottom"/>
            <w:tcBorders>
              <w:top w:val="single" w:sz="8" w:color="auto"/>
              <w:right w:val="single" w:sz="8" w:color="auto"/>
            </w:tcBorders>
          </w:tcPr>
          <w:p>
            <w:pPr>
              <w:jc w:val="center"/>
              <w:ind w:left="180"/>
              <w:spacing w:after="0" w:line="145" w:lineRule="exact"/>
              <w:rPr>
                <w:sz w:val="20"/>
                <w:szCs w:val="20"/>
                <w:color w:val="auto"/>
              </w:rPr>
            </w:pPr>
            <w:r>
              <w:rPr>
                <w:rFonts w:ascii="Calibri" w:cs="Calibri" w:eastAsia="Calibri" w:hAnsi="Calibri"/>
                <w:sz w:val="12"/>
                <w:szCs w:val="12"/>
                <w:b w:val="1"/>
                <w:bCs w:val="1"/>
                <w:color w:val="auto"/>
              </w:rPr>
              <w:t>0.4%</w:t>
            </w:r>
          </w:p>
        </w:tc>
      </w:tr>
      <w:tr>
        <w:trPr>
          <w:trHeight w:val="28"/>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145"/>
        </w:trPr>
        <w:tc>
          <w:tcPr>
            <w:tcW w:w="520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Allowance for loan losses</w:t>
            </w:r>
          </w:p>
        </w:tc>
        <w:tc>
          <w:tcPr>
            <w:tcW w:w="1580" w:type="dxa"/>
            <w:vAlign w:val="bottom"/>
          </w:tcPr>
          <w:p>
            <w:pPr>
              <w:jc w:val="right"/>
              <w:ind w:right="200"/>
              <w:spacing w:after="0" w:line="145" w:lineRule="exact"/>
              <w:rPr>
                <w:sz w:val="20"/>
                <w:szCs w:val="20"/>
                <w:color w:val="auto"/>
              </w:rPr>
            </w:pPr>
            <w:r>
              <w:rPr>
                <w:rFonts w:ascii="Calibri" w:cs="Calibri" w:eastAsia="Calibri" w:hAnsi="Calibri"/>
                <w:sz w:val="12"/>
                <w:szCs w:val="12"/>
                <w:color w:val="auto"/>
              </w:rPr>
              <w:t>8,262,383</w:t>
            </w:r>
          </w:p>
        </w:tc>
        <w:tc>
          <w:tcPr>
            <w:tcW w:w="1320" w:type="dxa"/>
            <w:vAlign w:val="bottom"/>
          </w:tcPr>
          <w:p>
            <w:pPr>
              <w:jc w:val="right"/>
              <w:ind w:right="180"/>
              <w:spacing w:after="0" w:line="145" w:lineRule="exact"/>
              <w:rPr>
                <w:sz w:val="20"/>
                <w:szCs w:val="20"/>
                <w:color w:val="auto"/>
              </w:rPr>
            </w:pPr>
            <w:r>
              <w:rPr>
                <w:rFonts w:ascii="Calibri" w:cs="Calibri" w:eastAsia="Calibri" w:hAnsi="Calibri"/>
                <w:sz w:val="12"/>
                <w:szCs w:val="12"/>
                <w:color w:val="auto"/>
              </w:rPr>
              <w:t>7,872,402</w:t>
            </w:r>
          </w:p>
        </w:tc>
        <w:tc>
          <w:tcPr>
            <w:tcW w:w="1120" w:type="dxa"/>
            <w:vAlign w:val="bottom"/>
            <w:tcBorders>
              <w:right w:val="single" w:sz="8" w:color="auto"/>
            </w:tcBorders>
          </w:tcPr>
          <w:p>
            <w:pPr>
              <w:jc w:val="right"/>
              <w:spacing w:after="0" w:line="145" w:lineRule="exact"/>
              <w:rPr>
                <w:sz w:val="20"/>
                <w:szCs w:val="20"/>
                <w:color w:val="auto"/>
              </w:rPr>
            </w:pPr>
            <w:r>
              <w:rPr>
                <w:rFonts w:ascii="Calibri" w:cs="Calibri" w:eastAsia="Calibri" w:hAnsi="Calibri"/>
                <w:sz w:val="12"/>
                <w:szCs w:val="12"/>
                <w:color w:val="auto"/>
              </w:rPr>
              <w:t>7,915,350</w:t>
            </w:r>
          </w:p>
        </w:tc>
        <w:tc>
          <w:tcPr>
            <w:tcW w:w="740" w:type="dxa"/>
            <w:vAlign w:val="bottom"/>
          </w:tcPr>
          <w:p>
            <w:pPr>
              <w:jc w:val="center"/>
              <w:ind w:left="200"/>
              <w:spacing w:after="0" w:line="145" w:lineRule="exact"/>
              <w:rPr>
                <w:sz w:val="20"/>
                <w:szCs w:val="20"/>
                <w:color w:val="auto"/>
              </w:rPr>
            </w:pPr>
            <w:r>
              <w:rPr>
                <w:rFonts w:ascii="Calibri" w:cs="Calibri" w:eastAsia="Calibri" w:hAnsi="Calibri"/>
                <w:sz w:val="12"/>
                <w:szCs w:val="12"/>
                <w:color w:val="auto"/>
              </w:rPr>
              <w:t>0.5%</w:t>
            </w:r>
          </w:p>
        </w:tc>
        <w:tc>
          <w:tcPr>
            <w:tcW w:w="1300" w:type="dxa"/>
            <w:vAlign w:val="bottom"/>
            <w:tcBorders>
              <w:right w:val="single" w:sz="8" w:color="auto"/>
            </w:tcBorders>
          </w:tcPr>
          <w:p>
            <w:pPr>
              <w:jc w:val="center"/>
              <w:ind w:left="180"/>
              <w:spacing w:after="0" w:line="145" w:lineRule="exact"/>
              <w:rPr>
                <w:sz w:val="20"/>
                <w:szCs w:val="20"/>
                <w:color w:val="auto"/>
              </w:rPr>
            </w:pPr>
            <w:r>
              <w:rPr>
                <w:rFonts w:ascii="Calibri" w:cs="Calibri" w:eastAsia="Calibri" w:hAnsi="Calibri"/>
                <w:sz w:val="12"/>
                <w:szCs w:val="12"/>
                <w:color w:val="auto"/>
                <w:w w:val="94"/>
              </w:rPr>
              <w:t>-4.2%</w:t>
            </w:r>
          </w:p>
        </w:tc>
      </w:tr>
      <w:tr>
        <w:trPr>
          <w:trHeight w:val="28"/>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145"/>
        </w:trPr>
        <w:tc>
          <w:tcPr>
            <w:tcW w:w="520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Write-ofs</w:t>
            </w:r>
          </w:p>
        </w:tc>
        <w:tc>
          <w:tcPr>
            <w:tcW w:w="1580" w:type="dxa"/>
            <w:vAlign w:val="bottom"/>
          </w:tcPr>
          <w:p>
            <w:pPr>
              <w:jc w:val="right"/>
              <w:ind w:right="200"/>
              <w:spacing w:after="0" w:line="145" w:lineRule="exact"/>
              <w:rPr>
                <w:sz w:val="20"/>
                <w:szCs w:val="20"/>
                <w:color w:val="auto"/>
              </w:rPr>
            </w:pPr>
            <w:r>
              <w:rPr>
                <w:rFonts w:ascii="Calibri" w:cs="Calibri" w:eastAsia="Calibri" w:hAnsi="Calibri"/>
                <w:sz w:val="12"/>
                <w:szCs w:val="12"/>
                <w:color w:val="auto"/>
              </w:rPr>
              <w:t>378,093</w:t>
            </w:r>
          </w:p>
        </w:tc>
        <w:tc>
          <w:tcPr>
            <w:tcW w:w="1320" w:type="dxa"/>
            <w:vAlign w:val="bottom"/>
          </w:tcPr>
          <w:p>
            <w:pPr>
              <w:jc w:val="right"/>
              <w:ind w:right="180"/>
              <w:spacing w:after="0" w:line="145" w:lineRule="exact"/>
              <w:rPr>
                <w:sz w:val="20"/>
                <w:szCs w:val="20"/>
                <w:color w:val="auto"/>
              </w:rPr>
            </w:pPr>
            <w:r>
              <w:rPr>
                <w:rFonts w:ascii="Calibri" w:cs="Calibri" w:eastAsia="Calibri" w:hAnsi="Calibri"/>
                <w:sz w:val="12"/>
                <w:szCs w:val="12"/>
                <w:color w:val="auto"/>
              </w:rPr>
              <w:t>754,326</w:t>
            </w:r>
          </w:p>
        </w:tc>
        <w:tc>
          <w:tcPr>
            <w:tcW w:w="1120" w:type="dxa"/>
            <w:vAlign w:val="bottom"/>
            <w:tcBorders>
              <w:right w:val="single" w:sz="8" w:color="auto"/>
            </w:tcBorders>
          </w:tcPr>
          <w:p>
            <w:pPr>
              <w:jc w:val="right"/>
              <w:spacing w:after="0" w:line="145" w:lineRule="exact"/>
              <w:rPr>
                <w:sz w:val="20"/>
                <w:szCs w:val="20"/>
                <w:color w:val="auto"/>
              </w:rPr>
            </w:pPr>
            <w:r>
              <w:rPr>
                <w:rFonts w:ascii="Calibri" w:cs="Calibri" w:eastAsia="Calibri" w:hAnsi="Calibri"/>
                <w:sz w:val="12"/>
                <w:szCs w:val="12"/>
                <w:color w:val="auto"/>
              </w:rPr>
              <w:t>677,148</w:t>
            </w:r>
          </w:p>
        </w:tc>
        <w:tc>
          <w:tcPr>
            <w:tcW w:w="740" w:type="dxa"/>
            <w:vAlign w:val="bottom"/>
          </w:tcPr>
          <w:p>
            <w:pPr>
              <w:jc w:val="center"/>
              <w:ind w:left="200"/>
              <w:spacing w:after="0" w:line="145" w:lineRule="exact"/>
              <w:rPr>
                <w:sz w:val="20"/>
                <w:szCs w:val="20"/>
                <w:color w:val="auto"/>
              </w:rPr>
            </w:pPr>
            <w:r>
              <w:rPr>
                <w:rFonts w:ascii="Calibri" w:cs="Calibri" w:eastAsia="Calibri" w:hAnsi="Calibri"/>
                <w:sz w:val="12"/>
                <w:szCs w:val="12"/>
                <w:color w:val="auto"/>
                <w:w w:val="95"/>
              </w:rPr>
              <w:t>-10.2%</w:t>
            </w:r>
          </w:p>
        </w:tc>
        <w:tc>
          <w:tcPr>
            <w:tcW w:w="1300" w:type="dxa"/>
            <w:vAlign w:val="bottom"/>
            <w:tcBorders>
              <w:right w:val="single" w:sz="8" w:color="auto"/>
            </w:tcBorders>
          </w:tcPr>
          <w:p>
            <w:pPr>
              <w:jc w:val="center"/>
              <w:ind w:left="180"/>
              <w:spacing w:after="0" w:line="145" w:lineRule="exact"/>
              <w:rPr>
                <w:sz w:val="20"/>
                <w:szCs w:val="20"/>
                <w:color w:val="auto"/>
              </w:rPr>
            </w:pPr>
            <w:r>
              <w:rPr>
                <w:rFonts w:ascii="Calibri" w:cs="Calibri" w:eastAsia="Calibri" w:hAnsi="Calibri"/>
                <w:sz w:val="12"/>
                <w:szCs w:val="12"/>
                <w:color w:val="auto"/>
              </w:rPr>
              <w:t>79.1%</w:t>
            </w:r>
          </w:p>
        </w:tc>
      </w:tr>
      <w:tr>
        <w:trPr>
          <w:trHeight w:val="28"/>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145"/>
        </w:trPr>
        <w:tc>
          <w:tcPr>
            <w:tcW w:w="520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Internal overdue loans (IOLs) (1)(2)</w:t>
            </w:r>
          </w:p>
        </w:tc>
        <w:tc>
          <w:tcPr>
            <w:tcW w:w="1580" w:type="dxa"/>
            <w:vAlign w:val="bottom"/>
          </w:tcPr>
          <w:p>
            <w:pPr>
              <w:jc w:val="right"/>
              <w:ind w:right="200"/>
              <w:spacing w:after="0" w:line="145" w:lineRule="exact"/>
              <w:rPr>
                <w:sz w:val="20"/>
                <w:szCs w:val="20"/>
                <w:color w:val="auto"/>
              </w:rPr>
            </w:pPr>
            <w:r>
              <w:rPr>
                <w:rFonts w:ascii="Calibri" w:cs="Calibri" w:eastAsia="Calibri" w:hAnsi="Calibri"/>
                <w:sz w:val="12"/>
                <w:szCs w:val="12"/>
                <w:color w:val="auto"/>
              </w:rPr>
              <w:t>5,872,999</w:t>
            </w:r>
          </w:p>
        </w:tc>
        <w:tc>
          <w:tcPr>
            <w:tcW w:w="1320" w:type="dxa"/>
            <w:vAlign w:val="bottom"/>
          </w:tcPr>
          <w:p>
            <w:pPr>
              <w:jc w:val="right"/>
              <w:ind w:right="180"/>
              <w:spacing w:after="0" w:line="145" w:lineRule="exact"/>
              <w:rPr>
                <w:sz w:val="20"/>
                <w:szCs w:val="20"/>
                <w:color w:val="auto"/>
              </w:rPr>
            </w:pPr>
            <w:r>
              <w:rPr>
                <w:rFonts w:ascii="Calibri" w:cs="Calibri" w:eastAsia="Calibri" w:hAnsi="Calibri"/>
                <w:sz w:val="12"/>
                <w:szCs w:val="12"/>
                <w:color w:val="auto"/>
              </w:rPr>
              <w:t>5,939,744</w:t>
            </w:r>
          </w:p>
        </w:tc>
        <w:tc>
          <w:tcPr>
            <w:tcW w:w="1120" w:type="dxa"/>
            <w:vAlign w:val="bottom"/>
            <w:tcBorders>
              <w:right w:val="single" w:sz="8" w:color="auto"/>
            </w:tcBorders>
          </w:tcPr>
          <w:p>
            <w:pPr>
              <w:jc w:val="right"/>
              <w:spacing w:after="0" w:line="145" w:lineRule="exact"/>
              <w:rPr>
                <w:sz w:val="20"/>
                <w:szCs w:val="20"/>
                <w:color w:val="auto"/>
              </w:rPr>
            </w:pPr>
            <w:r>
              <w:rPr>
                <w:rFonts w:ascii="Calibri" w:cs="Calibri" w:eastAsia="Calibri" w:hAnsi="Calibri"/>
                <w:sz w:val="12"/>
                <w:szCs w:val="12"/>
                <w:color w:val="auto"/>
              </w:rPr>
              <w:t>5,789,497</w:t>
            </w:r>
          </w:p>
        </w:tc>
        <w:tc>
          <w:tcPr>
            <w:tcW w:w="740" w:type="dxa"/>
            <w:vAlign w:val="bottom"/>
          </w:tcPr>
          <w:p>
            <w:pPr>
              <w:jc w:val="center"/>
              <w:ind w:left="200"/>
              <w:spacing w:after="0" w:line="145" w:lineRule="exact"/>
              <w:rPr>
                <w:sz w:val="20"/>
                <w:szCs w:val="20"/>
                <w:color w:val="auto"/>
              </w:rPr>
            </w:pPr>
            <w:r>
              <w:rPr>
                <w:rFonts w:ascii="Calibri" w:cs="Calibri" w:eastAsia="Calibri" w:hAnsi="Calibri"/>
                <w:sz w:val="12"/>
                <w:szCs w:val="12"/>
                <w:color w:val="auto"/>
              </w:rPr>
              <w:t>-2.5%</w:t>
            </w:r>
          </w:p>
        </w:tc>
        <w:tc>
          <w:tcPr>
            <w:tcW w:w="1300" w:type="dxa"/>
            <w:vAlign w:val="bottom"/>
            <w:tcBorders>
              <w:right w:val="single" w:sz="8" w:color="auto"/>
            </w:tcBorders>
          </w:tcPr>
          <w:p>
            <w:pPr>
              <w:jc w:val="center"/>
              <w:ind w:left="180"/>
              <w:spacing w:after="0" w:line="145" w:lineRule="exact"/>
              <w:rPr>
                <w:sz w:val="20"/>
                <w:szCs w:val="20"/>
                <w:color w:val="auto"/>
              </w:rPr>
            </w:pPr>
            <w:r>
              <w:rPr>
                <w:rFonts w:ascii="Calibri" w:cs="Calibri" w:eastAsia="Calibri" w:hAnsi="Calibri"/>
                <w:sz w:val="12"/>
                <w:szCs w:val="12"/>
                <w:color w:val="auto"/>
                <w:w w:val="94"/>
              </w:rPr>
              <w:t>-1.4%</w:t>
            </w:r>
          </w:p>
        </w:tc>
      </w:tr>
      <w:tr>
        <w:trPr>
          <w:trHeight w:val="169"/>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Internal overdue loans over 90-days (1)</w:t>
            </w:r>
          </w:p>
        </w:tc>
        <w:tc>
          <w:tcPr>
            <w:tcW w:w="1580" w:type="dxa"/>
            <w:vAlign w:val="bottom"/>
          </w:tcPr>
          <w:p>
            <w:pPr>
              <w:jc w:val="right"/>
              <w:ind w:right="200"/>
              <w:spacing w:after="0"/>
              <w:rPr>
                <w:sz w:val="20"/>
                <w:szCs w:val="20"/>
                <w:color w:val="auto"/>
              </w:rPr>
            </w:pPr>
            <w:r>
              <w:rPr>
                <w:rFonts w:ascii="Calibri" w:cs="Calibri" w:eastAsia="Calibri" w:hAnsi="Calibri"/>
                <w:sz w:val="12"/>
                <w:szCs w:val="12"/>
                <w:color w:val="auto"/>
              </w:rPr>
              <w:t>4,424,384</w:t>
            </w:r>
          </w:p>
        </w:tc>
        <w:tc>
          <w:tcPr>
            <w:tcW w:w="1320" w:type="dxa"/>
            <w:vAlign w:val="bottom"/>
          </w:tcPr>
          <w:p>
            <w:pPr>
              <w:jc w:val="right"/>
              <w:ind w:right="180"/>
              <w:spacing w:after="0"/>
              <w:rPr>
                <w:sz w:val="20"/>
                <w:szCs w:val="20"/>
                <w:color w:val="auto"/>
              </w:rPr>
            </w:pPr>
            <w:r>
              <w:rPr>
                <w:rFonts w:ascii="Calibri" w:cs="Calibri" w:eastAsia="Calibri" w:hAnsi="Calibri"/>
                <w:sz w:val="12"/>
                <w:szCs w:val="12"/>
                <w:color w:val="auto"/>
              </w:rPr>
              <w:t>4,620,461</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4,386,959</w:t>
            </w:r>
          </w:p>
        </w:tc>
        <w:tc>
          <w:tcPr>
            <w:tcW w:w="740" w:type="dxa"/>
            <w:vAlign w:val="bottom"/>
          </w:tcPr>
          <w:p>
            <w:pPr>
              <w:jc w:val="center"/>
              <w:ind w:left="200"/>
              <w:spacing w:after="0"/>
              <w:rPr>
                <w:sz w:val="20"/>
                <w:szCs w:val="20"/>
                <w:color w:val="auto"/>
              </w:rPr>
            </w:pPr>
            <w:r>
              <w:rPr>
                <w:rFonts w:ascii="Calibri" w:cs="Calibri" w:eastAsia="Calibri" w:hAnsi="Calibri"/>
                <w:sz w:val="12"/>
                <w:szCs w:val="12"/>
                <w:color w:val="auto"/>
              </w:rPr>
              <w:t>-5.1%</w:t>
            </w:r>
          </w:p>
        </w:tc>
        <w:tc>
          <w:tcPr>
            <w:tcW w:w="1300" w:type="dxa"/>
            <w:vAlign w:val="bottom"/>
            <w:tcBorders>
              <w:right w:val="single" w:sz="8" w:color="auto"/>
            </w:tcBorders>
          </w:tcPr>
          <w:p>
            <w:pPr>
              <w:jc w:val="center"/>
              <w:ind w:left="180"/>
              <w:spacing w:after="0"/>
              <w:rPr>
                <w:sz w:val="20"/>
                <w:szCs w:val="20"/>
                <w:color w:val="auto"/>
              </w:rPr>
            </w:pPr>
            <w:r>
              <w:rPr>
                <w:rFonts w:ascii="Calibri" w:cs="Calibri" w:eastAsia="Calibri" w:hAnsi="Calibri"/>
                <w:sz w:val="12"/>
                <w:szCs w:val="12"/>
                <w:color w:val="auto"/>
                <w:w w:val="94"/>
              </w:rPr>
              <w:t>-0.8%</w:t>
            </w:r>
          </w:p>
        </w:tc>
      </w:tr>
      <w:tr>
        <w:trPr>
          <w:trHeight w:val="170"/>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Refnanced loans (2)</w:t>
            </w:r>
          </w:p>
        </w:tc>
        <w:tc>
          <w:tcPr>
            <w:tcW w:w="1580" w:type="dxa"/>
            <w:vAlign w:val="bottom"/>
          </w:tcPr>
          <w:p>
            <w:pPr>
              <w:jc w:val="right"/>
              <w:ind w:right="200"/>
              <w:spacing w:after="0"/>
              <w:rPr>
                <w:sz w:val="20"/>
                <w:szCs w:val="20"/>
                <w:color w:val="auto"/>
              </w:rPr>
            </w:pPr>
            <w:r>
              <w:rPr>
                <w:rFonts w:ascii="Calibri" w:cs="Calibri" w:eastAsia="Calibri" w:hAnsi="Calibri"/>
                <w:sz w:val="12"/>
                <w:szCs w:val="12"/>
                <w:color w:val="auto"/>
              </w:rPr>
              <w:t>1,714,074</w:t>
            </w:r>
          </w:p>
        </w:tc>
        <w:tc>
          <w:tcPr>
            <w:tcW w:w="1320" w:type="dxa"/>
            <w:vAlign w:val="bottom"/>
          </w:tcPr>
          <w:p>
            <w:pPr>
              <w:jc w:val="right"/>
              <w:ind w:right="180"/>
              <w:spacing w:after="0"/>
              <w:rPr>
                <w:sz w:val="20"/>
                <w:szCs w:val="20"/>
                <w:color w:val="auto"/>
              </w:rPr>
            </w:pPr>
            <w:r>
              <w:rPr>
                <w:rFonts w:ascii="Calibri" w:cs="Calibri" w:eastAsia="Calibri" w:hAnsi="Calibri"/>
                <w:sz w:val="12"/>
                <w:szCs w:val="12"/>
                <w:color w:val="auto"/>
              </w:rPr>
              <w:t>2,098,748</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2,121,068</w:t>
            </w:r>
          </w:p>
        </w:tc>
        <w:tc>
          <w:tcPr>
            <w:tcW w:w="740" w:type="dxa"/>
            <w:vAlign w:val="bottom"/>
          </w:tcPr>
          <w:p>
            <w:pPr>
              <w:jc w:val="center"/>
              <w:ind w:left="200"/>
              <w:spacing w:after="0"/>
              <w:rPr>
                <w:sz w:val="20"/>
                <w:szCs w:val="20"/>
                <w:color w:val="auto"/>
              </w:rPr>
            </w:pPr>
            <w:r>
              <w:rPr>
                <w:rFonts w:ascii="Calibri" w:cs="Calibri" w:eastAsia="Calibri" w:hAnsi="Calibri"/>
                <w:sz w:val="12"/>
                <w:szCs w:val="12"/>
                <w:color w:val="auto"/>
              </w:rPr>
              <w:t>1.1%</w:t>
            </w:r>
          </w:p>
        </w:tc>
        <w:tc>
          <w:tcPr>
            <w:tcW w:w="1300" w:type="dxa"/>
            <w:vAlign w:val="bottom"/>
            <w:tcBorders>
              <w:right w:val="single" w:sz="8" w:color="auto"/>
            </w:tcBorders>
          </w:tcPr>
          <w:p>
            <w:pPr>
              <w:jc w:val="center"/>
              <w:ind w:left="180"/>
              <w:spacing w:after="0"/>
              <w:rPr>
                <w:sz w:val="20"/>
                <w:szCs w:val="20"/>
                <w:color w:val="auto"/>
              </w:rPr>
            </w:pPr>
            <w:r>
              <w:rPr>
                <w:rFonts w:ascii="Calibri" w:cs="Calibri" w:eastAsia="Calibri" w:hAnsi="Calibri"/>
                <w:sz w:val="12"/>
                <w:szCs w:val="12"/>
                <w:color w:val="auto"/>
              </w:rPr>
              <w:t>23.7%</w:t>
            </w:r>
          </w:p>
        </w:tc>
      </w:tr>
      <w:tr>
        <w:trPr>
          <w:trHeight w:val="170"/>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Non-performing loans (NPLs) (3)</w:t>
            </w:r>
          </w:p>
        </w:tc>
        <w:tc>
          <w:tcPr>
            <w:tcW w:w="1580" w:type="dxa"/>
            <w:vAlign w:val="bottom"/>
          </w:tcPr>
          <w:p>
            <w:pPr>
              <w:jc w:val="right"/>
              <w:ind w:right="200"/>
              <w:spacing w:after="0"/>
              <w:rPr>
                <w:sz w:val="20"/>
                <w:szCs w:val="20"/>
                <w:color w:val="auto"/>
              </w:rPr>
            </w:pPr>
            <w:r>
              <w:rPr>
                <w:rFonts w:ascii="Calibri" w:cs="Calibri" w:eastAsia="Calibri" w:hAnsi="Calibri"/>
                <w:sz w:val="12"/>
                <w:szCs w:val="12"/>
                <w:color w:val="auto"/>
              </w:rPr>
              <w:t>7,587,073</w:t>
            </w:r>
          </w:p>
        </w:tc>
        <w:tc>
          <w:tcPr>
            <w:tcW w:w="1320" w:type="dxa"/>
            <w:vAlign w:val="bottom"/>
          </w:tcPr>
          <w:p>
            <w:pPr>
              <w:jc w:val="right"/>
              <w:ind w:right="180"/>
              <w:spacing w:after="0"/>
              <w:rPr>
                <w:sz w:val="20"/>
                <w:szCs w:val="20"/>
                <w:color w:val="auto"/>
              </w:rPr>
            </w:pPr>
            <w:r>
              <w:rPr>
                <w:rFonts w:ascii="Calibri" w:cs="Calibri" w:eastAsia="Calibri" w:hAnsi="Calibri"/>
                <w:sz w:val="12"/>
                <w:szCs w:val="12"/>
                <w:color w:val="auto"/>
              </w:rPr>
              <w:t>8,038,492</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7,910,565</w:t>
            </w:r>
          </w:p>
        </w:tc>
        <w:tc>
          <w:tcPr>
            <w:tcW w:w="740" w:type="dxa"/>
            <w:vAlign w:val="bottom"/>
          </w:tcPr>
          <w:p>
            <w:pPr>
              <w:jc w:val="center"/>
              <w:ind w:left="200"/>
              <w:spacing w:after="0"/>
              <w:rPr>
                <w:sz w:val="20"/>
                <w:szCs w:val="20"/>
                <w:color w:val="auto"/>
              </w:rPr>
            </w:pPr>
            <w:r>
              <w:rPr>
                <w:rFonts w:ascii="Calibri" w:cs="Calibri" w:eastAsia="Calibri" w:hAnsi="Calibri"/>
                <w:sz w:val="12"/>
                <w:szCs w:val="12"/>
                <w:color w:val="auto"/>
              </w:rPr>
              <w:t>-1.6%</w:t>
            </w:r>
          </w:p>
        </w:tc>
        <w:tc>
          <w:tcPr>
            <w:tcW w:w="1300" w:type="dxa"/>
            <w:vAlign w:val="bottom"/>
            <w:tcBorders>
              <w:right w:val="single" w:sz="8" w:color="auto"/>
            </w:tcBorders>
          </w:tcPr>
          <w:p>
            <w:pPr>
              <w:jc w:val="center"/>
              <w:ind w:left="160"/>
              <w:spacing w:after="0"/>
              <w:rPr>
                <w:sz w:val="20"/>
                <w:szCs w:val="20"/>
                <w:color w:val="auto"/>
              </w:rPr>
            </w:pPr>
            <w:r>
              <w:rPr>
                <w:rFonts w:ascii="Calibri" w:cs="Calibri" w:eastAsia="Calibri" w:hAnsi="Calibri"/>
                <w:sz w:val="12"/>
                <w:szCs w:val="12"/>
                <w:color w:val="auto"/>
              </w:rPr>
              <w:t>4.3%</w:t>
            </w:r>
          </w:p>
        </w:tc>
      </w:tr>
      <w:tr>
        <w:trPr>
          <w:trHeight w:val="29"/>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145"/>
        </w:trPr>
        <w:tc>
          <w:tcPr>
            <w:tcW w:w="520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b w:val="1"/>
                <w:bCs w:val="1"/>
                <w:color w:val="auto"/>
              </w:rPr>
              <w:t>IOL rato</w:t>
            </w:r>
          </w:p>
        </w:tc>
        <w:tc>
          <w:tcPr>
            <w:tcW w:w="1580" w:type="dxa"/>
            <w:vAlign w:val="bottom"/>
          </w:tcPr>
          <w:p>
            <w:pPr>
              <w:jc w:val="right"/>
              <w:ind w:right="200"/>
              <w:spacing w:after="0" w:line="145" w:lineRule="exact"/>
              <w:rPr>
                <w:sz w:val="20"/>
                <w:szCs w:val="20"/>
                <w:color w:val="auto"/>
              </w:rPr>
            </w:pPr>
            <w:r>
              <w:rPr>
                <w:rFonts w:ascii="Calibri" w:cs="Calibri" w:eastAsia="Calibri" w:hAnsi="Calibri"/>
                <w:sz w:val="12"/>
                <w:szCs w:val="12"/>
                <w:b w:val="1"/>
                <w:bCs w:val="1"/>
                <w:color w:val="auto"/>
              </w:rPr>
              <w:t>4.06%</w:t>
            </w:r>
          </w:p>
        </w:tc>
        <w:tc>
          <w:tcPr>
            <w:tcW w:w="1320" w:type="dxa"/>
            <w:vAlign w:val="bottom"/>
          </w:tcPr>
          <w:p>
            <w:pPr>
              <w:jc w:val="right"/>
              <w:ind w:right="180"/>
              <w:spacing w:after="0" w:line="145" w:lineRule="exact"/>
              <w:rPr>
                <w:sz w:val="20"/>
                <w:szCs w:val="20"/>
                <w:color w:val="auto"/>
              </w:rPr>
            </w:pPr>
            <w:r>
              <w:rPr>
                <w:rFonts w:ascii="Calibri" w:cs="Calibri" w:eastAsia="Calibri" w:hAnsi="Calibri"/>
                <w:sz w:val="12"/>
                <w:szCs w:val="12"/>
                <w:b w:val="1"/>
                <w:bCs w:val="1"/>
                <w:color w:val="auto"/>
              </w:rPr>
              <w:t>4.00%</w:t>
            </w:r>
          </w:p>
        </w:tc>
        <w:tc>
          <w:tcPr>
            <w:tcW w:w="1120" w:type="dxa"/>
            <w:vAlign w:val="bottom"/>
            <w:tcBorders>
              <w:right w:val="single" w:sz="8" w:color="auto"/>
            </w:tcBorders>
          </w:tcPr>
          <w:p>
            <w:pPr>
              <w:jc w:val="right"/>
              <w:spacing w:after="0" w:line="145" w:lineRule="exact"/>
              <w:rPr>
                <w:sz w:val="20"/>
                <w:szCs w:val="20"/>
                <w:color w:val="auto"/>
              </w:rPr>
            </w:pPr>
            <w:r>
              <w:rPr>
                <w:rFonts w:ascii="Calibri" w:cs="Calibri" w:eastAsia="Calibri" w:hAnsi="Calibri"/>
                <w:sz w:val="12"/>
                <w:szCs w:val="12"/>
                <w:b w:val="1"/>
                <w:bCs w:val="1"/>
                <w:color w:val="auto"/>
              </w:rPr>
              <w:t>3.99%</w:t>
            </w:r>
          </w:p>
        </w:tc>
        <w:tc>
          <w:tcPr>
            <w:tcW w:w="740" w:type="dxa"/>
            <w:vAlign w:val="bottom"/>
          </w:tcPr>
          <w:p>
            <w:pPr>
              <w:jc w:val="center"/>
              <w:ind w:left="200"/>
              <w:spacing w:after="0" w:line="145" w:lineRule="exact"/>
              <w:rPr>
                <w:sz w:val="20"/>
                <w:szCs w:val="20"/>
                <w:color w:val="auto"/>
              </w:rPr>
            </w:pPr>
            <w:r>
              <w:rPr>
                <w:rFonts w:ascii="Calibri" w:cs="Calibri" w:eastAsia="Calibri" w:hAnsi="Calibri"/>
                <w:sz w:val="12"/>
                <w:szCs w:val="12"/>
                <w:color w:val="auto"/>
                <w:w w:val="93"/>
              </w:rPr>
              <w:t>-1 bps</w:t>
            </w:r>
          </w:p>
        </w:tc>
        <w:tc>
          <w:tcPr>
            <w:tcW w:w="1300" w:type="dxa"/>
            <w:vAlign w:val="bottom"/>
            <w:tcBorders>
              <w:right w:val="single" w:sz="8" w:color="auto"/>
            </w:tcBorders>
          </w:tcPr>
          <w:p>
            <w:pPr>
              <w:jc w:val="center"/>
              <w:ind w:left="180"/>
              <w:spacing w:after="0" w:line="145" w:lineRule="exact"/>
              <w:rPr>
                <w:sz w:val="20"/>
                <w:szCs w:val="20"/>
                <w:color w:val="auto"/>
              </w:rPr>
            </w:pPr>
            <w:r>
              <w:rPr>
                <w:rFonts w:ascii="Calibri" w:cs="Calibri" w:eastAsia="Calibri" w:hAnsi="Calibri"/>
                <w:sz w:val="12"/>
                <w:szCs w:val="12"/>
                <w:color w:val="auto"/>
              </w:rPr>
              <w:t>-7 bps</w:t>
            </w:r>
          </w:p>
        </w:tc>
      </w:tr>
      <w:tr>
        <w:trPr>
          <w:trHeight w:val="169"/>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IOL over 90-days rato</w:t>
            </w:r>
          </w:p>
        </w:tc>
        <w:tc>
          <w:tcPr>
            <w:tcW w:w="1580" w:type="dxa"/>
            <w:vAlign w:val="bottom"/>
          </w:tcPr>
          <w:p>
            <w:pPr>
              <w:jc w:val="right"/>
              <w:ind w:right="200"/>
              <w:spacing w:after="0"/>
              <w:rPr>
                <w:sz w:val="20"/>
                <w:szCs w:val="20"/>
                <w:color w:val="auto"/>
              </w:rPr>
            </w:pPr>
            <w:r>
              <w:rPr>
                <w:rFonts w:ascii="Calibri" w:cs="Calibri" w:eastAsia="Calibri" w:hAnsi="Calibri"/>
                <w:sz w:val="12"/>
                <w:szCs w:val="12"/>
                <w:b w:val="1"/>
                <w:bCs w:val="1"/>
                <w:color w:val="auto"/>
              </w:rPr>
              <w:t>3.06%</w:t>
            </w:r>
          </w:p>
        </w:tc>
        <w:tc>
          <w:tcPr>
            <w:tcW w:w="1320" w:type="dxa"/>
            <w:vAlign w:val="bottom"/>
          </w:tcPr>
          <w:p>
            <w:pPr>
              <w:jc w:val="right"/>
              <w:ind w:right="180"/>
              <w:spacing w:after="0"/>
              <w:rPr>
                <w:sz w:val="20"/>
                <w:szCs w:val="20"/>
                <w:color w:val="auto"/>
              </w:rPr>
            </w:pPr>
            <w:r>
              <w:rPr>
                <w:rFonts w:ascii="Calibri" w:cs="Calibri" w:eastAsia="Calibri" w:hAnsi="Calibri"/>
                <w:sz w:val="12"/>
                <w:szCs w:val="12"/>
                <w:b w:val="1"/>
                <w:bCs w:val="1"/>
                <w:color w:val="auto"/>
              </w:rPr>
              <w:t>3.11%</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b w:val="1"/>
                <w:bCs w:val="1"/>
                <w:color w:val="auto"/>
              </w:rPr>
              <w:t>3.02%</w:t>
            </w:r>
          </w:p>
        </w:tc>
        <w:tc>
          <w:tcPr>
            <w:tcW w:w="740" w:type="dxa"/>
            <w:vAlign w:val="bottom"/>
          </w:tcPr>
          <w:p>
            <w:pPr>
              <w:jc w:val="center"/>
              <w:ind w:left="200"/>
              <w:spacing w:after="0"/>
              <w:rPr>
                <w:sz w:val="20"/>
                <w:szCs w:val="20"/>
                <w:color w:val="auto"/>
              </w:rPr>
            </w:pPr>
            <w:r>
              <w:rPr>
                <w:rFonts w:ascii="Calibri" w:cs="Calibri" w:eastAsia="Calibri" w:hAnsi="Calibri"/>
                <w:sz w:val="12"/>
                <w:szCs w:val="12"/>
                <w:color w:val="auto"/>
                <w:w w:val="93"/>
              </w:rPr>
              <w:t>-9 bps</w:t>
            </w:r>
          </w:p>
        </w:tc>
        <w:tc>
          <w:tcPr>
            <w:tcW w:w="1300" w:type="dxa"/>
            <w:vAlign w:val="bottom"/>
            <w:tcBorders>
              <w:right w:val="single" w:sz="8" w:color="auto"/>
            </w:tcBorders>
          </w:tcPr>
          <w:p>
            <w:pPr>
              <w:jc w:val="center"/>
              <w:ind w:left="180"/>
              <w:spacing w:after="0"/>
              <w:rPr>
                <w:sz w:val="20"/>
                <w:szCs w:val="20"/>
                <w:color w:val="auto"/>
              </w:rPr>
            </w:pPr>
            <w:r>
              <w:rPr>
                <w:rFonts w:ascii="Calibri" w:cs="Calibri" w:eastAsia="Calibri" w:hAnsi="Calibri"/>
                <w:sz w:val="12"/>
                <w:szCs w:val="12"/>
                <w:color w:val="auto"/>
              </w:rPr>
              <w:t>-4 bps</w:t>
            </w:r>
          </w:p>
        </w:tc>
      </w:tr>
      <w:tr>
        <w:trPr>
          <w:trHeight w:val="170"/>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NPL rato</w:t>
            </w:r>
          </w:p>
        </w:tc>
        <w:tc>
          <w:tcPr>
            <w:tcW w:w="1580" w:type="dxa"/>
            <w:vAlign w:val="bottom"/>
          </w:tcPr>
          <w:p>
            <w:pPr>
              <w:jc w:val="right"/>
              <w:ind w:right="200"/>
              <w:spacing w:after="0"/>
              <w:rPr>
                <w:sz w:val="20"/>
                <w:szCs w:val="20"/>
                <w:color w:val="auto"/>
              </w:rPr>
            </w:pPr>
            <w:r>
              <w:rPr>
                <w:rFonts w:ascii="Calibri" w:cs="Calibri" w:eastAsia="Calibri" w:hAnsi="Calibri"/>
                <w:sz w:val="12"/>
                <w:szCs w:val="12"/>
                <w:b w:val="1"/>
                <w:bCs w:val="1"/>
                <w:color w:val="auto"/>
              </w:rPr>
              <w:t>5.25%</w:t>
            </w:r>
          </w:p>
        </w:tc>
        <w:tc>
          <w:tcPr>
            <w:tcW w:w="1320" w:type="dxa"/>
            <w:vAlign w:val="bottom"/>
          </w:tcPr>
          <w:p>
            <w:pPr>
              <w:jc w:val="right"/>
              <w:ind w:right="180"/>
              <w:spacing w:after="0"/>
              <w:rPr>
                <w:sz w:val="20"/>
                <w:szCs w:val="20"/>
                <w:color w:val="auto"/>
              </w:rPr>
            </w:pPr>
            <w:r>
              <w:rPr>
                <w:rFonts w:ascii="Calibri" w:cs="Calibri" w:eastAsia="Calibri" w:hAnsi="Calibri"/>
                <w:sz w:val="12"/>
                <w:szCs w:val="12"/>
                <w:b w:val="1"/>
                <w:bCs w:val="1"/>
                <w:color w:val="auto"/>
              </w:rPr>
              <w:t>5.41%</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b w:val="1"/>
                <w:bCs w:val="1"/>
                <w:color w:val="auto"/>
              </w:rPr>
              <w:t>5.45%</w:t>
            </w:r>
          </w:p>
        </w:tc>
        <w:tc>
          <w:tcPr>
            <w:tcW w:w="740" w:type="dxa"/>
            <w:vAlign w:val="bottom"/>
          </w:tcPr>
          <w:p>
            <w:pPr>
              <w:jc w:val="center"/>
              <w:ind w:left="200"/>
              <w:spacing w:after="0"/>
              <w:rPr>
                <w:sz w:val="20"/>
                <w:szCs w:val="20"/>
                <w:color w:val="auto"/>
              </w:rPr>
            </w:pPr>
            <w:r>
              <w:rPr>
                <w:rFonts w:ascii="Calibri" w:cs="Calibri" w:eastAsia="Calibri" w:hAnsi="Calibri"/>
                <w:sz w:val="12"/>
                <w:szCs w:val="12"/>
                <w:color w:val="auto"/>
              </w:rPr>
              <w:t>4 bps</w:t>
            </w:r>
          </w:p>
        </w:tc>
        <w:tc>
          <w:tcPr>
            <w:tcW w:w="1300" w:type="dxa"/>
            <w:vAlign w:val="bottom"/>
            <w:tcBorders>
              <w:right w:val="single" w:sz="8" w:color="auto"/>
            </w:tcBorders>
          </w:tcPr>
          <w:p>
            <w:pPr>
              <w:jc w:val="center"/>
              <w:ind w:left="180"/>
              <w:spacing w:after="0"/>
              <w:rPr>
                <w:sz w:val="20"/>
                <w:szCs w:val="20"/>
                <w:color w:val="auto"/>
              </w:rPr>
            </w:pPr>
            <w:r>
              <w:rPr>
                <w:rFonts w:ascii="Calibri" w:cs="Calibri" w:eastAsia="Calibri" w:hAnsi="Calibri"/>
                <w:sz w:val="12"/>
                <w:szCs w:val="12"/>
                <w:color w:val="auto"/>
              </w:rPr>
              <w:t>20 bps</w:t>
            </w:r>
          </w:p>
        </w:tc>
      </w:tr>
      <w:tr>
        <w:trPr>
          <w:trHeight w:val="170"/>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Allowance for loan losses over Total loans</w:t>
            </w:r>
          </w:p>
        </w:tc>
        <w:tc>
          <w:tcPr>
            <w:tcW w:w="1580" w:type="dxa"/>
            <w:vAlign w:val="bottom"/>
          </w:tcPr>
          <w:p>
            <w:pPr>
              <w:jc w:val="right"/>
              <w:ind w:right="200"/>
              <w:spacing w:after="0"/>
              <w:rPr>
                <w:sz w:val="20"/>
                <w:szCs w:val="20"/>
                <w:color w:val="auto"/>
              </w:rPr>
            </w:pPr>
            <w:r>
              <w:rPr>
                <w:rFonts w:ascii="Calibri" w:cs="Calibri" w:eastAsia="Calibri" w:hAnsi="Calibri"/>
                <w:sz w:val="12"/>
                <w:szCs w:val="12"/>
                <w:b w:val="1"/>
                <w:bCs w:val="1"/>
                <w:color w:val="auto"/>
              </w:rPr>
              <w:t>5.71%</w:t>
            </w:r>
          </w:p>
        </w:tc>
        <w:tc>
          <w:tcPr>
            <w:tcW w:w="1320" w:type="dxa"/>
            <w:vAlign w:val="bottom"/>
          </w:tcPr>
          <w:p>
            <w:pPr>
              <w:jc w:val="right"/>
              <w:ind w:right="180"/>
              <w:spacing w:after="0"/>
              <w:rPr>
                <w:sz w:val="20"/>
                <w:szCs w:val="20"/>
                <w:color w:val="auto"/>
              </w:rPr>
            </w:pPr>
            <w:r>
              <w:rPr>
                <w:rFonts w:ascii="Calibri" w:cs="Calibri" w:eastAsia="Calibri" w:hAnsi="Calibri"/>
                <w:sz w:val="12"/>
                <w:szCs w:val="12"/>
                <w:b w:val="1"/>
                <w:bCs w:val="1"/>
                <w:color w:val="auto"/>
              </w:rPr>
              <w:t>5.30%</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b w:val="1"/>
                <w:bCs w:val="1"/>
                <w:color w:val="auto"/>
              </w:rPr>
              <w:t>5.45%</w:t>
            </w:r>
          </w:p>
        </w:tc>
        <w:tc>
          <w:tcPr>
            <w:tcW w:w="740" w:type="dxa"/>
            <w:vAlign w:val="bottom"/>
          </w:tcPr>
          <w:p>
            <w:pPr>
              <w:jc w:val="center"/>
              <w:ind w:left="200"/>
              <w:spacing w:after="0"/>
              <w:rPr>
                <w:sz w:val="20"/>
                <w:szCs w:val="20"/>
                <w:color w:val="auto"/>
              </w:rPr>
            </w:pPr>
            <w:r>
              <w:rPr>
                <w:rFonts w:ascii="Calibri" w:cs="Calibri" w:eastAsia="Calibri" w:hAnsi="Calibri"/>
                <w:sz w:val="12"/>
                <w:szCs w:val="12"/>
                <w:color w:val="auto"/>
                <w:w w:val="99"/>
              </w:rPr>
              <w:t>15 bps</w:t>
            </w:r>
          </w:p>
        </w:tc>
        <w:tc>
          <w:tcPr>
            <w:tcW w:w="1300" w:type="dxa"/>
            <w:vAlign w:val="bottom"/>
            <w:tcBorders>
              <w:right w:val="single" w:sz="8" w:color="auto"/>
            </w:tcBorders>
          </w:tcPr>
          <w:p>
            <w:pPr>
              <w:jc w:val="center"/>
              <w:ind w:left="180"/>
              <w:spacing w:after="0"/>
              <w:rPr>
                <w:sz w:val="20"/>
                <w:szCs w:val="20"/>
                <w:color w:val="auto"/>
              </w:rPr>
            </w:pPr>
            <w:r>
              <w:rPr>
                <w:rFonts w:ascii="Calibri" w:cs="Calibri" w:eastAsia="Calibri" w:hAnsi="Calibri"/>
                <w:sz w:val="12"/>
                <w:szCs w:val="12"/>
                <w:color w:val="auto"/>
              </w:rPr>
              <w:t>-26 bps</w:t>
            </w:r>
          </w:p>
        </w:tc>
      </w:tr>
      <w:tr>
        <w:trPr>
          <w:trHeight w:val="170"/>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Coverage rato of IOLs</w:t>
            </w:r>
          </w:p>
        </w:tc>
        <w:tc>
          <w:tcPr>
            <w:tcW w:w="1580" w:type="dxa"/>
            <w:vAlign w:val="bottom"/>
          </w:tcPr>
          <w:p>
            <w:pPr>
              <w:jc w:val="right"/>
              <w:ind w:right="200"/>
              <w:spacing w:after="0"/>
              <w:rPr>
                <w:sz w:val="20"/>
                <w:szCs w:val="20"/>
                <w:color w:val="auto"/>
              </w:rPr>
            </w:pPr>
            <w:r>
              <w:rPr>
                <w:rFonts w:ascii="Calibri" w:cs="Calibri" w:eastAsia="Calibri" w:hAnsi="Calibri"/>
                <w:sz w:val="12"/>
                <w:szCs w:val="12"/>
                <w:color w:val="auto"/>
              </w:rPr>
              <w:t>140.7%</w:t>
            </w:r>
          </w:p>
        </w:tc>
        <w:tc>
          <w:tcPr>
            <w:tcW w:w="1320" w:type="dxa"/>
            <w:vAlign w:val="bottom"/>
          </w:tcPr>
          <w:p>
            <w:pPr>
              <w:jc w:val="right"/>
              <w:ind w:right="180"/>
              <w:spacing w:after="0"/>
              <w:rPr>
                <w:sz w:val="20"/>
                <w:szCs w:val="20"/>
                <w:color w:val="auto"/>
              </w:rPr>
            </w:pPr>
            <w:r>
              <w:rPr>
                <w:rFonts w:ascii="Calibri" w:cs="Calibri" w:eastAsia="Calibri" w:hAnsi="Calibri"/>
                <w:sz w:val="12"/>
                <w:szCs w:val="12"/>
                <w:color w:val="auto"/>
              </w:rPr>
              <w:t>132.5%</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136.7%</w:t>
            </w:r>
          </w:p>
        </w:tc>
        <w:tc>
          <w:tcPr>
            <w:tcW w:w="740" w:type="dxa"/>
            <w:vAlign w:val="bottom"/>
          </w:tcPr>
          <w:p>
            <w:pPr>
              <w:jc w:val="center"/>
              <w:ind w:left="200"/>
              <w:spacing w:after="0"/>
              <w:rPr>
                <w:sz w:val="20"/>
                <w:szCs w:val="20"/>
                <w:color w:val="auto"/>
              </w:rPr>
            </w:pPr>
            <w:r>
              <w:rPr>
                <w:rFonts w:ascii="Calibri" w:cs="Calibri" w:eastAsia="Calibri" w:hAnsi="Calibri"/>
                <w:sz w:val="12"/>
                <w:szCs w:val="12"/>
                <w:color w:val="auto"/>
              </w:rPr>
              <w:t>418 bps</w:t>
            </w:r>
          </w:p>
        </w:tc>
        <w:tc>
          <w:tcPr>
            <w:tcW w:w="1300" w:type="dxa"/>
            <w:vAlign w:val="bottom"/>
            <w:tcBorders>
              <w:right w:val="single" w:sz="8" w:color="auto"/>
            </w:tcBorders>
          </w:tcPr>
          <w:p>
            <w:pPr>
              <w:jc w:val="center"/>
              <w:ind w:left="180"/>
              <w:spacing w:after="0"/>
              <w:rPr>
                <w:sz w:val="20"/>
                <w:szCs w:val="20"/>
                <w:color w:val="auto"/>
              </w:rPr>
            </w:pPr>
            <w:r>
              <w:rPr>
                <w:rFonts w:ascii="Calibri" w:cs="Calibri" w:eastAsia="Calibri" w:hAnsi="Calibri"/>
                <w:sz w:val="12"/>
                <w:szCs w:val="12"/>
                <w:color w:val="auto"/>
              </w:rPr>
              <w:t>-400 bps</w:t>
            </w:r>
          </w:p>
        </w:tc>
      </w:tr>
      <w:tr>
        <w:trPr>
          <w:trHeight w:val="170"/>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Coverage rato of IOL 90-days</w:t>
            </w:r>
          </w:p>
        </w:tc>
        <w:tc>
          <w:tcPr>
            <w:tcW w:w="1580" w:type="dxa"/>
            <w:vAlign w:val="bottom"/>
          </w:tcPr>
          <w:p>
            <w:pPr>
              <w:jc w:val="right"/>
              <w:ind w:right="200"/>
              <w:spacing w:after="0"/>
              <w:rPr>
                <w:sz w:val="20"/>
                <w:szCs w:val="20"/>
                <w:color w:val="auto"/>
              </w:rPr>
            </w:pPr>
            <w:r>
              <w:rPr>
                <w:rFonts w:ascii="Calibri" w:cs="Calibri" w:eastAsia="Calibri" w:hAnsi="Calibri"/>
                <w:sz w:val="12"/>
                <w:szCs w:val="12"/>
                <w:color w:val="auto"/>
              </w:rPr>
              <w:t>186.7%</w:t>
            </w:r>
          </w:p>
        </w:tc>
        <w:tc>
          <w:tcPr>
            <w:tcW w:w="1320" w:type="dxa"/>
            <w:vAlign w:val="bottom"/>
          </w:tcPr>
          <w:p>
            <w:pPr>
              <w:jc w:val="right"/>
              <w:ind w:right="180"/>
              <w:spacing w:after="0"/>
              <w:rPr>
                <w:sz w:val="20"/>
                <w:szCs w:val="20"/>
                <w:color w:val="auto"/>
              </w:rPr>
            </w:pPr>
            <w:r>
              <w:rPr>
                <w:rFonts w:ascii="Calibri" w:cs="Calibri" w:eastAsia="Calibri" w:hAnsi="Calibri"/>
                <w:sz w:val="12"/>
                <w:szCs w:val="12"/>
                <w:color w:val="auto"/>
              </w:rPr>
              <w:t>170.4%</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180.4%</w:t>
            </w:r>
          </w:p>
        </w:tc>
        <w:tc>
          <w:tcPr>
            <w:tcW w:w="740" w:type="dxa"/>
            <w:vAlign w:val="bottom"/>
          </w:tcPr>
          <w:p>
            <w:pPr>
              <w:jc w:val="center"/>
              <w:ind w:left="200"/>
              <w:spacing w:after="0"/>
              <w:rPr>
                <w:sz w:val="20"/>
                <w:szCs w:val="20"/>
                <w:color w:val="auto"/>
              </w:rPr>
            </w:pPr>
            <w:r>
              <w:rPr>
                <w:rFonts w:ascii="Calibri" w:cs="Calibri" w:eastAsia="Calibri" w:hAnsi="Calibri"/>
                <w:sz w:val="12"/>
                <w:szCs w:val="12"/>
                <w:color w:val="auto"/>
                <w:w w:val="99"/>
              </w:rPr>
              <w:t>1005 bps</w:t>
            </w:r>
          </w:p>
        </w:tc>
        <w:tc>
          <w:tcPr>
            <w:tcW w:w="1300" w:type="dxa"/>
            <w:vAlign w:val="bottom"/>
            <w:tcBorders>
              <w:right w:val="single" w:sz="8" w:color="auto"/>
            </w:tcBorders>
          </w:tcPr>
          <w:p>
            <w:pPr>
              <w:jc w:val="center"/>
              <w:ind w:left="180"/>
              <w:spacing w:after="0"/>
              <w:rPr>
                <w:sz w:val="20"/>
                <w:szCs w:val="20"/>
                <w:color w:val="auto"/>
              </w:rPr>
            </w:pPr>
            <w:r>
              <w:rPr>
                <w:rFonts w:ascii="Calibri" w:cs="Calibri" w:eastAsia="Calibri" w:hAnsi="Calibri"/>
                <w:sz w:val="12"/>
                <w:szCs w:val="12"/>
                <w:color w:val="auto"/>
              </w:rPr>
              <w:t>-632 bps</w:t>
            </w:r>
          </w:p>
        </w:tc>
      </w:tr>
      <w:tr>
        <w:trPr>
          <w:trHeight w:val="170"/>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Coverage rato of NPLs</w:t>
            </w:r>
          </w:p>
        </w:tc>
        <w:tc>
          <w:tcPr>
            <w:tcW w:w="1580" w:type="dxa"/>
            <w:vAlign w:val="bottom"/>
          </w:tcPr>
          <w:p>
            <w:pPr>
              <w:jc w:val="right"/>
              <w:ind w:right="200"/>
              <w:spacing w:after="0"/>
              <w:rPr>
                <w:sz w:val="20"/>
                <w:szCs w:val="20"/>
                <w:color w:val="auto"/>
              </w:rPr>
            </w:pPr>
            <w:r>
              <w:rPr>
                <w:rFonts w:ascii="Calibri" w:cs="Calibri" w:eastAsia="Calibri" w:hAnsi="Calibri"/>
                <w:sz w:val="12"/>
                <w:szCs w:val="12"/>
                <w:color w:val="auto"/>
              </w:rPr>
              <w:t>108.9%</w:t>
            </w:r>
          </w:p>
        </w:tc>
        <w:tc>
          <w:tcPr>
            <w:tcW w:w="1320" w:type="dxa"/>
            <w:vAlign w:val="bottom"/>
          </w:tcPr>
          <w:p>
            <w:pPr>
              <w:jc w:val="right"/>
              <w:ind w:right="180"/>
              <w:spacing w:after="0"/>
              <w:rPr>
                <w:sz w:val="20"/>
                <w:szCs w:val="20"/>
                <w:color w:val="auto"/>
              </w:rPr>
            </w:pPr>
            <w:r>
              <w:rPr>
                <w:rFonts w:ascii="Calibri" w:cs="Calibri" w:eastAsia="Calibri" w:hAnsi="Calibri"/>
                <w:sz w:val="12"/>
                <w:szCs w:val="12"/>
                <w:color w:val="auto"/>
              </w:rPr>
              <w:t>97.9%</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100.1%</w:t>
            </w:r>
          </w:p>
        </w:tc>
        <w:tc>
          <w:tcPr>
            <w:tcW w:w="740" w:type="dxa"/>
            <w:vAlign w:val="bottom"/>
          </w:tcPr>
          <w:p>
            <w:pPr>
              <w:jc w:val="center"/>
              <w:ind w:left="200"/>
              <w:spacing w:after="0"/>
              <w:rPr>
                <w:sz w:val="20"/>
                <w:szCs w:val="20"/>
                <w:color w:val="auto"/>
              </w:rPr>
            </w:pPr>
            <w:r>
              <w:rPr>
                <w:rFonts w:ascii="Calibri" w:cs="Calibri" w:eastAsia="Calibri" w:hAnsi="Calibri"/>
                <w:sz w:val="12"/>
                <w:szCs w:val="12"/>
                <w:color w:val="auto"/>
              </w:rPr>
              <w:t>200 bps</w:t>
            </w:r>
          </w:p>
        </w:tc>
        <w:tc>
          <w:tcPr>
            <w:tcW w:w="1300" w:type="dxa"/>
            <w:vAlign w:val="bottom"/>
            <w:tcBorders>
              <w:right w:val="single" w:sz="8" w:color="auto"/>
            </w:tcBorders>
          </w:tcPr>
          <w:p>
            <w:pPr>
              <w:jc w:val="center"/>
              <w:ind w:left="180"/>
              <w:spacing w:after="0"/>
              <w:rPr>
                <w:sz w:val="20"/>
                <w:szCs w:val="20"/>
                <w:color w:val="auto"/>
              </w:rPr>
            </w:pPr>
            <w:r>
              <w:rPr>
                <w:rFonts w:ascii="Calibri" w:cs="Calibri" w:eastAsia="Calibri" w:hAnsi="Calibri"/>
                <w:sz w:val="12"/>
                <w:szCs w:val="12"/>
                <w:color w:val="auto"/>
              </w:rPr>
              <w:t>-880 bps</w:t>
            </w:r>
          </w:p>
        </w:tc>
      </w:tr>
      <w:tr>
        <w:trPr>
          <w:trHeight w:val="29"/>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bl>
    <w:p>
      <w:pPr>
        <w:spacing w:after="0" w:line="186" w:lineRule="exact"/>
        <w:rPr>
          <w:sz w:val="20"/>
          <w:szCs w:val="20"/>
          <w:color w:val="auto"/>
        </w:rPr>
      </w:pPr>
    </w:p>
    <w:p>
      <w:pPr>
        <w:ind w:left="129" w:hanging="129"/>
        <w:spacing w:after="0"/>
        <w:tabs>
          <w:tab w:leader="none" w:pos="129" w:val="left"/>
        </w:tabs>
        <w:numPr>
          <w:ilvl w:val="0"/>
          <w:numId w:val="25"/>
        </w:numPr>
        <w:rPr>
          <w:rFonts w:ascii="Calibri" w:cs="Calibri" w:eastAsia="Calibri" w:hAnsi="Calibri"/>
          <w:sz w:val="10"/>
          <w:szCs w:val="10"/>
          <w:color w:val="auto"/>
        </w:rPr>
      </w:pPr>
      <w:r>
        <w:rPr>
          <w:rFonts w:ascii="Calibri" w:cs="Calibri" w:eastAsia="Calibri" w:hAnsi="Calibri"/>
          <w:sz w:val="10"/>
          <w:szCs w:val="10"/>
          <w:color w:val="auto"/>
        </w:rPr>
        <w:t>Includes Overdue Loans and Loans under legal collecton (Quarter-end balances net of deferred earnings).</w:t>
      </w:r>
    </w:p>
    <w:p>
      <w:pPr>
        <w:ind w:left="129" w:hanging="129"/>
        <w:spacing w:after="0" w:line="223" w:lineRule="auto"/>
        <w:tabs>
          <w:tab w:leader="none" w:pos="129" w:val="left"/>
        </w:tabs>
        <w:numPr>
          <w:ilvl w:val="0"/>
          <w:numId w:val="25"/>
        </w:numPr>
        <w:rPr>
          <w:rFonts w:ascii="Calibri" w:cs="Calibri" w:eastAsia="Calibri" w:hAnsi="Calibri"/>
          <w:sz w:val="10"/>
          <w:szCs w:val="10"/>
          <w:color w:val="auto"/>
        </w:rPr>
      </w:pPr>
      <w:r>
        <w:rPr>
          <w:rFonts w:ascii="Calibri" w:cs="Calibri" w:eastAsia="Calibri" w:hAnsi="Calibri"/>
          <w:sz w:val="10"/>
          <w:szCs w:val="10"/>
          <w:color w:val="auto"/>
        </w:rPr>
        <w:t>Figures net of deferred earnings.</w:t>
      </w:r>
    </w:p>
    <w:p>
      <w:pPr>
        <w:ind w:left="129" w:hanging="129"/>
        <w:spacing w:after="0" w:line="223" w:lineRule="auto"/>
        <w:tabs>
          <w:tab w:leader="none" w:pos="129" w:val="left"/>
        </w:tabs>
        <w:numPr>
          <w:ilvl w:val="0"/>
          <w:numId w:val="25"/>
        </w:numPr>
        <w:rPr>
          <w:rFonts w:ascii="Calibri" w:cs="Calibri" w:eastAsia="Calibri" w:hAnsi="Calibri"/>
          <w:sz w:val="10"/>
          <w:szCs w:val="10"/>
          <w:color w:val="auto"/>
        </w:rPr>
      </w:pPr>
      <w:r>
        <w:rPr>
          <w:rFonts w:ascii="Calibri" w:cs="Calibri" w:eastAsia="Calibri" w:hAnsi="Calibri"/>
          <w:sz w:val="10"/>
          <w:szCs w:val="10"/>
          <w:color w:val="auto"/>
        </w:rPr>
        <w:t>Non-performing Loans include Internal overdue loans and Refnanced loans (Quarter-end balances net of deferred earnings).</w:t>
      </w:r>
    </w:p>
    <w:p>
      <w:pPr>
        <w:spacing w:after="0" w:line="192"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Accordingly, Credicorp’s NPL rato rose 4bps QoQ and 20bps YoY, in line with growth in structural NPL volumes.</w:t>
      </w:r>
    </w:p>
    <w:p>
      <w:pPr>
        <w:spacing w:after="0" w:line="319"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54" w:right="319" w:bottom="1440" w:gutter="0" w:footer="0" w:header="0"/>
        </w:sectPr>
      </w:pPr>
    </w:p>
    <w:bookmarkStart w:id="24" w:name="page25"/>
    <w:bookmarkEnd w:id="24"/>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alibri" w:cs="Calibri" w:eastAsia="Calibri" w:hAnsi="Calibri"/>
          <w:sz w:val="44"/>
          <w:szCs w:val="44"/>
          <w:b w:val="1"/>
          <w:bCs w:val="1"/>
          <w:color w:val="E93CAC"/>
        </w:rPr>
        <w:t xml:space="preserve">02 </w:t>
      </w:r>
      <w:r>
        <w:rPr>
          <w:rFonts w:ascii="Calibri" w:cs="Calibri" w:eastAsia="Calibri" w:hAnsi="Calibri"/>
          <w:sz w:val="27"/>
          <w:szCs w:val="27"/>
          <w:b w:val="1"/>
          <w:bCs w:val="1"/>
          <w:color w:val="E93CAC"/>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53910" cy="641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910" cy="641350"/>
                    </a:xfrm>
                    <a:prstGeom prst="rect">
                      <a:avLst/>
                    </a:prstGeom>
                    <a:noFill/>
                  </pic:spPr>
                </pic:pic>
              </a:graphicData>
            </a:graphic>
          </wp:anchor>
        </w:drawing>
      </w:r>
    </w:p>
    <w:p>
      <w:pPr>
        <w:spacing w:after="0" w:line="228" w:lineRule="exact"/>
        <w:rPr>
          <w:sz w:val="20"/>
          <w:szCs w:val="20"/>
          <w:color w:val="auto"/>
        </w:rPr>
      </w:pPr>
    </w:p>
    <w:p>
      <w:pPr>
        <w:jc w:val="both"/>
        <w:ind w:left="100" w:right="100"/>
        <w:spacing w:after="0" w:line="237" w:lineRule="auto"/>
        <w:rPr>
          <w:sz w:val="20"/>
          <w:szCs w:val="20"/>
          <w:color w:val="auto"/>
        </w:rPr>
      </w:pPr>
      <w:r>
        <w:rPr>
          <w:rFonts w:ascii="Calibri" w:cs="Calibri" w:eastAsia="Calibri" w:hAnsi="Calibri"/>
          <w:sz w:val="15"/>
          <w:szCs w:val="15"/>
          <w:color w:val="FFFFFF"/>
        </w:rPr>
        <w:t>At the end of 1Q23, 67.9% of deposits were low-cost, which represents a compettve advantage in a context of record-high interest rates. YoY, low-cost deposits fell 11.0%, which was primarily fueled by on-going growth in Time Deposits afer corporate clients migrated funds to this deposit type to take advantage of higher rates. However, low-cost deposit levels remain high. Demand deposits at BCP Stand-alone and Mibanco also dropped over the period, which refected a normalizaton in liquidity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-332105</wp:posOffset>
            </wp:positionV>
            <wp:extent cx="7082155" cy="5905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82155" cy="590550"/>
                    </a:xfrm>
                    <a:prstGeom prst="rect">
                      <a:avLst/>
                    </a:prstGeom>
                    <a:noFill/>
                  </pic:spPr>
                </pic:pic>
              </a:graphicData>
            </a:graphic>
          </wp:anchor>
        </w:drawing>
      </w:r>
    </w:p>
    <w:p>
      <w:pPr>
        <w:spacing w:after="0" w:line="92" w:lineRule="exact"/>
        <w:rPr>
          <w:sz w:val="20"/>
          <w:szCs w:val="20"/>
          <w:color w:val="auto"/>
        </w:rPr>
      </w:pPr>
    </w:p>
    <w:p>
      <w:pPr>
        <w:ind w:left="100"/>
        <w:spacing w:after="0"/>
        <w:rPr>
          <w:sz w:val="20"/>
          <w:szCs w:val="20"/>
          <w:color w:val="auto"/>
        </w:rPr>
      </w:pPr>
      <w:r>
        <w:rPr>
          <w:rFonts w:ascii="Calibri" w:cs="Calibri" w:eastAsia="Calibri" w:hAnsi="Calibri"/>
          <w:sz w:val="15"/>
          <w:szCs w:val="15"/>
          <w:color w:val="FFFFFF"/>
        </w:rPr>
        <w:t>At the end of March 2023, the market share (MS) for total deposits, which consolidates BCP Stand-alone and Mibanco, stood at 34.8% (-90bps with regard to March 22).</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31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Deposits</w:t>
            </w:r>
          </w:p>
        </w:tc>
        <w:tc>
          <w:tcPr>
            <w:tcW w:w="1560" w:type="dxa"/>
            <w:vAlign w:val="bottom"/>
            <w:tcBorders>
              <w:top w:val="single" w:sz="8" w:color="auto"/>
            </w:tcBorders>
            <w:shd w:val="clear" w:color="auto" w:fill="2AD2C9"/>
          </w:tcPr>
          <w:p>
            <w:pPr>
              <w:spacing w:after="0"/>
              <w:rPr>
                <w:sz w:val="17"/>
                <w:szCs w:val="17"/>
                <w:color w:val="auto"/>
              </w:rPr>
            </w:pPr>
          </w:p>
        </w:tc>
        <w:tc>
          <w:tcPr>
            <w:tcW w:w="1340" w:type="dxa"/>
            <w:vAlign w:val="bottom"/>
            <w:tcBorders>
              <w:top w:val="single" w:sz="8" w:color="auto"/>
            </w:tcBorders>
            <w:shd w:val="clear" w:color="auto" w:fill="2AD2C9"/>
          </w:tcPr>
          <w:p>
            <w:pPr>
              <w:jc w:val="right"/>
              <w:ind w:right="664"/>
              <w:spacing w:after="0"/>
              <w:rPr>
                <w:sz w:val="20"/>
                <w:szCs w:val="20"/>
                <w:color w:val="auto"/>
              </w:rPr>
            </w:pPr>
            <w:r>
              <w:rPr>
                <w:rFonts w:ascii="Calibri" w:cs="Calibri" w:eastAsia="Calibri" w:hAnsi="Calibri"/>
                <w:sz w:val="15"/>
                <w:szCs w:val="15"/>
                <w:b w:val="1"/>
                <w:bCs w:val="1"/>
                <w:color w:val="FFFFFF"/>
              </w:rPr>
              <w:t>As of</w:t>
            </w:r>
          </w:p>
        </w:tc>
        <w:tc>
          <w:tcPr>
            <w:tcW w:w="1140" w:type="dxa"/>
            <w:vAlign w:val="bottom"/>
            <w:tcBorders>
              <w:top w:val="single" w:sz="8" w:color="auto"/>
              <w:right w:val="single" w:sz="8" w:color="auto"/>
            </w:tcBorders>
            <w:shd w:val="clear" w:color="auto" w:fill="2AD2C9"/>
          </w:tcPr>
          <w:p>
            <w:pPr>
              <w:spacing w:after="0"/>
              <w:rPr>
                <w:sz w:val="17"/>
                <w:szCs w:val="17"/>
                <w:color w:val="auto"/>
              </w:rPr>
            </w:pPr>
          </w:p>
        </w:tc>
        <w:tc>
          <w:tcPr>
            <w:tcW w:w="1300" w:type="dxa"/>
            <w:vAlign w:val="bottom"/>
            <w:tcBorders>
              <w:top w:val="single" w:sz="8" w:color="auto"/>
            </w:tcBorders>
            <w:shd w:val="clear" w:color="auto" w:fill="2AD2C9"/>
          </w:tcPr>
          <w:p>
            <w:pPr>
              <w:ind w:left="720"/>
              <w:spacing w:after="0"/>
              <w:rPr>
                <w:sz w:val="20"/>
                <w:szCs w:val="20"/>
                <w:color w:val="auto"/>
              </w:rPr>
            </w:pPr>
            <w:r>
              <w:rPr>
                <w:rFonts w:ascii="Calibri" w:cs="Calibri" w:eastAsia="Calibri" w:hAnsi="Calibri"/>
                <w:sz w:val="15"/>
                <w:szCs w:val="15"/>
                <w:b w:val="1"/>
                <w:bCs w:val="1"/>
                <w:color w:val="FFFFFF"/>
                <w:w w:val="95"/>
              </w:rPr>
              <w:t>% change</w:t>
            </w:r>
          </w:p>
        </w:tc>
        <w:tc>
          <w:tcPr>
            <w:tcW w:w="720" w:type="dxa"/>
            <w:vAlign w:val="bottom"/>
            <w:tcBorders>
              <w:top w:val="single" w:sz="8" w:color="auto"/>
              <w:right w:val="single" w:sz="8" w:color="auto"/>
            </w:tcBorders>
            <w:shd w:val="clear" w:color="auto" w:fill="2AD2C9"/>
          </w:tcPr>
          <w:p>
            <w:pPr>
              <w:spacing w:after="0"/>
              <w:rPr>
                <w:sz w:val="17"/>
                <w:szCs w:val="17"/>
                <w:color w:val="auto"/>
              </w:rPr>
            </w:pPr>
          </w:p>
        </w:tc>
        <w:tc>
          <w:tcPr>
            <w:tcW w:w="700" w:type="dxa"/>
            <w:vAlign w:val="bottom"/>
            <w:tcBorders>
              <w:top w:val="single" w:sz="8" w:color="auto"/>
            </w:tcBorders>
            <w:shd w:val="clear" w:color="auto" w:fill="2AD2C9"/>
          </w:tcPr>
          <w:p>
            <w:pPr>
              <w:spacing w:after="0"/>
              <w:rPr>
                <w:sz w:val="17"/>
                <w:szCs w:val="17"/>
                <w:color w:val="auto"/>
              </w:rPr>
            </w:pPr>
          </w:p>
        </w:tc>
        <w:tc>
          <w:tcPr>
            <w:tcW w:w="1320" w:type="dxa"/>
            <w:vAlign w:val="bottom"/>
            <w:tcBorders>
              <w:top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Currency</w:t>
            </w:r>
          </w:p>
        </w:tc>
      </w:tr>
      <w:tr>
        <w:trPr>
          <w:trHeight w:val="237"/>
        </w:trPr>
        <w:tc>
          <w:tcPr>
            <w:tcW w:w="3180" w:type="dxa"/>
            <w:vAlign w:val="bottom"/>
            <w:tcBorders>
              <w:left w:val="single" w:sz="8" w:color="auto"/>
              <w:bottom w:val="single" w:sz="8" w:color="2AD2C9"/>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S/ 000</w:t>
            </w:r>
          </w:p>
        </w:tc>
        <w:tc>
          <w:tcPr>
            <w:tcW w:w="1560" w:type="dxa"/>
            <w:vAlign w:val="bottom"/>
            <w:tcBorders>
              <w:bottom w:val="single" w:sz="8" w:color="2AD2C9"/>
            </w:tcBorders>
            <w:shd w:val="clear" w:color="auto" w:fill="2AD2C9"/>
          </w:tcPr>
          <w:p>
            <w:pPr>
              <w:jc w:val="right"/>
              <w:ind w:right="604"/>
              <w:spacing w:after="0"/>
              <w:rPr>
                <w:sz w:val="20"/>
                <w:szCs w:val="20"/>
                <w:color w:val="auto"/>
              </w:rPr>
            </w:pPr>
            <w:r>
              <w:rPr>
                <w:rFonts w:ascii="Calibri" w:cs="Calibri" w:eastAsia="Calibri" w:hAnsi="Calibri"/>
                <w:sz w:val="15"/>
                <w:szCs w:val="15"/>
                <w:b w:val="1"/>
                <w:bCs w:val="1"/>
                <w:color w:val="FFFFFF"/>
              </w:rPr>
              <w:t>Mar 22</w:t>
            </w:r>
          </w:p>
        </w:tc>
        <w:tc>
          <w:tcPr>
            <w:tcW w:w="1340" w:type="dxa"/>
            <w:vAlign w:val="bottom"/>
            <w:tcBorders>
              <w:bottom w:val="single" w:sz="8" w:color="2AD2C9"/>
            </w:tcBorders>
            <w:shd w:val="clear" w:color="auto" w:fill="2AD2C9"/>
          </w:tcPr>
          <w:p>
            <w:pPr>
              <w:jc w:val="right"/>
              <w:ind w:right="604"/>
              <w:spacing w:after="0"/>
              <w:rPr>
                <w:sz w:val="20"/>
                <w:szCs w:val="20"/>
                <w:color w:val="auto"/>
              </w:rPr>
            </w:pPr>
            <w:r>
              <w:rPr>
                <w:rFonts w:ascii="Calibri" w:cs="Calibri" w:eastAsia="Calibri" w:hAnsi="Calibri"/>
                <w:sz w:val="15"/>
                <w:szCs w:val="15"/>
                <w:b w:val="1"/>
                <w:bCs w:val="1"/>
                <w:color w:val="FFFFFF"/>
              </w:rPr>
              <w:t>Dec 22</w:t>
            </w:r>
          </w:p>
        </w:tc>
        <w:tc>
          <w:tcPr>
            <w:tcW w:w="1140" w:type="dxa"/>
            <w:vAlign w:val="bottom"/>
            <w:tcBorders>
              <w:bottom w:val="single" w:sz="8" w:color="2AD2C9"/>
              <w:right w:val="single" w:sz="8" w:color="auto"/>
            </w:tcBorders>
            <w:shd w:val="clear" w:color="auto" w:fill="2AD2C9"/>
          </w:tcPr>
          <w:p>
            <w:pPr>
              <w:jc w:val="right"/>
              <w:ind w:right="384"/>
              <w:spacing w:after="0"/>
              <w:rPr>
                <w:sz w:val="20"/>
                <w:szCs w:val="20"/>
                <w:color w:val="auto"/>
              </w:rPr>
            </w:pPr>
            <w:r>
              <w:rPr>
                <w:rFonts w:ascii="Calibri" w:cs="Calibri" w:eastAsia="Calibri" w:hAnsi="Calibri"/>
                <w:sz w:val="15"/>
                <w:szCs w:val="15"/>
                <w:b w:val="1"/>
                <w:bCs w:val="1"/>
                <w:color w:val="FFFFFF"/>
              </w:rPr>
              <w:t>Mar 23</w:t>
            </w:r>
          </w:p>
        </w:tc>
        <w:tc>
          <w:tcPr>
            <w:tcW w:w="1300" w:type="dxa"/>
            <w:vAlign w:val="bottom"/>
            <w:tcBorders>
              <w:bottom w:val="single" w:sz="8" w:color="2AD2C9"/>
            </w:tcBorders>
            <w:shd w:val="clear" w:color="auto" w:fill="2AD2C9"/>
          </w:tcPr>
          <w:p>
            <w:pPr>
              <w:ind w:left="380"/>
              <w:spacing w:after="0"/>
              <w:rPr>
                <w:sz w:val="20"/>
                <w:szCs w:val="20"/>
                <w:color w:val="auto"/>
              </w:rPr>
            </w:pPr>
            <w:r>
              <w:rPr>
                <w:rFonts w:ascii="Calibri" w:cs="Calibri" w:eastAsia="Calibri" w:hAnsi="Calibri"/>
                <w:sz w:val="15"/>
                <w:szCs w:val="15"/>
                <w:b w:val="1"/>
                <w:bCs w:val="1"/>
                <w:color w:val="FFFFFF"/>
              </w:rPr>
              <w:t>QoQ</w:t>
            </w:r>
          </w:p>
        </w:tc>
        <w:tc>
          <w:tcPr>
            <w:tcW w:w="720" w:type="dxa"/>
            <w:vAlign w:val="bottom"/>
            <w:tcBorders>
              <w:bottom w:val="single" w:sz="8" w:color="2AD2C9"/>
              <w:right w:val="single" w:sz="8" w:color="auto"/>
            </w:tcBorders>
            <w:shd w:val="clear" w:color="auto" w:fill="2AD2C9"/>
          </w:tcPr>
          <w:p>
            <w:pPr>
              <w:ind w:left="100"/>
              <w:spacing w:after="0"/>
              <w:rPr>
                <w:sz w:val="20"/>
                <w:szCs w:val="20"/>
                <w:color w:val="auto"/>
              </w:rPr>
            </w:pPr>
            <w:r>
              <w:rPr>
                <w:rFonts w:ascii="Calibri" w:cs="Calibri" w:eastAsia="Calibri" w:hAnsi="Calibri"/>
                <w:sz w:val="15"/>
                <w:szCs w:val="15"/>
                <w:b w:val="1"/>
                <w:bCs w:val="1"/>
                <w:color w:val="FFFFFF"/>
              </w:rPr>
              <w:t>YoY</w:t>
            </w:r>
          </w:p>
        </w:tc>
        <w:tc>
          <w:tcPr>
            <w:tcW w:w="700" w:type="dxa"/>
            <w:vAlign w:val="bottom"/>
            <w:tcBorders>
              <w:bottom w:val="single" w:sz="8" w:color="2AD2C9"/>
            </w:tcBorders>
            <w:shd w:val="clear" w:color="auto" w:fill="2AD2C9"/>
          </w:tcPr>
          <w:p>
            <w:pPr>
              <w:jc w:val="center"/>
              <w:ind w:left="244"/>
              <w:spacing w:after="0"/>
              <w:rPr>
                <w:sz w:val="20"/>
                <w:szCs w:val="20"/>
                <w:color w:val="auto"/>
              </w:rPr>
            </w:pPr>
            <w:r>
              <w:rPr>
                <w:rFonts w:ascii="Calibri" w:cs="Calibri" w:eastAsia="Calibri" w:hAnsi="Calibri"/>
                <w:sz w:val="15"/>
                <w:szCs w:val="15"/>
                <w:b w:val="1"/>
                <w:bCs w:val="1"/>
                <w:color w:val="FFFFFF"/>
                <w:w w:val="97"/>
              </w:rPr>
              <w:t>LC</w:t>
            </w:r>
          </w:p>
        </w:tc>
        <w:tc>
          <w:tcPr>
            <w:tcW w:w="1320" w:type="dxa"/>
            <w:vAlign w:val="bottom"/>
            <w:tcBorders>
              <w:bottom w:val="single" w:sz="8" w:color="2AD2C9"/>
              <w:right w:val="single" w:sz="8" w:color="auto"/>
            </w:tcBorders>
            <w:shd w:val="clear" w:color="auto" w:fill="2AD2C9"/>
          </w:tcPr>
          <w:p>
            <w:pPr>
              <w:jc w:val="center"/>
              <w:ind w:left="204"/>
              <w:spacing w:after="0"/>
              <w:rPr>
                <w:sz w:val="20"/>
                <w:szCs w:val="20"/>
                <w:color w:val="auto"/>
              </w:rPr>
            </w:pPr>
            <w:r>
              <w:rPr>
                <w:rFonts w:ascii="Calibri" w:cs="Calibri" w:eastAsia="Calibri" w:hAnsi="Calibri"/>
                <w:sz w:val="15"/>
                <w:szCs w:val="15"/>
                <w:b w:val="1"/>
                <w:bCs w:val="1"/>
                <w:color w:val="FFFFFF"/>
              </w:rPr>
              <w:t>FC</w:t>
            </w:r>
          </w:p>
        </w:tc>
      </w:tr>
      <w:tr>
        <w:trPr>
          <w:trHeight w:val="179"/>
        </w:trPr>
        <w:tc>
          <w:tcPr>
            <w:tcW w:w="3180" w:type="dxa"/>
            <w:vAlign w:val="bottom"/>
            <w:tcBorders>
              <w:top w:val="single" w:sz="8" w:color="auto"/>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Demand deposits</w:t>
            </w:r>
          </w:p>
        </w:tc>
        <w:tc>
          <w:tcPr>
            <w:tcW w:w="1560" w:type="dxa"/>
            <w:vAlign w:val="bottom"/>
            <w:tcBorders>
              <w:top w:val="single" w:sz="8" w:color="auto"/>
            </w:tcBorders>
          </w:tcPr>
          <w:p>
            <w:pPr>
              <w:jc w:val="right"/>
              <w:ind w:right="164"/>
              <w:spacing w:after="0" w:line="180" w:lineRule="exact"/>
              <w:rPr>
                <w:sz w:val="20"/>
                <w:szCs w:val="20"/>
                <w:color w:val="auto"/>
              </w:rPr>
            </w:pPr>
            <w:r>
              <w:rPr>
                <w:rFonts w:ascii="Calibri" w:cs="Calibri" w:eastAsia="Calibri" w:hAnsi="Calibri"/>
                <w:sz w:val="15"/>
                <w:szCs w:val="15"/>
                <w:color w:val="auto"/>
              </w:rPr>
              <w:t>56,923,859</w:t>
            </w:r>
          </w:p>
        </w:tc>
        <w:tc>
          <w:tcPr>
            <w:tcW w:w="1340" w:type="dxa"/>
            <w:vAlign w:val="bottom"/>
            <w:tcBorders>
              <w:top w:val="single" w:sz="8" w:color="auto"/>
            </w:tcBorders>
          </w:tcPr>
          <w:p>
            <w:pPr>
              <w:jc w:val="right"/>
              <w:ind w:right="144"/>
              <w:spacing w:after="0" w:line="180" w:lineRule="exact"/>
              <w:rPr>
                <w:sz w:val="20"/>
                <w:szCs w:val="20"/>
                <w:color w:val="auto"/>
              </w:rPr>
            </w:pPr>
            <w:r>
              <w:rPr>
                <w:rFonts w:ascii="Calibri" w:cs="Calibri" w:eastAsia="Calibri" w:hAnsi="Calibri"/>
                <w:sz w:val="15"/>
                <w:szCs w:val="15"/>
                <w:color w:val="auto"/>
              </w:rPr>
              <w:t>48,467,247</w:t>
            </w:r>
          </w:p>
        </w:tc>
        <w:tc>
          <w:tcPr>
            <w:tcW w:w="1140" w:type="dxa"/>
            <w:vAlign w:val="bottom"/>
            <w:tcBorders>
              <w:top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47,483,662</w:t>
            </w:r>
          </w:p>
        </w:tc>
        <w:tc>
          <w:tcPr>
            <w:tcW w:w="1300" w:type="dxa"/>
            <w:vAlign w:val="bottom"/>
            <w:tcBorders>
              <w:top w:val="single" w:sz="8" w:color="auto"/>
            </w:tcBorders>
          </w:tcPr>
          <w:p>
            <w:pPr>
              <w:jc w:val="center"/>
              <w:ind w:right="204"/>
              <w:spacing w:after="0" w:line="180" w:lineRule="exact"/>
              <w:rPr>
                <w:sz w:val="20"/>
                <w:szCs w:val="20"/>
                <w:color w:val="auto"/>
              </w:rPr>
            </w:pPr>
            <w:r>
              <w:rPr>
                <w:rFonts w:ascii="Calibri" w:cs="Calibri" w:eastAsia="Calibri" w:hAnsi="Calibri"/>
                <w:sz w:val="15"/>
                <w:szCs w:val="15"/>
                <w:color w:val="auto"/>
                <w:w w:val="98"/>
              </w:rPr>
              <w:t>-2.0%</w:t>
            </w:r>
          </w:p>
        </w:tc>
        <w:tc>
          <w:tcPr>
            <w:tcW w:w="720" w:type="dxa"/>
            <w:vAlign w:val="bottom"/>
            <w:tcBorders>
              <w:top w:val="single" w:sz="8" w:color="auto"/>
              <w:right w:val="single" w:sz="8" w:color="auto"/>
            </w:tcBorders>
          </w:tcPr>
          <w:p>
            <w:pPr>
              <w:jc w:val="center"/>
              <w:ind w:right="224"/>
              <w:spacing w:after="0" w:line="180" w:lineRule="exact"/>
              <w:rPr>
                <w:sz w:val="20"/>
                <w:szCs w:val="20"/>
                <w:color w:val="auto"/>
              </w:rPr>
            </w:pPr>
            <w:r>
              <w:rPr>
                <w:rFonts w:ascii="Calibri" w:cs="Calibri" w:eastAsia="Calibri" w:hAnsi="Calibri"/>
                <w:sz w:val="15"/>
                <w:szCs w:val="15"/>
                <w:color w:val="auto"/>
              </w:rPr>
              <w:t>-16.6%</w:t>
            </w:r>
          </w:p>
        </w:tc>
        <w:tc>
          <w:tcPr>
            <w:tcW w:w="700" w:type="dxa"/>
            <w:vAlign w:val="bottom"/>
            <w:tcBorders>
              <w:top w:val="single" w:sz="8" w:color="auto"/>
            </w:tcBorders>
          </w:tcPr>
          <w:p>
            <w:pPr>
              <w:jc w:val="center"/>
              <w:ind w:left="224"/>
              <w:spacing w:after="0" w:line="180" w:lineRule="exact"/>
              <w:rPr>
                <w:sz w:val="20"/>
                <w:szCs w:val="20"/>
                <w:color w:val="auto"/>
              </w:rPr>
            </w:pPr>
            <w:r>
              <w:rPr>
                <w:rFonts w:ascii="Calibri" w:cs="Calibri" w:eastAsia="Calibri" w:hAnsi="Calibri"/>
                <w:sz w:val="15"/>
                <w:szCs w:val="15"/>
                <w:color w:val="auto"/>
                <w:w w:val="96"/>
              </w:rPr>
              <w:t>46.7%</w:t>
            </w:r>
          </w:p>
        </w:tc>
        <w:tc>
          <w:tcPr>
            <w:tcW w:w="1320" w:type="dxa"/>
            <w:vAlign w:val="bottom"/>
            <w:tcBorders>
              <w:top w:val="single" w:sz="8" w:color="auto"/>
              <w:right w:val="single" w:sz="8" w:color="auto"/>
            </w:tcBorders>
          </w:tcPr>
          <w:p>
            <w:pPr>
              <w:jc w:val="center"/>
              <w:ind w:left="204"/>
              <w:spacing w:after="0" w:line="180" w:lineRule="exact"/>
              <w:rPr>
                <w:sz w:val="20"/>
                <w:szCs w:val="20"/>
                <w:color w:val="auto"/>
              </w:rPr>
            </w:pPr>
            <w:r>
              <w:rPr>
                <w:rFonts w:ascii="Calibri" w:cs="Calibri" w:eastAsia="Calibri" w:hAnsi="Calibri"/>
                <w:sz w:val="15"/>
                <w:szCs w:val="15"/>
                <w:color w:val="auto"/>
                <w:w w:val="96"/>
              </w:rPr>
              <w:t>53.3%</w:t>
            </w:r>
          </w:p>
        </w:tc>
      </w:tr>
      <w:tr>
        <w:trPr>
          <w:trHeight w:val="197"/>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Saving deposits</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56,454,479</w:t>
            </w:r>
          </w:p>
        </w:tc>
        <w:tc>
          <w:tcPr>
            <w:tcW w:w="1340" w:type="dxa"/>
            <w:vAlign w:val="bottom"/>
          </w:tcPr>
          <w:p>
            <w:pPr>
              <w:jc w:val="right"/>
              <w:ind w:right="144"/>
              <w:spacing w:after="0"/>
              <w:rPr>
                <w:sz w:val="20"/>
                <w:szCs w:val="20"/>
                <w:color w:val="auto"/>
              </w:rPr>
            </w:pPr>
            <w:r>
              <w:rPr>
                <w:rFonts w:ascii="Calibri" w:cs="Calibri" w:eastAsia="Calibri" w:hAnsi="Calibri"/>
                <w:sz w:val="15"/>
                <w:szCs w:val="15"/>
                <w:color w:val="auto"/>
              </w:rPr>
              <w:t>54,769,045</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53,418,288</w:t>
            </w:r>
          </w:p>
        </w:tc>
        <w:tc>
          <w:tcPr>
            <w:tcW w:w="1300" w:type="dxa"/>
            <w:vAlign w:val="bottom"/>
          </w:tcPr>
          <w:p>
            <w:pPr>
              <w:jc w:val="center"/>
              <w:ind w:right="204"/>
              <w:spacing w:after="0"/>
              <w:rPr>
                <w:sz w:val="20"/>
                <w:szCs w:val="20"/>
                <w:color w:val="auto"/>
              </w:rPr>
            </w:pPr>
            <w:r>
              <w:rPr>
                <w:rFonts w:ascii="Calibri" w:cs="Calibri" w:eastAsia="Calibri" w:hAnsi="Calibri"/>
                <w:sz w:val="15"/>
                <w:szCs w:val="15"/>
                <w:color w:val="auto"/>
                <w:w w:val="98"/>
              </w:rPr>
              <w:t>-2.5%</w:t>
            </w:r>
          </w:p>
        </w:tc>
        <w:tc>
          <w:tcPr>
            <w:tcW w:w="72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w w:val="98"/>
              </w:rPr>
              <w:t>-5.4%</w:t>
            </w:r>
          </w:p>
        </w:tc>
        <w:tc>
          <w:tcPr>
            <w:tcW w:w="700" w:type="dxa"/>
            <w:vAlign w:val="bottom"/>
          </w:tcPr>
          <w:p>
            <w:pPr>
              <w:jc w:val="center"/>
              <w:ind w:left="224"/>
              <w:spacing w:after="0"/>
              <w:rPr>
                <w:sz w:val="20"/>
                <w:szCs w:val="20"/>
                <w:color w:val="auto"/>
              </w:rPr>
            </w:pPr>
            <w:r>
              <w:rPr>
                <w:rFonts w:ascii="Calibri" w:cs="Calibri" w:eastAsia="Calibri" w:hAnsi="Calibri"/>
                <w:sz w:val="15"/>
                <w:szCs w:val="15"/>
                <w:color w:val="auto"/>
                <w:w w:val="96"/>
              </w:rPr>
              <w:t>55.9%</w:t>
            </w:r>
          </w:p>
        </w:tc>
        <w:tc>
          <w:tcPr>
            <w:tcW w:w="1320" w:type="dxa"/>
            <w:vAlign w:val="bottom"/>
            <w:tcBorders>
              <w:right w:val="single" w:sz="8" w:color="auto"/>
            </w:tcBorders>
          </w:tcPr>
          <w:p>
            <w:pPr>
              <w:jc w:val="center"/>
              <w:ind w:left="204"/>
              <w:spacing w:after="0"/>
              <w:rPr>
                <w:sz w:val="20"/>
                <w:szCs w:val="20"/>
                <w:color w:val="auto"/>
              </w:rPr>
            </w:pPr>
            <w:r>
              <w:rPr>
                <w:rFonts w:ascii="Calibri" w:cs="Calibri" w:eastAsia="Calibri" w:hAnsi="Calibri"/>
                <w:sz w:val="15"/>
                <w:szCs w:val="15"/>
                <w:color w:val="auto"/>
                <w:w w:val="96"/>
              </w:rPr>
              <w:t>44.1%</w:t>
            </w:r>
          </w:p>
        </w:tc>
      </w:tr>
      <w:tr>
        <w:trPr>
          <w:trHeight w:val="204"/>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Time deposits</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30,029,261</w:t>
            </w:r>
          </w:p>
        </w:tc>
        <w:tc>
          <w:tcPr>
            <w:tcW w:w="1340" w:type="dxa"/>
            <w:vAlign w:val="bottom"/>
          </w:tcPr>
          <w:p>
            <w:pPr>
              <w:jc w:val="right"/>
              <w:ind w:right="144"/>
              <w:spacing w:after="0"/>
              <w:rPr>
                <w:sz w:val="20"/>
                <w:szCs w:val="20"/>
                <w:color w:val="auto"/>
              </w:rPr>
            </w:pPr>
            <w:r>
              <w:rPr>
                <w:rFonts w:ascii="Calibri" w:cs="Calibri" w:eastAsia="Calibri" w:hAnsi="Calibri"/>
                <w:sz w:val="15"/>
                <w:szCs w:val="15"/>
                <w:color w:val="auto"/>
              </w:rPr>
              <w:t>38,897,010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43,194,573</w:t>
            </w:r>
          </w:p>
        </w:tc>
        <w:tc>
          <w:tcPr>
            <w:tcW w:w="1300" w:type="dxa"/>
            <w:vAlign w:val="bottom"/>
          </w:tcPr>
          <w:p>
            <w:pPr>
              <w:jc w:val="center"/>
              <w:ind w:right="184"/>
              <w:spacing w:after="0"/>
              <w:rPr>
                <w:sz w:val="20"/>
                <w:szCs w:val="20"/>
                <w:color w:val="auto"/>
              </w:rPr>
            </w:pPr>
            <w:r>
              <w:rPr>
                <w:rFonts w:ascii="Calibri" w:cs="Calibri" w:eastAsia="Calibri" w:hAnsi="Calibri"/>
                <w:sz w:val="15"/>
                <w:szCs w:val="15"/>
                <w:color w:val="auto"/>
                <w:w w:val="96"/>
              </w:rPr>
              <w:t>11.0%</w:t>
            </w:r>
          </w:p>
        </w:tc>
        <w:tc>
          <w:tcPr>
            <w:tcW w:w="72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rPr>
              <w:t>43.8%</w:t>
            </w:r>
          </w:p>
        </w:tc>
        <w:tc>
          <w:tcPr>
            <w:tcW w:w="700" w:type="dxa"/>
            <w:vAlign w:val="bottom"/>
          </w:tcPr>
          <w:p>
            <w:pPr>
              <w:jc w:val="center"/>
              <w:ind w:left="224"/>
              <w:spacing w:after="0"/>
              <w:rPr>
                <w:sz w:val="20"/>
                <w:szCs w:val="20"/>
                <w:color w:val="auto"/>
              </w:rPr>
            </w:pPr>
            <w:r>
              <w:rPr>
                <w:rFonts w:ascii="Calibri" w:cs="Calibri" w:eastAsia="Calibri" w:hAnsi="Calibri"/>
                <w:sz w:val="15"/>
                <w:szCs w:val="15"/>
                <w:color w:val="auto"/>
                <w:w w:val="96"/>
              </w:rPr>
              <w:t>46.5%</w:t>
            </w:r>
          </w:p>
        </w:tc>
        <w:tc>
          <w:tcPr>
            <w:tcW w:w="1320" w:type="dxa"/>
            <w:vAlign w:val="bottom"/>
            <w:tcBorders>
              <w:right w:val="single" w:sz="8" w:color="auto"/>
            </w:tcBorders>
          </w:tcPr>
          <w:p>
            <w:pPr>
              <w:jc w:val="center"/>
              <w:ind w:left="204"/>
              <w:spacing w:after="0"/>
              <w:rPr>
                <w:sz w:val="20"/>
                <w:szCs w:val="20"/>
                <w:color w:val="auto"/>
              </w:rPr>
            </w:pPr>
            <w:r>
              <w:rPr>
                <w:rFonts w:ascii="Calibri" w:cs="Calibri" w:eastAsia="Calibri" w:hAnsi="Calibri"/>
                <w:sz w:val="15"/>
                <w:szCs w:val="15"/>
                <w:color w:val="auto"/>
                <w:w w:val="96"/>
              </w:rPr>
              <w:t>53.5%</w:t>
            </w:r>
          </w:p>
        </w:tc>
      </w:tr>
      <w:tr>
        <w:trPr>
          <w:trHeight w:val="204"/>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Severance indemnity deposits</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3,750,593</w:t>
            </w:r>
          </w:p>
        </w:tc>
        <w:tc>
          <w:tcPr>
            <w:tcW w:w="1340" w:type="dxa"/>
            <w:vAlign w:val="bottom"/>
          </w:tcPr>
          <w:p>
            <w:pPr>
              <w:jc w:val="right"/>
              <w:ind w:right="144"/>
              <w:spacing w:after="0"/>
              <w:rPr>
                <w:sz w:val="20"/>
                <w:szCs w:val="20"/>
                <w:color w:val="auto"/>
              </w:rPr>
            </w:pPr>
            <w:r>
              <w:rPr>
                <w:rFonts w:ascii="Calibri" w:cs="Calibri" w:eastAsia="Calibri" w:hAnsi="Calibri"/>
                <w:sz w:val="15"/>
                <w:szCs w:val="15"/>
                <w:color w:val="auto"/>
              </w:rPr>
              <w:t>3,824,629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3,322,691</w:t>
            </w:r>
          </w:p>
        </w:tc>
        <w:tc>
          <w:tcPr>
            <w:tcW w:w="1300" w:type="dxa"/>
            <w:vAlign w:val="bottom"/>
          </w:tcPr>
          <w:p>
            <w:pPr>
              <w:jc w:val="center"/>
              <w:ind w:right="204"/>
              <w:spacing w:after="0"/>
              <w:rPr>
                <w:sz w:val="20"/>
                <w:szCs w:val="20"/>
                <w:color w:val="auto"/>
              </w:rPr>
            </w:pPr>
            <w:r>
              <w:rPr>
                <w:rFonts w:ascii="Calibri" w:cs="Calibri" w:eastAsia="Calibri" w:hAnsi="Calibri"/>
                <w:sz w:val="15"/>
                <w:szCs w:val="15"/>
                <w:color w:val="auto"/>
              </w:rPr>
              <w:t>-13.1%</w:t>
            </w:r>
          </w:p>
        </w:tc>
        <w:tc>
          <w:tcPr>
            <w:tcW w:w="72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rPr>
              <w:t>-11.4%</w:t>
            </w:r>
          </w:p>
        </w:tc>
        <w:tc>
          <w:tcPr>
            <w:tcW w:w="700" w:type="dxa"/>
            <w:vAlign w:val="bottom"/>
          </w:tcPr>
          <w:p>
            <w:pPr>
              <w:jc w:val="center"/>
              <w:ind w:left="224"/>
              <w:spacing w:after="0"/>
              <w:rPr>
                <w:sz w:val="20"/>
                <w:szCs w:val="20"/>
                <w:color w:val="auto"/>
              </w:rPr>
            </w:pPr>
            <w:r>
              <w:rPr>
                <w:rFonts w:ascii="Calibri" w:cs="Calibri" w:eastAsia="Calibri" w:hAnsi="Calibri"/>
                <w:sz w:val="15"/>
                <w:szCs w:val="15"/>
                <w:color w:val="auto"/>
                <w:w w:val="96"/>
              </w:rPr>
              <w:t>70.2%</w:t>
            </w:r>
          </w:p>
        </w:tc>
        <w:tc>
          <w:tcPr>
            <w:tcW w:w="1320" w:type="dxa"/>
            <w:vAlign w:val="bottom"/>
            <w:tcBorders>
              <w:right w:val="single" w:sz="8" w:color="auto"/>
            </w:tcBorders>
          </w:tcPr>
          <w:p>
            <w:pPr>
              <w:jc w:val="center"/>
              <w:ind w:left="204"/>
              <w:spacing w:after="0"/>
              <w:rPr>
                <w:sz w:val="20"/>
                <w:szCs w:val="20"/>
                <w:color w:val="auto"/>
              </w:rPr>
            </w:pPr>
            <w:r>
              <w:rPr>
                <w:rFonts w:ascii="Calibri" w:cs="Calibri" w:eastAsia="Calibri" w:hAnsi="Calibri"/>
                <w:sz w:val="15"/>
                <w:szCs w:val="15"/>
                <w:color w:val="auto"/>
                <w:w w:val="96"/>
              </w:rPr>
              <w:t>29.8%</w:t>
            </w:r>
          </w:p>
        </w:tc>
      </w:tr>
      <w:tr>
        <w:trPr>
          <w:trHeight w:val="204"/>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Interest payable</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757,772</w:t>
            </w:r>
          </w:p>
        </w:tc>
        <w:tc>
          <w:tcPr>
            <w:tcW w:w="1340" w:type="dxa"/>
            <w:vAlign w:val="bottom"/>
          </w:tcPr>
          <w:p>
            <w:pPr>
              <w:jc w:val="right"/>
              <w:ind w:right="144"/>
              <w:spacing w:after="0"/>
              <w:rPr>
                <w:sz w:val="20"/>
                <w:szCs w:val="20"/>
                <w:color w:val="auto"/>
              </w:rPr>
            </w:pPr>
            <w:r>
              <w:rPr>
                <w:rFonts w:ascii="Calibri" w:cs="Calibri" w:eastAsia="Calibri" w:hAnsi="Calibri"/>
                <w:sz w:val="15"/>
                <w:szCs w:val="15"/>
                <w:color w:val="auto"/>
              </w:rPr>
              <w:t>1,062,856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1,204,086</w:t>
            </w:r>
          </w:p>
        </w:tc>
        <w:tc>
          <w:tcPr>
            <w:tcW w:w="1300" w:type="dxa"/>
            <w:vAlign w:val="bottom"/>
          </w:tcPr>
          <w:p>
            <w:pPr>
              <w:jc w:val="center"/>
              <w:ind w:right="184"/>
              <w:spacing w:after="0"/>
              <w:rPr>
                <w:sz w:val="20"/>
                <w:szCs w:val="20"/>
                <w:color w:val="auto"/>
              </w:rPr>
            </w:pPr>
            <w:r>
              <w:rPr>
                <w:rFonts w:ascii="Calibri" w:cs="Calibri" w:eastAsia="Calibri" w:hAnsi="Calibri"/>
                <w:sz w:val="15"/>
                <w:szCs w:val="15"/>
                <w:color w:val="auto"/>
                <w:w w:val="96"/>
              </w:rPr>
              <w:t>13.3%</w:t>
            </w:r>
          </w:p>
        </w:tc>
        <w:tc>
          <w:tcPr>
            <w:tcW w:w="72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rPr>
              <w:t>58.9%</w:t>
            </w:r>
          </w:p>
        </w:tc>
        <w:tc>
          <w:tcPr>
            <w:tcW w:w="700" w:type="dxa"/>
            <w:vAlign w:val="bottom"/>
          </w:tcPr>
          <w:p>
            <w:pPr>
              <w:jc w:val="center"/>
              <w:ind w:left="224"/>
              <w:spacing w:after="0"/>
              <w:rPr>
                <w:sz w:val="20"/>
                <w:szCs w:val="20"/>
                <w:color w:val="auto"/>
              </w:rPr>
            </w:pPr>
            <w:r>
              <w:rPr>
                <w:rFonts w:ascii="Calibri" w:cs="Calibri" w:eastAsia="Calibri" w:hAnsi="Calibri"/>
                <w:sz w:val="15"/>
                <w:szCs w:val="15"/>
                <w:color w:val="auto"/>
                <w:w w:val="96"/>
              </w:rPr>
              <w:t>50.3%</w:t>
            </w:r>
          </w:p>
        </w:tc>
        <w:tc>
          <w:tcPr>
            <w:tcW w:w="1320" w:type="dxa"/>
            <w:vAlign w:val="bottom"/>
            <w:tcBorders>
              <w:right w:val="single" w:sz="8" w:color="auto"/>
            </w:tcBorders>
          </w:tcPr>
          <w:p>
            <w:pPr>
              <w:jc w:val="center"/>
              <w:ind w:left="204"/>
              <w:spacing w:after="0"/>
              <w:rPr>
                <w:sz w:val="20"/>
                <w:szCs w:val="20"/>
                <w:color w:val="auto"/>
              </w:rPr>
            </w:pPr>
            <w:r>
              <w:rPr>
                <w:rFonts w:ascii="Calibri" w:cs="Calibri" w:eastAsia="Calibri" w:hAnsi="Calibri"/>
                <w:sz w:val="15"/>
                <w:szCs w:val="15"/>
                <w:color w:val="auto"/>
                <w:w w:val="96"/>
              </w:rPr>
              <w:t>49.7%</w:t>
            </w:r>
          </w:p>
        </w:tc>
      </w:tr>
      <w:tr>
        <w:trPr>
          <w:trHeight w:val="35"/>
        </w:trPr>
        <w:tc>
          <w:tcPr>
            <w:tcW w:w="3180" w:type="dxa"/>
            <w:vAlign w:val="bottom"/>
            <w:tcBorders>
              <w:left w:val="single" w:sz="8" w:color="auto"/>
              <w:bottom w:val="single" w:sz="8" w:color="auto"/>
              <w:right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179"/>
        </w:trPr>
        <w:tc>
          <w:tcPr>
            <w:tcW w:w="318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Total Deposits</w:t>
            </w:r>
          </w:p>
        </w:tc>
        <w:tc>
          <w:tcPr>
            <w:tcW w:w="1560" w:type="dxa"/>
            <w:vAlign w:val="bottom"/>
          </w:tcPr>
          <w:p>
            <w:pPr>
              <w:jc w:val="right"/>
              <w:ind w:right="164"/>
              <w:spacing w:after="0" w:line="180" w:lineRule="exact"/>
              <w:rPr>
                <w:sz w:val="20"/>
                <w:szCs w:val="20"/>
                <w:color w:val="auto"/>
              </w:rPr>
            </w:pPr>
            <w:r>
              <w:rPr>
                <w:rFonts w:ascii="Calibri" w:cs="Calibri" w:eastAsia="Calibri" w:hAnsi="Calibri"/>
                <w:sz w:val="15"/>
                <w:szCs w:val="15"/>
                <w:b w:val="1"/>
                <w:bCs w:val="1"/>
                <w:color w:val="auto"/>
              </w:rPr>
              <w:t>147,915,964</w:t>
            </w:r>
          </w:p>
        </w:tc>
        <w:tc>
          <w:tcPr>
            <w:tcW w:w="1340" w:type="dxa"/>
            <w:vAlign w:val="bottom"/>
          </w:tcPr>
          <w:p>
            <w:pPr>
              <w:jc w:val="right"/>
              <w:ind w:right="144"/>
              <w:spacing w:after="0" w:line="180" w:lineRule="exact"/>
              <w:rPr>
                <w:sz w:val="20"/>
                <w:szCs w:val="20"/>
                <w:color w:val="auto"/>
              </w:rPr>
            </w:pPr>
            <w:r>
              <w:rPr>
                <w:rFonts w:ascii="Calibri" w:cs="Calibri" w:eastAsia="Calibri" w:hAnsi="Calibri"/>
                <w:sz w:val="15"/>
                <w:szCs w:val="15"/>
                <w:b w:val="1"/>
                <w:bCs w:val="1"/>
                <w:color w:val="auto"/>
              </w:rPr>
              <w:t>147,020,787</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148,623,300</w:t>
            </w:r>
          </w:p>
        </w:tc>
        <w:tc>
          <w:tcPr>
            <w:tcW w:w="1300" w:type="dxa"/>
            <w:vAlign w:val="bottom"/>
          </w:tcPr>
          <w:p>
            <w:pPr>
              <w:jc w:val="center"/>
              <w:ind w:right="204"/>
              <w:spacing w:after="0" w:line="180" w:lineRule="exact"/>
              <w:rPr>
                <w:sz w:val="20"/>
                <w:szCs w:val="20"/>
                <w:color w:val="auto"/>
              </w:rPr>
            </w:pPr>
            <w:r>
              <w:rPr>
                <w:rFonts w:ascii="Calibri" w:cs="Calibri" w:eastAsia="Calibri" w:hAnsi="Calibri"/>
                <w:sz w:val="15"/>
                <w:szCs w:val="15"/>
                <w:b w:val="1"/>
                <w:bCs w:val="1"/>
                <w:color w:val="auto"/>
                <w:w w:val="99"/>
              </w:rPr>
              <w:t>1.1%</w:t>
            </w:r>
          </w:p>
        </w:tc>
        <w:tc>
          <w:tcPr>
            <w:tcW w:w="720" w:type="dxa"/>
            <w:vAlign w:val="bottom"/>
            <w:tcBorders>
              <w:right w:val="single" w:sz="8" w:color="auto"/>
            </w:tcBorders>
          </w:tcPr>
          <w:p>
            <w:pPr>
              <w:jc w:val="center"/>
              <w:ind w:right="224"/>
              <w:spacing w:after="0" w:line="180" w:lineRule="exact"/>
              <w:rPr>
                <w:sz w:val="20"/>
                <w:szCs w:val="20"/>
                <w:color w:val="auto"/>
              </w:rPr>
            </w:pPr>
            <w:r>
              <w:rPr>
                <w:rFonts w:ascii="Calibri" w:cs="Calibri" w:eastAsia="Calibri" w:hAnsi="Calibri"/>
                <w:sz w:val="15"/>
                <w:szCs w:val="15"/>
                <w:b w:val="1"/>
                <w:bCs w:val="1"/>
                <w:color w:val="auto"/>
                <w:w w:val="99"/>
              </w:rPr>
              <w:t>0.5%</w:t>
            </w:r>
          </w:p>
        </w:tc>
        <w:tc>
          <w:tcPr>
            <w:tcW w:w="700" w:type="dxa"/>
            <w:vAlign w:val="bottom"/>
          </w:tcPr>
          <w:p>
            <w:pPr>
              <w:jc w:val="center"/>
              <w:ind w:left="244"/>
              <w:spacing w:after="0" w:line="180" w:lineRule="exact"/>
              <w:rPr>
                <w:sz w:val="20"/>
                <w:szCs w:val="20"/>
                <w:color w:val="auto"/>
              </w:rPr>
            </w:pPr>
            <w:r>
              <w:rPr>
                <w:rFonts w:ascii="Calibri" w:cs="Calibri" w:eastAsia="Calibri" w:hAnsi="Calibri"/>
                <w:sz w:val="15"/>
                <w:szCs w:val="15"/>
                <w:b w:val="1"/>
                <w:bCs w:val="1"/>
                <w:color w:val="auto"/>
              </w:rPr>
              <w:t>50.3%</w:t>
            </w:r>
          </w:p>
        </w:tc>
        <w:tc>
          <w:tcPr>
            <w:tcW w:w="1320" w:type="dxa"/>
            <w:vAlign w:val="bottom"/>
            <w:tcBorders>
              <w:right w:val="single" w:sz="8" w:color="auto"/>
            </w:tcBorders>
          </w:tcPr>
          <w:p>
            <w:pPr>
              <w:jc w:val="center"/>
              <w:ind w:left="204"/>
              <w:spacing w:after="0" w:line="180" w:lineRule="exact"/>
              <w:rPr>
                <w:sz w:val="20"/>
                <w:szCs w:val="20"/>
                <w:color w:val="auto"/>
              </w:rPr>
            </w:pPr>
            <w:r>
              <w:rPr>
                <w:rFonts w:ascii="Calibri" w:cs="Calibri" w:eastAsia="Calibri" w:hAnsi="Calibri"/>
                <w:sz w:val="15"/>
                <w:szCs w:val="15"/>
                <w:b w:val="1"/>
                <w:bCs w:val="1"/>
                <w:color w:val="auto"/>
                <w:w w:val="95"/>
              </w:rPr>
              <w:t>49.7%</w:t>
            </w: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bl>
    <w:p>
      <w:pPr>
        <w:spacing w:after="0" w:line="182" w:lineRule="exact"/>
        <w:rPr>
          <w:sz w:val="20"/>
          <w:szCs w:val="20"/>
          <w:color w:val="auto"/>
        </w:rPr>
      </w:pPr>
    </w:p>
    <w:p>
      <w:pPr>
        <w:spacing w:after="0"/>
        <w:rPr>
          <w:sz w:val="20"/>
          <w:szCs w:val="20"/>
          <w:color w:val="auto"/>
        </w:rPr>
      </w:pPr>
      <w:r>
        <w:rPr>
          <w:rFonts w:ascii="Calibri" w:cs="Calibri" w:eastAsia="Calibri" w:hAnsi="Calibri"/>
          <w:sz w:val="15"/>
          <w:szCs w:val="15"/>
          <w:color w:val="auto"/>
        </w:rPr>
        <w:t xml:space="preserve">Our </w:t>
      </w:r>
      <w:r>
        <w:rPr>
          <w:rFonts w:ascii="Calibri" w:cs="Calibri" w:eastAsia="Calibri" w:hAnsi="Calibri"/>
          <w:sz w:val="15"/>
          <w:szCs w:val="15"/>
          <w:b w:val="1"/>
          <w:bCs w:val="1"/>
          <w:color w:val="auto"/>
        </w:rPr>
        <w:t>Total Deposit</w:t>
      </w:r>
      <w:r>
        <w:rPr>
          <w:rFonts w:ascii="Calibri" w:cs="Calibri" w:eastAsia="Calibri" w:hAnsi="Calibri"/>
          <w:sz w:val="15"/>
          <w:szCs w:val="15"/>
          <w:color w:val="auto"/>
        </w:rPr>
        <w:t xml:space="preserve"> base increased 1.1% QoQ and 0.5% YoY. This growth was driven by the following dynamics:</w:t>
      </w:r>
    </w:p>
    <w:p>
      <w:pPr>
        <w:spacing w:after="0" w:line="206" w:lineRule="exact"/>
        <w:rPr>
          <w:sz w:val="20"/>
          <w:szCs w:val="20"/>
          <w:color w:val="auto"/>
        </w:rPr>
      </w:pPr>
    </w:p>
    <w:p>
      <w:pPr>
        <w:ind w:left="540" w:hanging="277"/>
        <w:spacing w:after="0" w:line="236" w:lineRule="auto"/>
        <w:tabs>
          <w:tab w:leader="none" w:pos="540" w:val="left"/>
        </w:tabs>
        <w:numPr>
          <w:ilvl w:val="0"/>
          <w:numId w:val="26"/>
        </w:numPr>
        <w:rPr>
          <w:rFonts w:ascii="Arial" w:cs="Arial" w:eastAsia="Arial" w:hAnsi="Arial"/>
          <w:sz w:val="15"/>
          <w:szCs w:val="15"/>
          <w:color w:val="auto"/>
        </w:rPr>
      </w:pPr>
      <w:r>
        <w:rPr>
          <w:rFonts w:ascii="Calibri" w:cs="Calibri" w:eastAsia="Calibri" w:hAnsi="Calibri"/>
          <w:sz w:val="15"/>
          <w:szCs w:val="15"/>
          <w:color w:val="auto"/>
        </w:rPr>
        <w:t xml:space="preserve">Growth of 11.0% in </w:t>
      </w:r>
      <w:r>
        <w:rPr>
          <w:rFonts w:ascii="Calibri" w:cs="Calibri" w:eastAsia="Calibri" w:hAnsi="Calibri"/>
          <w:sz w:val="15"/>
          <w:szCs w:val="15"/>
          <w:b w:val="1"/>
          <w:bCs w:val="1"/>
          <w:color w:val="auto"/>
        </w:rPr>
        <w:t>Time Deposits</w:t>
      </w:r>
      <w:r>
        <w:rPr>
          <w:rFonts w:ascii="Calibri" w:cs="Calibri" w:eastAsia="Calibri" w:hAnsi="Calibri"/>
          <w:sz w:val="15"/>
          <w:szCs w:val="15"/>
          <w:color w:val="auto"/>
        </w:rPr>
        <w:t>, which was driven primarily by FC deposits by corporate clients at BCP Stand-alone and secondarily by Mibanco, where clients moved to take advantage of higher rates.</w:t>
      </w:r>
    </w:p>
    <w:p>
      <w:pPr>
        <w:spacing w:after="0" w:line="113" w:lineRule="exact"/>
        <w:rPr>
          <w:sz w:val="20"/>
          <w:szCs w:val="20"/>
          <w:color w:val="auto"/>
        </w:rPr>
      </w:pPr>
    </w:p>
    <w:p>
      <w:pPr>
        <w:spacing w:after="0"/>
        <w:rPr>
          <w:sz w:val="20"/>
          <w:szCs w:val="20"/>
          <w:color w:val="auto"/>
        </w:rPr>
      </w:pPr>
      <w:r>
        <w:rPr>
          <w:rFonts w:ascii="Calibri" w:cs="Calibri" w:eastAsia="Calibri" w:hAnsi="Calibri"/>
          <w:sz w:val="15"/>
          <w:szCs w:val="15"/>
          <w:color w:val="auto"/>
        </w:rPr>
        <w:t>The aforementoned was partally ofset by:</w:t>
      </w:r>
    </w:p>
    <w:p>
      <w:pPr>
        <w:spacing w:after="0" w:line="127" w:lineRule="exact"/>
        <w:rPr>
          <w:sz w:val="20"/>
          <w:szCs w:val="20"/>
          <w:color w:val="auto"/>
        </w:rPr>
      </w:pPr>
    </w:p>
    <w:p>
      <w:pPr>
        <w:jc w:val="both"/>
        <w:ind w:left="540" w:hanging="277"/>
        <w:spacing w:after="0" w:line="237" w:lineRule="auto"/>
        <w:tabs>
          <w:tab w:leader="none" w:pos="540" w:val="left"/>
        </w:tabs>
        <w:numPr>
          <w:ilvl w:val="0"/>
          <w:numId w:val="27"/>
        </w:numPr>
        <w:rPr>
          <w:rFonts w:ascii="Arial" w:cs="Arial" w:eastAsia="Arial" w:hAnsi="Arial"/>
          <w:sz w:val="15"/>
          <w:szCs w:val="15"/>
          <w:color w:val="auto"/>
        </w:rPr>
      </w:pPr>
      <w:r>
        <w:rPr>
          <w:rFonts w:ascii="Calibri" w:cs="Calibri" w:eastAsia="Calibri" w:hAnsi="Calibri"/>
          <w:sz w:val="15"/>
          <w:szCs w:val="15"/>
          <w:color w:val="auto"/>
        </w:rPr>
        <w:t xml:space="preserve">A 2.5% reducton in </w:t>
      </w:r>
      <w:r>
        <w:rPr>
          <w:rFonts w:ascii="Calibri" w:cs="Calibri" w:eastAsia="Calibri" w:hAnsi="Calibri"/>
          <w:sz w:val="15"/>
          <w:szCs w:val="15"/>
          <w:b w:val="1"/>
          <w:bCs w:val="1"/>
          <w:color w:val="auto"/>
        </w:rPr>
        <w:t>Savings Deposits</w:t>
      </w:r>
      <w:r>
        <w:rPr>
          <w:rFonts w:ascii="Calibri" w:cs="Calibri" w:eastAsia="Calibri" w:hAnsi="Calibri"/>
          <w:sz w:val="15"/>
          <w:szCs w:val="15"/>
          <w:color w:val="auto"/>
        </w:rPr>
        <w:t xml:space="preserve"> in both LC and FC, which was mainly atributable to a drop in volumes at BCP Stand-alone and at BCP Bolivia. The reducton in volumes at BCP Stand-alone was driven by clients’ moves to migrate funds to higher-yield deposits to take advantage of record-high interest rates while at BCP Bolivia, the decline refects the impact of an adverse macroeconomic environment.</w:t>
      </w:r>
    </w:p>
    <w:p>
      <w:pPr>
        <w:spacing w:after="0" w:line="126" w:lineRule="exact"/>
        <w:rPr>
          <w:rFonts w:ascii="Arial" w:cs="Arial" w:eastAsia="Arial" w:hAnsi="Arial"/>
          <w:sz w:val="15"/>
          <w:szCs w:val="15"/>
          <w:color w:val="auto"/>
        </w:rPr>
      </w:pPr>
    </w:p>
    <w:p>
      <w:pPr>
        <w:ind w:left="540" w:right="20" w:hanging="277"/>
        <w:spacing w:after="0" w:line="236" w:lineRule="auto"/>
        <w:tabs>
          <w:tab w:leader="none" w:pos="540" w:val="left"/>
        </w:tabs>
        <w:numPr>
          <w:ilvl w:val="0"/>
          <w:numId w:val="27"/>
        </w:numPr>
        <w:rPr>
          <w:rFonts w:ascii="Arial" w:cs="Arial" w:eastAsia="Arial" w:hAnsi="Arial"/>
          <w:sz w:val="15"/>
          <w:szCs w:val="15"/>
          <w:color w:val="auto"/>
        </w:rPr>
      </w:pPr>
      <w:r>
        <w:rPr>
          <w:rFonts w:ascii="Calibri" w:cs="Calibri" w:eastAsia="Calibri" w:hAnsi="Calibri"/>
          <w:sz w:val="15"/>
          <w:szCs w:val="15"/>
          <w:color w:val="auto"/>
        </w:rPr>
        <w:t xml:space="preserve">The 2.0% decline in </w:t>
      </w:r>
      <w:r>
        <w:rPr>
          <w:rFonts w:ascii="Calibri" w:cs="Calibri" w:eastAsia="Calibri" w:hAnsi="Calibri"/>
          <w:sz w:val="15"/>
          <w:szCs w:val="15"/>
          <w:b w:val="1"/>
          <w:bCs w:val="1"/>
          <w:color w:val="auto"/>
        </w:rPr>
        <w:t>Demand Deposits</w:t>
      </w:r>
      <w:r>
        <w:rPr>
          <w:rFonts w:ascii="Calibri" w:cs="Calibri" w:eastAsia="Calibri" w:hAnsi="Calibri"/>
          <w:sz w:val="15"/>
          <w:szCs w:val="15"/>
          <w:color w:val="auto"/>
        </w:rPr>
        <w:t>. This decline was triggered by a drop in FC deposits, which was in turn spurred by a reducton in the demand deposits at BCP and ASB afer funds migrated to higher-yield deposits. The drop in FC was partally ofset by an increase in LC over the period.</w:t>
      </w:r>
    </w:p>
    <w:p>
      <w:pPr>
        <w:spacing w:after="0" w:line="116" w:lineRule="exact"/>
        <w:rPr>
          <w:sz w:val="20"/>
          <w:szCs w:val="20"/>
          <w:color w:val="auto"/>
        </w:rPr>
      </w:pPr>
    </w:p>
    <w:p>
      <w:pPr>
        <w:spacing w:after="0" w:line="236" w:lineRule="auto"/>
        <w:rPr>
          <w:sz w:val="20"/>
          <w:szCs w:val="20"/>
          <w:color w:val="auto"/>
        </w:rPr>
      </w:pPr>
      <w:r>
        <w:rPr>
          <w:rFonts w:ascii="Calibri" w:cs="Calibri" w:eastAsia="Calibri" w:hAnsi="Calibri"/>
          <w:sz w:val="15"/>
          <w:szCs w:val="15"/>
          <w:color w:val="auto"/>
        </w:rPr>
        <w:t xml:space="preserve">The low-cost deposit volume </w:t>
      </w:r>
      <w:r>
        <w:rPr>
          <w:rFonts w:ascii="Calibri" w:cs="Calibri" w:eastAsia="Calibri" w:hAnsi="Calibri"/>
          <w:sz w:val="15"/>
          <w:szCs w:val="15"/>
          <w:b w:val="1"/>
          <w:bCs w:val="1"/>
          <w:color w:val="auto"/>
        </w:rPr>
        <w:t>(Demand + savings)</w:t>
      </w:r>
      <w:r>
        <w:rPr>
          <w:rFonts w:ascii="Calibri" w:cs="Calibri" w:eastAsia="Calibri" w:hAnsi="Calibri"/>
          <w:sz w:val="15"/>
          <w:szCs w:val="15"/>
          <w:color w:val="auto"/>
        </w:rPr>
        <w:t xml:space="preserve"> has fallen and is returning to pre-pandemic levels. Nevertheless, this deposit type contnues to represent a sizeable share of total deposits (67.9%).</w:t>
      </w:r>
    </w:p>
    <w:p>
      <w:pPr>
        <w:spacing w:after="0" w:line="115"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Deposit Dollarizaton Level</w:t>
      </w:r>
    </w:p>
    <w:p>
      <w:pPr>
        <w:spacing w:after="0" w:line="210" w:lineRule="exact"/>
        <w:rPr>
          <w:sz w:val="20"/>
          <w:szCs w:val="20"/>
          <w:color w:val="auto"/>
        </w:rPr>
      </w:pPr>
    </w:p>
    <w:tbl>
      <w:tblPr>
        <w:tblLayout w:type="fixed"/>
        <w:tblInd w:w="1800" w:type="dxa"/>
        <w:tblCellMar>
          <w:top w:w="0" w:type="dxa"/>
          <w:left w:w="0" w:type="dxa"/>
          <w:bottom w:w="0" w:type="dxa"/>
          <w:right w:w="0" w:type="dxa"/>
        </w:tblCellMar>
      </w:tblPr>
      <w:tr>
        <w:trPr>
          <w:trHeight w:val="183"/>
        </w:trPr>
        <w:tc>
          <w:tcPr>
            <w:tcW w:w="2920" w:type="dxa"/>
            <w:vAlign w:val="bottom"/>
          </w:tcPr>
          <w:p>
            <w:pPr>
              <w:jc w:val="center"/>
              <w:ind w:right="1052"/>
              <w:spacing w:after="0"/>
              <w:rPr>
                <w:sz w:val="20"/>
                <w:szCs w:val="20"/>
                <w:color w:val="auto"/>
              </w:rPr>
            </w:pPr>
            <w:r>
              <w:rPr>
                <w:rFonts w:ascii="Calibri" w:cs="Calibri" w:eastAsia="Calibri" w:hAnsi="Calibri"/>
                <w:sz w:val="15"/>
                <w:szCs w:val="15"/>
                <w:b w:val="1"/>
                <w:bCs w:val="1"/>
                <w:color w:val="auto"/>
                <w:w w:val="98"/>
              </w:rPr>
              <w:t>Deposits by currency</w:t>
            </w:r>
          </w:p>
        </w:tc>
        <w:tc>
          <w:tcPr>
            <w:tcW w:w="6540" w:type="dxa"/>
            <w:vAlign w:val="bottom"/>
          </w:tcPr>
          <w:p>
            <w:pPr>
              <w:ind w:left="1120"/>
              <w:spacing w:after="0"/>
              <w:rPr>
                <w:sz w:val="20"/>
                <w:szCs w:val="20"/>
                <w:color w:val="auto"/>
              </w:rPr>
            </w:pPr>
            <w:r>
              <w:rPr>
                <w:rFonts w:ascii="Calibri" w:cs="Calibri" w:eastAsia="Calibri" w:hAnsi="Calibri"/>
                <w:sz w:val="15"/>
                <w:szCs w:val="15"/>
                <w:color w:val="auto"/>
              </w:rPr>
              <w:t>At the end of March 2023, the dollarizaton level of Total Deposits fell 10 bps QoQ. This</w:t>
            </w:r>
          </w:p>
        </w:tc>
      </w:tr>
      <w:tr>
        <w:trPr>
          <w:trHeight w:val="182"/>
        </w:trPr>
        <w:tc>
          <w:tcPr>
            <w:tcW w:w="2920" w:type="dxa"/>
            <w:vAlign w:val="bottom"/>
          </w:tcPr>
          <w:p>
            <w:pPr>
              <w:jc w:val="center"/>
              <w:ind w:right="1072"/>
              <w:spacing w:after="0"/>
              <w:rPr>
                <w:sz w:val="20"/>
                <w:szCs w:val="20"/>
                <w:color w:val="auto"/>
              </w:rPr>
            </w:pPr>
            <w:r>
              <w:rPr>
                <w:rFonts w:ascii="Calibri" w:cs="Calibri" w:eastAsia="Calibri" w:hAnsi="Calibri"/>
                <w:sz w:val="12"/>
                <w:szCs w:val="12"/>
                <w:color w:val="auto"/>
              </w:rPr>
              <w:t>(measured in quarter -end balances)</w:t>
            </w:r>
          </w:p>
        </w:tc>
        <w:tc>
          <w:tcPr>
            <w:tcW w:w="6540" w:type="dxa"/>
            <w:vAlign w:val="bottom"/>
          </w:tcPr>
          <w:p>
            <w:pPr>
              <w:ind w:left="1120"/>
              <w:spacing w:after="0" w:line="181" w:lineRule="exact"/>
              <w:rPr>
                <w:sz w:val="20"/>
                <w:szCs w:val="20"/>
                <w:color w:val="auto"/>
              </w:rPr>
            </w:pPr>
            <w:r>
              <w:rPr>
                <w:rFonts w:ascii="Calibri" w:cs="Calibri" w:eastAsia="Calibri" w:hAnsi="Calibri"/>
                <w:sz w:val="15"/>
                <w:szCs w:val="15"/>
                <w:color w:val="auto"/>
              </w:rPr>
              <w:t>drop was driven by Demand Deposits, which were impacted by the migraton of funds</w:t>
            </w:r>
          </w:p>
        </w:tc>
      </w:tr>
      <w:tr>
        <w:trPr>
          <w:trHeight w:val="182"/>
        </w:trPr>
        <w:tc>
          <w:tcPr>
            <w:tcW w:w="2920" w:type="dxa"/>
            <w:vAlign w:val="bottom"/>
          </w:tcPr>
          <w:p>
            <w:pPr>
              <w:spacing w:after="0"/>
              <w:rPr>
                <w:sz w:val="15"/>
                <w:szCs w:val="15"/>
                <w:color w:val="auto"/>
              </w:rPr>
            </w:pPr>
          </w:p>
        </w:tc>
        <w:tc>
          <w:tcPr>
            <w:tcW w:w="6540" w:type="dxa"/>
            <w:vAlign w:val="bottom"/>
          </w:tcPr>
          <w:p>
            <w:pPr>
              <w:ind w:left="1120"/>
              <w:spacing w:after="0" w:line="181" w:lineRule="exact"/>
              <w:rPr>
                <w:sz w:val="20"/>
                <w:szCs w:val="20"/>
                <w:color w:val="auto"/>
              </w:rPr>
            </w:pPr>
            <w:r>
              <w:rPr>
                <w:rFonts w:ascii="Calibri" w:cs="Calibri" w:eastAsia="Calibri" w:hAnsi="Calibri"/>
                <w:sz w:val="15"/>
                <w:szCs w:val="15"/>
                <w:color w:val="auto"/>
              </w:rPr>
              <w:t>from FC to LC at BCP Stand-alone in a context marked by a lower exchange rate and an</w:t>
            </w:r>
          </w:p>
        </w:tc>
      </w:tr>
      <w:tr>
        <w:trPr>
          <w:trHeight w:val="182"/>
        </w:trPr>
        <w:tc>
          <w:tcPr>
            <w:tcW w:w="2920" w:type="dxa"/>
            <w:vAlign w:val="bottom"/>
          </w:tcPr>
          <w:p>
            <w:pPr>
              <w:spacing w:after="0"/>
              <w:rPr>
                <w:sz w:val="15"/>
                <w:szCs w:val="15"/>
                <w:color w:val="auto"/>
              </w:rPr>
            </w:pPr>
          </w:p>
        </w:tc>
        <w:tc>
          <w:tcPr>
            <w:tcW w:w="6540" w:type="dxa"/>
            <w:vAlign w:val="bottom"/>
          </w:tcPr>
          <w:p>
            <w:pPr>
              <w:ind w:left="1120"/>
              <w:spacing w:after="0" w:line="181" w:lineRule="exact"/>
              <w:rPr>
                <w:sz w:val="20"/>
                <w:szCs w:val="20"/>
                <w:color w:val="auto"/>
              </w:rPr>
            </w:pPr>
            <w:r>
              <w:rPr>
                <w:rFonts w:ascii="Calibri" w:cs="Calibri" w:eastAsia="Calibri" w:hAnsi="Calibri"/>
                <w:sz w:val="15"/>
                <w:szCs w:val="15"/>
                <w:color w:val="auto"/>
              </w:rPr>
              <w:t>improvement in market expectatons.</w:t>
            </w:r>
          </w:p>
        </w:tc>
      </w:tr>
      <w:tr>
        <w:trPr>
          <w:trHeight w:val="386"/>
        </w:trPr>
        <w:tc>
          <w:tcPr>
            <w:tcW w:w="2920" w:type="dxa"/>
            <w:vAlign w:val="bottom"/>
          </w:tcPr>
          <w:p>
            <w:pPr>
              <w:spacing w:after="0"/>
              <w:rPr>
                <w:sz w:val="24"/>
                <w:szCs w:val="24"/>
                <w:color w:val="auto"/>
              </w:rPr>
            </w:pPr>
          </w:p>
        </w:tc>
        <w:tc>
          <w:tcPr>
            <w:tcW w:w="6540" w:type="dxa"/>
            <w:vAlign w:val="bottom"/>
          </w:tcPr>
          <w:p>
            <w:pPr>
              <w:ind w:left="1120"/>
              <w:spacing w:after="0"/>
              <w:rPr>
                <w:sz w:val="20"/>
                <w:szCs w:val="20"/>
                <w:color w:val="auto"/>
              </w:rPr>
            </w:pPr>
            <w:r>
              <w:rPr>
                <w:rFonts w:ascii="Calibri" w:cs="Calibri" w:eastAsia="Calibri" w:hAnsi="Calibri"/>
                <w:sz w:val="15"/>
                <w:szCs w:val="15"/>
                <w:color w:val="auto"/>
              </w:rPr>
              <w:t>In YoY terms, the dollarizaton level fell 150 bps. This evoluton was driven by a drop in</w:t>
            </w:r>
          </w:p>
        </w:tc>
      </w:tr>
      <w:tr>
        <w:trPr>
          <w:trHeight w:val="182"/>
        </w:trPr>
        <w:tc>
          <w:tcPr>
            <w:tcW w:w="2920" w:type="dxa"/>
            <w:vAlign w:val="bottom"/>
          </w:tcPr>
          <w:p>
            <w:pPr>
              <w:spacing w:after="0"/>
              <w:rPr>
                <w:sz w:val="15"/>
                <w:szCs w:val="15"/>
                <w:color w:val="auto"/>
              </w:rPr>
            </w:pPr>
          </w:p>
        </w:tc>
        <w:tc>
          <w:tcPr>
            <w:tcW w:w="6540" w:type="dxa"/>
            <w:vAlign w:val="bottom"/>
          </w:tcPr>
          <w:p>
            <w:pPr>
              <w:ind w:left="1120"/>
              <w:spacing w:after="0" w:line="181" w:lineRule="exact"/>
              <w:rPr>
                <w:sz w:val="20"/>
                <w:szCs w:val="20"/>
                <w:color w:val="auto"/>
              </w:rPr>
            </w:pPr>
            <w:r>
              <w:rPr>
                <w:rFonts w:ascii="Calibri" w:cs="Calibri" w:eastAsia="Calibri" w:hAnsi="Calibri"/>
                <w:sz w:val="15"/>
                <w:szCs w:val="15"/>
                <w:color w:val="auto"/>
                <w:w w:val="98"/>
              </w:rPr>
              <w:t>Demand Deposits in FC (-23.5%) and Savings Deposits in FC (-5.5%) and by growth in Time</w:t>
            </w:r>
          </w:p>
        </w:tc>
      </w:tr>
      <w:tr>
        <w:trPr>
          <w:trHeight w:val="182"/>
        </w:trPr>
        <w:tc>
          <w:tcPr>
            <w:tcW w:w="2920" w:type="dxa"/>
            <w:vAlign w:val="bottom"/>
          </w:tcPr>
          <w:p>
            <w:pPr>
              <w:spacing w:after="0"/>
              <w:rPr>
                <w:sz w:val="15"/>
                <w:szCs w:val="15"/>
                <w:color w:val="auto"/>
              </w:rPr>
            </w:pPr>
          </w:p>
        </w:tc>
        <w:tc>
          <w:tcPr>
            <w:tcW w:w="6540" w:type="dxa"/>
            <w:vAlign w:val="bottom"/>
          </w:tcPr>
          <w:p>
            <w:pPr>
              <w:ind w:left="1120"/>
              <w:spacing w:after="0" w:line="181" w:lineRule="exact"/>
              <w:rPr>
                <w:sz w:val="20"/>
                <w:szCs w:val="20"/>
                <w:color w:val="auto"/>
              </w:rPr>
            </w:pPr>
            <w:r>
              <w:rPr>
                <w:rFonts w:ascii="Calibri" w:cs="Calibri" w:eastAsia="Calibri" w:hAnsi="Calibri"/>
                <w:sz w:val="15"/>
                <w:szCs w:val="15"/>
                <w:color w:val="auto"/>
              </w:rPr>
              <w:t>Deposits in LC (42.05%). These three movements refected migraton to more proftable</w:t>
            </w:r>
          </w:p>
        </w:tc>
      </w:tr>
      <w:tr>
        <w:trPr>
          <w:trHeight w:val="182"/>
        </w:trPr>
        <w:tc>
          <w:tcPr>
            <w:tcW w:w="2920" w:type="dxa"/>
            <w:vAlign w:val="bottom"/>
          </w:tcPr>
          <w:p>
            <w:pPr>
              <w:spacing w:after="0"/>
              <w:rPr>
                <w:sz w:val="15"/>
                <w:szCs w:val="15"/>
                <w:color w:val="auto"/>
              </w:rPr>
            </w:pPr>
          </w:p>
        </w:tc>
        <w:tc>
          <w:tcPr>
            <w:tcW w:w="6540" w:type="dxa"/>
            <w:vAlign w:val="bottom"/>
          </w:tcPr>
          <w:p>
            <w:pPr>
              <w:ind w:left="1120"/>
              <w:spacing w:after="0" w:line="181" w:lineRule="exact"/>
              <w:rPr>
                <w:sz w:val="20"/>
                <w:szCs w:val="20"/>
                <w:color w:val="auto"/>
              </w:rPr>
            </w:pPr>
            <w:r>
              <w:rPr>
                <w:rFonts w:ascii="Calibri" w:cs="Calibri" w:eastAsia="Calibri" w:hAnsi="Calibri"/>
                <w:sz w:val="15"/>
                <w:szCs w:val="15"/>
                <w:color w:val="auto"/>
              </w:rPr>
              <w:t>deposits.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-829310</wp:posOffset>
            </wp:positionV>
            <wp:extent cx="2341245" cy="12465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41245" cy="124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54" w:right="319" w:bottom="1440" w:gutter="0" w:footer="0" w:header="0"/>
        </w:sectPr>
      </w:pPr>
    </w:p>
    <w:bookmarkStart w:id="25" w:name="page26"/>
    <w:bookmarkEnd w:id="25"/>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53910" cy="2159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910" cy="21590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02. Deposits</w:t>
      </w:r>
    </w:p>
    <w:p>
      <w:pPr>
        <w:spacing w:after="0" w:line="271"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Deposits by currency and type</w:t>
      </w:r>
    </w:p>
    <w:p>
      <w:pPr>
        <w:spacing w:after="0" w:line="6" w:lineRule="exact"/>
        <w:rPr>
          <w:sz w:val="20"/>
          <w:szCs w:val="20"/>
          <w:color w:val="auto"/>
        </w:rPr>
      </w:pPr>
    </w:p>
    <w:p>
      <w:pPr>
        <w:jc w:val="center"/>
        <w:spacing w:after="0"/>
        <w:rPr>
          <w:sz w:val="20"/>
          <w:szCs w:val="20"/>
          <w:color w:val="auto"/>
        </w:rPr>
      </w:pPr>
      <w:r>
        <w:rPr>
          <w:rFonts w:ascii="Calibri" w:cs="Calibri" w:eastAsia="Calibri" w:hAnsi="Calibri"/>
          <w:sz w:val="12"/>
          <w:szCs w:val="12"/>
          <w:color w:val="auto"/>
        </w:rPr>
        <w:t>(measured in quarter -end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9525</wp:posOffset>
            </wp:positionV>
            <wp:extent cx="5086350" cy="13182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86350" cy="1318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Loan / Deposit Rato (L/D Rato)</w:t>
      </w:r>
    </w:p>
    <w:p>
      <w:pPr>
        <w:spacing w:after="0" w:line="214" w:lineRule="exact"/>
        <w:rPr>
          <w:sz w:val="20"/>
          <w:szCs w:val="20"/>
          <w:color w:val="auto"/>
        </w:rPr>
      </w:pPr>
    </w:p>
    <w:p>
      <w:pPr>
        <w:jc w:val="both"/>
        <w:ind w:left="5840"/>
        <w:spacing w:after="0" w:line="237" w:lineRule="auto"/>
        <w:rPr>
          <w:sz w:val="20"/>
          <w:szCs w:val="20"/>
          <w:color w:val="auto"/>
        </w:rPr>
      </w:pPr>
      <w:r>
        <w:rPr>
          <w:rFonts w:ascii="Calibri" w:cs="Calibri" w:eastAsia="Calibri" w:hAnsi="Calibri"/>
          <w:sz w:val="15"/>
          <w:szCs w:val="15"/>
          <w:color w:val="auto"/>
        </w:rPr>
        <w:t>The L/D rato fell at BCP Stand-alone and Mibanco QoQ by 475 bps and 500 bps respectvely. This led the L/D rato at BAP to decline in QoQ terms and stand at 97.7% at quarter-end (101.1% in 4Q22.). The aforementoned reducton was driven primarily by a drop in loan balances at BCP and Mibanco, and secondarily by growth in deposits, and in Time Deposits at BCP Stand-alone in partcular, in a context of higher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-561340</wp:posOffset>
            </wp:positionV>
            <wp:extent cx="2392045" cy="15703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92045" cy="157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940"/>
        <w:spacing w:after="0"/>
        <w:tabs>
          <w:tab w:leader="none" w:pos="7720" w:val="left"/>
        </w:tabs>
        <w:rPr>
          <w:sz w:val="20"/>
          <w:szCs w:val="20"/>
          <w:color w:val="auto"/>
        </w:rPr>
      </w:pPr>
      <w:r>
        <w:rPr>
          <w:rFonts w:ascii="Calibri" w:cs="Calibri" w:eastAsia="Calibri" w:hAnsi="Calibri"/>
          <w:sz w:val="15"/>
          <w:szCs w:val="15"/>
          <w:b w:val="1"/>
          <w:bCs w:val="1"/>
          <w:color w:val="auto"/>
        </w:rPr>
        <w:t>L/D Rato Local Currency</w:t>
      </w:r>
      <w:r>
        <w:rPr>
          <w:sz w:val="20"/>
          <w:szCs w:val="20"/>
          <w:color w:val="auto"/>
        </w:rPr>
        <w:tab/>
      </w:r>
      <w:r>
        <w:rPr>
          <w:rFonts w:ascii="Calibri" w:cs="Calibri" w:eastAsia="Calibri" w:hAnsi="Calibri"/>
          <w:sz w:val="15"/>
          <w:szCs w:val="15"/>
          <w:b w:val="1"/>
          <w:bCs w:val="1"/>
          <w:color w:val="auto"/>
        </w:rPr>
        <w:t>L/D Rato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13335</wp:posOffset>
            </wp:positionV>
            <wp:extent cx="6109335" cy="132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09335" cy="132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53" w:right="319" w:bottom="1440" w:gutter="0" w:footer="0" w:header="0"/>
        </w:sectPr>
      </w:pPr>
    </w:p>
    <w:bookmarkStart w:id="26" w:name="page27"/>
    <w:bookmarkEnd w:id="26"/>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53910" cy="2159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910" cy="21590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02. Deposits</w:t>
      </w:r>
    </w:p>
    <w:p>
      <w:pPr>
        <w:spacing w:after="0" w:line="262"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Share of the Market for Deposits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147320</wp:posOffset>
            </wp:positionV>
            <wp:extent cx="5093970" cy="20027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093970" cy="200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15"/>
          <w:szCs w:val="15"/>
          <w:color w:val="auto"/>
        </w:rPr>
        <w:t xml:space="preserve">At the end of February 2023, the MS of </w:t>
      </w:r>
      <w:r>
        <w:rPr>
          <w:rFonts w:ascii="Calibri" w:cs="Calibri" w:eastAsia="Calibri" w:hAnsi="Calibri"/>
          <w:sz w:val="15"/>
          <w:szCs w:val="15"/>
          <w:b w:val="1"/>
          <w:bCs w:val="1"/>
          <w:color w:val="auto"/>
        </w:rPr>
        <w:t>Total Deposits</w:t>
      </w:r>
      <w:r>
        <w:rPr>
          <w:rFonts w:ascii="Calibri" w:cs="Calibri" w:eastAsia="Calibri" w:hAnsi="Calibri"/>
          <w:sz w:val="15"/>
          <w:szCs w:val="15"/>
          <w:color w:val="auto"/>
        </w:rPr>
        <w:t xml:space="preserve"> of BCP Stand-alone and Mibanco in Peru stood at 32.3% and 2.5% respectvely (-100bps and +100bps with regard to March 2022).</w:t>
      </w:r>
    </w:p>
    <w:p>
      <w:pPr>
        <w:spacing w:after="0" w:line="237" w:lineRule="auto"/>
        <w:rPr>
          <w:sz w:val="20"/>
          <w:szCs w:val="20"/>
          <w:color w:val="auto"/>
        </w:rPr>
      </w:pPr>
      <w:r>
        <w:rPr>
          <w:rFonts w:ascii="Calibri" w:cs="Calibri" w:eastAsia="Calibri" w:hAnsi="Calibri"/>
          <w:sz w:val="15"/>
          <w:szCs w:val="15"/>
          <w:color w:val="auto"/>
        </w:rPr>
        <w:t>With this result, BCP Stand-alone contnues to lead the market by a solid margin.</w:t>
      </w:r>
    </w:p>
    <w:p>
      <w:pPr>
        <w:spacing w:after="0" w:line="116" w:lineRule="exact"/>
        <w:rPr>
          <w:sz w:val="20"/>
          <w:szCs w:val="20"/>
          <w:color w:val="auto"/>
        </w:rPr>
      </w:pPr>
    </w:p>
    <w:p>
      <w:pPr>
        <w:ind w:right="20"/>
        <w:spacing w:after="0" w:line="236" w:lineRule="auto"/>
        <w:rPr>
          <w:sz w:val="20"/>
          <w:szCs w:val="20"/>
          <w:color w:val="auto"/>
        </w:rPr>
      </w:pPr>
      <w:r>
        <w:rPr>
          <w:rFonts w:ascii="Calibri" w:cs="Calibri" w:eastAsia="Calibri" w:hAnsi="Calibri"/>
          <w:sz w:val="15"/>
          <w:szCs w:val="15"/>
          <w:color w:val="auto"/>
        </w:rPr>
        <w:t xml:space="preserve">Growth in BCP Stand-alone’s share of </w:t>
      </w:r>
      <w:r>
        <w:rPr>
          <w:rFonts w:ascii="Calibri" w:cs="Calibri" w:eastAsia="Calibri" w:hAnsi="Calibri"/>
          <w:sz w:val="15"/>
          <w:szCs w:val="15"/>
          <w:b w:val="1"/>
          <w:bCs w:val="1"/>
          <w:color w:val="auto"/>
        </w:rPr>
        <w:t>Time Deposits</w:t>
      </w:r>
      <w:r>
        <w:rPr>
          <w:rFonts w:ascii="Calibri" w:cs="Calibri" w:eastAsia="Calibri" w:hAnsi="Calibri"/>
          <w:sz w:val="15"/>
          <w:szCs w:val="15"/>
          <w:color w:val="auto"/>
        </w:rPr>
        <w:t xml:space="preserve">, which was equivalent to 290 bps, refected fund migraton from low-cost to higher-yield deposits. </w:t>
      </w:r>
      <w:r>
        <w:rPr>
          <w:rFonts w:ascii="Calibri" w:cs="Calibri" w:eastAsia="Calibri" w:hAnsi="Calibri"/>
          <w:sz w:val="15"/>
          <w:szCs w:val="15"/>
          <w:b w:val="1"/>
          <w:bCs w:val="1"/>
          <w:color w:val="auto"/>
        </w:rPr>
        <w:t>Demand Deposits</w:t>
      </w:r>
      <w:r>
        <w:rPr>
          <w:rFonts w:ascii="Calibri" w:cs="Calibri" w:eastAsia="Calibri" w:hAnsi="Calibri"/>
          <w:sz w:val="15"/>
          <w:szCs w:val="15"/>
          <w:color w:val="auto"/>
        </w:rPr>
        <w:t xml:space="preserve"> at the bank fell this quarter, which refects businesses’ moves to cover seasonal expenses and other liquidity needs.</w:t>
      </w:r>
    </w:p>
    <w:p>
      <w:pPr>
        <w:spacing w:after="0" w:line="128" w:lineRule="exact"/>
        <w:rPr>
          <w:sz w:val="20"/>
          <w:szCs w:val="20"/>
          <w:color w:val="auto"/>
        </w:rPr>
      </w:pPr>
    </w:p>
    <w:p>
      <w:pPr>
        <w:spacing w:after="0" w:line="236" w:lineRule="auto"/>
        <w:rPr>
          <w:sz w:val="20"/>
          <w:szCs w:val="20"/>
          <w:color w:val="auto"/>
        </w:rPr>
      </w:pPr>
      <w:r>
        <w:rPr>
          <w:rFonts w:ascii="Calibri" w:cs="Calibri" w:eastAsia="Calibri" w:hAnsi="Calibri"/>
          <w:sz w:val="15"/>
          <w:szCs w:val="15"/>
          <w:color w:val="auto"/>
        </w:rPr>
        <w:t>It is important to note that BCP Stand-alone, with a 41.9% share as of February 2023 (+1.0% with regard to March 2022) contnues to lead the market for low-cost deposits in the Peruvian fnancial system.</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53" w:right="319" w:bottom="1440" w:gutter="0" w:footer="0" w:header="0"/>
        </w:sectPr>
      </w:pPr>
    </w:p>
    <w:bookmarkStart w:id="27" w:name="page28"/>
    <w:bookmarkEnd w:id="27"/>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0" w:lineRule="exact"/>
        <w:rPr>
          <w:sz w:val="20"/>
          <w:szCs w:val="20"/>
          <w:color w:val="auto"/>
        </w:rPr>
      </w:pPr>
    </w:p>
    <w:p>
      <w:pPr>
        <w:spacing w:after="0" w:line="217" w:lineRule="exact"/>
        <w:rPr>
          <w:sz w:val="20"/>
          <w:szCs w:val="20"/>
          <w:color w:val="auto"/>
        </w:rPr>
      </w:pPr>
    </w:p>
    <w:p>
      <w:pPr>
        <w:ind w:left="9"/>
        <w:spacing w:after="0"/>
        <w:rPr>
          <w:sz w:val="20"/>
          <w:szCs w:val="20"/>
          <w:color w:val="auto"/>
        </w:rPr>
      </w:pPr>
      <w:r>
        <w:rPr>
          <w:rFonts w:ascii="Calibri" w:cs="Calibri" w:eastAsia="Calibri" w:hAnsi="Calibri"/>
          <w:sz w:val="44"/>
          <w:szCs w:val="44"/>
          <w:b w:val="1"/>
          <w:bCs w:val="1"/>
          <w:color w:val="E93CAC"/>
        </w:rPr>
        <w:t xml:space="preserve">03 </w:t>
      </w:r>
      <w:r>
        <w:rPr>
          <w:rFonts w:ascii="Calibri" w:cs="Calibri" w:eastAsia="Calibri" w:hAnsi="Calibri"/>
          <w:sz w:val="27"/>
          <w:szCs w:val="27"/>
          <w:b w:val="1"/>
          <w:bCs w:val="1"/>
          <w:color w:val="E93CAC"/>
        </w:rPr>
        <w:t>Interest-earning Assets (IEA) and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153910" cy="8934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3910" cy="893445"/>
                    </a:xfrm>
                    <a:prstGeom prst="rect">
                      <a:avLst/>
                    </a:prstGeom>
                    <a:noFill/>
                  </pic:spPr>
                </pic:pic>
              </a:graphicData>
            </a:graphic>
          </wp:anchor>
        </w:drawing>
      </w:r>
    </w:p>
    <w:p>
      <w:pPr>
        <w:spacing w:after="0" w:line="228" w:lineRule="exact"/>
        <w:rPr>
          <w:sz w:val="20"/>
          <w:szCs w:val="20"/>
          <w:color w:val="auto"/>
        </w:rPr>
      </w:pPr>
    </w:p>
    <w:p>
      <w:pPr>
        <w:jc w:val="both"/>
        <w:ind w:left="109" w:right="100"/>
        <w:spacing w:after="0" w:line="237" w:lineRule="auto"/>
        <w:rPr>
          <w:sz w:val="20"/>
          <w:szCs w:val="20"/>
          <w:color w:val="auto"/>
        </w:rPr>
      </w:pPr>
      <w:r>
        <w:rPr>
          <w:rFonts w:ascii="Calibri" w:cs="Calibri" w:eastAsia="Calibri" w:hAnsi="Calibri"/>
          <w:sz w:val="15"/>
          <w:szCs w:val="15"/>
          <w:color w:val="FFFFFF"/>
        </w:rPr>
        <w:t>At the end of 1Q23 IEAs registered QoQ growth of 0.2%, driven by an uptck in Available Funds and Investments. Growth in both of the aforementoned accounts was ofset by a drop in the Loan balance in a context of amortzatons of Government Loans (GP). YoY, the IEAs balance fell 0.6% due to a reducton in balances of Available Funds and Investments in a context marked by lower liquidity system-wide. This decline was partally ofset by the increase in the loans volume. Structural loans balance, in quarter end fgures, rose 8.2%, driven primarily by the evoluton of loans in Retail Banking at BCP and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-447040</wp:posOffset>
            </wp:positionV>
            <wp:extent cx="7082155" cy="8426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82155" cy="842645"/>
                    </a:xfrm>
                    <a:prstGeom prst="rect">
                      <a:avLst/>
                    </a:prstGeom>
                    <a:noFill/>
                  </pic:spPr>
                </pic:pic>
              </a:graphicData>
            </a:graphic>
          </wp:anchor>
        </w:drawing>
      </w:r>
    </w:p>
    <w:p>
      <w:pPr>
        <w:spacing w:after="0" w:line="142" w:lineRule="exact"/>
        <w:rPr>
          <w:sz w:val="20"/>
          <w:szCs w:val="20"/>
          <w:color w:val="auto"/>
        </w:rPr>
      </w:pPr>
    </w:p>
    <w:p>
      <w:pPr>
        <w:jc w:val="both"/>
        <w:ind w:left="109" w:right="100"/>
        <w:spacing w:after="0" w:line="236" w:lineRule="auto"/>
        <w:rPr>
          <w:sz w:val="20"/>
          <w:szCs w:val="20"/>
          <w:color w:val="auto"/>
        </w:rPr>
      </w:pPr>
      <w:r>
        <w:rPr>
          <w:rFonts w:ascii="Calibri" w:cs="Calibri" w:eastAsia="Calibri" w:hAnsi="Calibri"/>
          <w:sz w:val="15"/>
          <w:szCs w:val="15"/>
          <w:color w:val="FFFFFF"/>
        </w:rPr>
        <w:t>Funding fell 0.6% QoQ and 2.6% YoY due to a drop in balances of BCRP, and Bonds and Issued Notes, which refects amortzaton of Reactva loans and the expiraton of a bond at BCP at the end of March.</w:t>
      </w:r>
    </w:p>
    <w:p>
      <w:pPr>
        <w:spacing w:after="0" w:line="274"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3.1. IEA</w:t>
      </w:r>
      <w:r>
        <w:rPr>
          <w:rFonts w:ascii="Calibri" w:cs="Calibri" w:eastAsia="Calibri" w:hAnsi="Calibri"/>
          <w:sz w:val="25"/>
          <w:szCs w:val="25"/>
          <w:b w:val="1"/>
          <w:bCs w:val="1"/>
          <w:color w:val="auto"/>
          <w:vertAlign w:val="superscript"/>
        </w:rPr>
        <w:t>1</w:t>
      </w:r>
    </w:p>
    <w:p>
      <w:pPr>
        <w:spacing w:after="0" w:line="92" w:lineRule="exact"/>
        <w:rPr>
          <w:sz w:val="20"/>
          <w:szCs w:val="20"/>
          <w:color w:val="auto"/>
        </w:rPr>
      </w:pPr>
    </w:p>
    <w:tbl>
      <w:tblPr>
        <w:tblLayout w:type="fixed"/>
        <w:tblInd w:w="19" w:type="dxa"/>
        <w:tblCellMar>
          <w:top w:w="0" w:type="dxa"/>
          <w:left w:w="0" w:type="dxa"/>
          <w:bottom w:w="0" w:type="dxa"/>
          <w:right w:w="0" w:type="dxa"/>
        </w:tblCellMar>
      </w:tblPr>
      <w:tr>
        <w:trPr>
          <w:trHeight w:val="202"/>
        </w:trPr>
        <w:tc>
          <w:tcPr>
            <w:tcW w:w="520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Interest Earning Assets</w:t>
            </w:r>
          </w:p>
        </w:tc>
        <w:tc>
          <w:tcPr>
            <w:tcW w:w="1560" w:type="dxa"/>
            <w:vAlign w:val="bottom"/>
            <w:tcBorders>
              <w:top w:val="single" w:sz="8" w:color="auto"/>
            </w:tcBorders>
            <w:shd w:val="clear" w:color="auto" w:fill="2AD2C9"/>
          </w:tcPr>
          <w:p>
            <w:pPr>
              <w:spacing w:after="0"/>
              <w:rPr>
                <w:sz w:val="17"/>
                <w:szCs w:val="17"/>
                <w:color w:val="auto"/>
              </w:rPr>
            </w:pPr>
          </w:p>
        </w:tc>
        <w:tc>
          <w:tcPr>
            <w:tcW w:w="1320" w:type="dxa"/>
            <w:vAlign w:val="bottom"/>
            <w:tcBorders>
              <w:top w:val="single" w:sz="8" w:color="auto"/>
            </w:tcBorders>
            <w:shd w:val="clear" w:color="auto" w:fill="2AD2C9"/>
          </w:tcPr>
          <w:p>
            <w:pPr>
              <w:jc w:val="right"/>
              <w:ind w:right="644"/>
              <w:spacing w:after="0"/>
              <w:rPr>
                <w:sz w:val="20"/>
                <w:szCs w:val="20"/>
                <w:color w:val="auto"/>
              </w:rPr>
            </w:pPr>
            <w:r>
              <w:rPr>
                <w:rFonts w:ascii="Calibri" w:cs="Calibri" w:eastAsia="Calibri" w:hAnsi="Calibri"/>
                <w:sz w:val="15"/>
                <w:szCs w:val="15"/>
                <w:b w:val="1"/>
                <w:bCs w:val="1"/>
                <w:color w:val="FFFFFF"/>
              </w:rPr>
              <w:t>As of</w:t>
            </w:r>
          </w:p>
        </w:tc>
        <w:tc>
          <w:tcPr>
            <w:tcW w:w="1140" w:type="dxa"/>
            <w:vAlign w:val="bottom"/>
            <w:tcBorders>
              <w:top w:val="single" w:sz="8" w:color="auto"/>
              <w:right w:val="single" w:sz="8" w:color="auto"/>
            </w:tcBorders>
            <w:shd w:val="clear" w:color="auto" w:fill="2AD2C9"/>
          </w:tcPr>
          <w:p>
            <w:pPr>
              <w:spacing w:after="0"/>
              <w:rPr>
                <w:sz w:val="17"/>
                <w:szCs w:val="17"/>
                <w:color w:val="auto"/>
              </w:rPr>
            </w:pPr>
          </w:p>
        </w:tc>
        <w:tc>
          <w:tcPr>
            <w:tcW w:w="1340" w:type="dxa"/>
            <w:vAlign w:val="bottom"/>
            <w:tcBorders>
              <w:top w:val="single" w:sz="8" w:color="auto"/>
            </w:tcBorders>
            <w:shd w:val="clear" w:color="auto" w:fill="2AD2C9"/>
          </w:tcPr>
          <w:p>
            <w:pPr>
              <w:jc w:val="right"/>
              <w:spacing w:after="0"/>
              <w:rPr>
                <w:sz w:val="20"/>
                <w:szCs w:val="20"/>
                <w:color w:val="auto"/>
              </w:rPr>
            </w:pPr>
            <w:r>
              <w:rPr>
                <w:rFonts w:ascii="Calibri" w:cs="Calibri" w:eastAsia="Calibri" w:hAnsi="Calibri"/>
                <w:sz w:val="15"/>
                <w:szCs w:val="15"/>
                <w:b w:val="1"/>
                <w:bCs w:val="1"/>
                <w:color w:val="FFFFFF"/>
              </w:rPr>
              <w:t>% change</w:t>
            </w:r>
          </w:p>
        </w:tc>
        <w:tc>
          <w:tcPr>
            <w:tcW w:w="700" w:type="dxa"/>
            <w:vAlign w:val="bottom"/>
            <w:tcBorders>
              <w:top w:val="single" w:sz="8" w:color="auto"/>
              <w:right w:val="single" w:sz="8" w:color="auto"/>
            </w:tcBorders>
            <w:shd w:val="clear" w:color="auto" w:fill="2AD2C9"/>
          </w:tcPr>
          <w:p>
            <w:pPr>
              <w:spacing w:after="0"/>
              <w:rPr>
                <w:sz w:val="17"/>
                <w:szCs w:val="17"/>
                <w:color w:val="auto"/>
              </w:rPr>
            </w:pPr>
          </w:p>
        </w:tc>
      </w:tr>
      <w:tr>
        <w:trPr>
          <w:trHeight w:val="237"/>
        </w:trPr>
        <w:tc>
          <w:tcPr>
            <w:tcW w:w="5200" w:type="dxa"/>
            <w:vAlign w:val="bottom"/>
            <w:tcBorders>
              <w:left w:val="single" w:sz="8" w:color="auto"/>
              <w:bottom w:val="single" w:sz="8" w:color="2AD2C9"/>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S/000</w:t>
            </w:r>
          </w:p>
        </w:tc>
        <w:tc>
          <w:tcPr>
            <w:tcW w:w="1560" w:type="dxa"/>
            <w:vAlign w:val="bottom"/>
            <w:tcBorders>
              <w:bottom w:val="single" w:sz="8" w:color="2AD2C9"/>
            </w:tcBorders>
            <w:shd w:val="clear" w:color="auto" w:fill="2AD2C9"/>
          </w:tcPr>
          <w:p>
            <w:pPr>
              <w:jc w:val="right"/>
              <w:ind w:right="604"/>
              <w:spacing w:after="0"/>
              <w:rPr>
                <w:sz w:val="20"/>
                <w:szCs w:val="20"/>
                <w:color w:val="auto"/>
              </w:rPr>
            </w:pPr>
            <w:r>
              <w:rPr>
                <w:rFonts w:ascii="Calibri" w:cs="Calibri" w:eastAsia="Calibri" w:hAnsi="Calibri"/>
                <w:sz w:val="15"/>
                <w:szCs w:val="15"/>
                <w:b w:val="1"/>
                <w:bCs w:val="1"/>
                <w:color w:val="FFFFFF"/>
              </w:rPr>
              <w:t>Mar 22</w:t>
            </w:r>
          </w:p>
        </w:tc>
        <w:tc>
          <w:tcPr>
            <w:tcW w:w="1320" w:type="dxa"/>
            <w:vAlign w:val="bottom"/>
            <w:tcBorders>
              <w:bottom w:val="single" w:sz="8" w:color="2AD2C9"/>
            </w:tcBorders>
            <w:shd w:val="clear" w:color="auto" w:fill="2AD2C9"/>
          </w:tcPr>
          <w:p>
            <w:pPr>
              <w:jc w:val="right"/>
              <w:ind w:right="604"/>
              <w:spacing w:after="0"/>
              <w:rPr>
                <w:sz w:val="20"/>
                <w:szCs w:val="20"/>
                <w:color w:val="auto"/>
              </w:rPr>
            </w:pPr>
            <w:r>
              <w:rPr>
                <w:rFonts w:ascii="Calibri" w:cs="Calibri" w:eastAsia="Calibri" w:hAnsi="Calibri"/>
                <w:sz w:val="15"/>
                <w:szCs w:val="15"/>
                <w:b w:val="1"/>
                <w:bCs w:val="1"/>
                <w:color w:val="FFFFFF"/>
              </w:rPr>
              <w:t>Dec 22</w:t>
            </w:r>
          </w:p>
        </w:tc>
        <w:tc>
          <w:tcPr>
            <w:tcW w:w="1140" w:type="dxa"/>
            <w:vAlign w:val="bottom"/>
            <w:tcBorders>
              <w:bottom w:val="single" w:sz="8" w:color="2AD2C9"/>
              <w:right w:val="single" w:sz="8" w:color="auto"/>
            </w:tcBorders>
            <w:shd w:val="clear" w:color="auto" w:fill="2AD2C9"/>
          </w:tcPr>
          <w:p>
            <w:pPr>
              <w:jc w:val="right"/>
              <w:ind w:right="404"/>
              <w:spacing w:after="0"/>
              <w:rPr>
                <w:sz w:val="20"/>
                <w:szCs w:val="20"/>
                <w:color w:val="auto"/>
              </w:rPr>
            </w:pPr>
            <w:r>
              <w:rPr>
                <w:rFonts w:ascii="Calibri" w:cs="Calibri" w:eastAsia="Calibri" w:hAnsi="Calibri"/>
                <w:sz w:val="15"/>
                <w:szCs w:val="15"/>
                <w:b w:val="1"/>
                <w:bCs w:val="1"/>
                <w:color w:val="FFFFFF"/>
              </w:rPr>
              <w:t>Mar 23</w:t>
            </w:r>
          </w:p>
        </w:tc>
        <w:tc>
          <w:tcPr>
            <w:tcW w:w="1340" w:type="dxa"/>
            <w:vAlign w:val="bottom"/>
            <w:tcBorders>
              <w:bottom w:val="single" w:sz="8" w:color="2AD2C9"/>
            </w:tcBorders>
            <w:shd w:val="clear" w:color="auto" w:fill="2AD2C9"/>
          </w:tcPr>
          <w:p>
            <w:pPr>
              <w:jc w:val="right"/>
              <w:ind w:right="624"/>
              <w:spacing w:after="0"/>
              <w:rPr>
                <w:sz w:val="20"/>
                <w:szCs w:val="20"/>
                <w:color w:val="auto"/>
              </w:rPr>
            </w:pPr>
            <w:r>
              <w:rPr>
                <w:rFonts w:ascii="Calibri" w:cs="Calibri" w:eastAsia="Calibri" w:hAnsi="Calibri"/>
                <w:sz w:val="15"/>
                <w:szCs w:val="15"/>
                <w:b w:val="1"/>
                <w:bCs w:val="1"/>
                <w:color w:val="FFFFFF"/>
              </w:rPr>
              <w:t>QoQ</w:t>
            </w:r>
          </w:p>
        </w:tc>
        <w:tc>
          <w:tcPr>
            <w:tcW w:w="700" w:type="dxa"/>
            <w:vAlign w:val="bottom"/>
            <w:tcBorders>
              <w:bottom w:val="single" w:sz="8" w:color="2AD2C9"/>
              <w:right w:val="single" w:sz="8" w:color="auto"/>
            </w:tcBorders>
            <w:shd w:val="clear" w:color="auto" w:fill="2AD2C9"/>
          </w:tcPr>
          <w:p>
            <w:pPr>
              <w:jc w:val="right"/>
              <w:ind w:right="344"/>
              <w:spacing w:after="0"/>
              <w:rPr>
                <w:sz w:val="20"/>
                <w:szCs w:val="20"/>
                <w:color w:val="auto"/>
              </w:rPr>
            </w:pPr>
            <w:r>
              <w:rPr>
                <w:rFonts w:ascii="Calibri" w:cs="Calibri" w:eastAsia="Calibri" w:hAnsi="Calibri"/>
                <w:sz w:val="15"/>
                <w:szCs w:val="15"/>
                <w:b w:val="1"/>
                <w:bCs w:val="1"/>
                <w:color w:val="FFFFFF"/>
              </w:rPr>
              <w:t>YoY</w:t>
            </w:r>
          </w:p>
        </w:tc>
      </w:tr>
      <w:tr>
        <w:trPr>
          <w:trHeight w:val="179"/>
        </w:trPr>
        <w:tc>
          <w:tcPr>
            <w:tcW w:w="5200" w:type="dxa"/>
            <w:vAlign w:val="bottom"/>
            <w:tcBorders>
              <w:top w:val="single" w:sz="8" w:color="auto"/>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Cash and due from banks</w:t>
            </w:r>
          </w:p>
        </w:tc>
        <w:tc>
          <w:tcPr>
            <w:tcW w:w="1560" w:type="dxa"/>
            <w:vAlign w:val="bottom"/>
            <w:tcBorders>
              <w:top w:val="single" w:sz="8" w:color="auto"/>
            </w:tcBorders>
          </w:tcPr>
          <w:p>
            <w:pPr>
              <w:jc w:val="right"/>
              <w:ind w:right="164"/>
              <w:spacing w:after="0" w:line="180" w:lineRule="exact"/>
              <w:rPr>
                <w:sz w:val="20"/>
                <w:szCs w:val="20"/>
                <w:color w:val="auto"/>
              </w:rPr>
            </w:pPr>
            <w:r>
              <w:rPr>
                <w:rFonts w:ascii="Calibri" w:cs="Calibri" w:eastAsia="Calibri" w:hAnsi="Calibri"/>
                <w:sz w:val="15"/>
                <w:szCs w:val="15"/>
                <w:color w:val="auto"/>
              </w:rPr>
              <w:t>29,563,512</w:t>
            </w:r>
          </w:p>
        </w:tc>
        <w:tc>
          <w:tcPr>
            <w:tcW w:w="1320" w:type="dxa"/>
            <w:vAlign w:val="bottom"/>
            <w:tcBorders>
              <w:top w:val="single" w:sz="8" w:color="auto"/>
            </w:tcBorders>
          </w:tcPr>
          <w:p>
            <w:pPr>
              <w:jc w:val="right"/>
              <w:ind w:right="144"/>
              <w:spacing w:after="0" w:line="180" w:lineRule="exact"/>
              <w:rPr>
                <w:sz w:val="20"/>
                <w:szCs w:val="20"/>
                <w:color w:val="auto"/>
              </w:rPr>
            </w:pPr>
            <w:r>
              <w:rPr>
                <w:rFonts w:ascii="Calibri" w:cs="Calibri" w:eastAsia="Calibri" w:hAnsi="Calibri"/>
                <w:sz w:val="15"/>
                <w:szCs w:val="15"/>
                <w:color w:val="auto"/>
              </w:rPr>
              <w:t>26,897,216</w:t>
            </w:r>
          </w:p>
        </w:tc>
        <w:tc>
          <w:tcPr>
            <w:tcW w:w="1140" w:type="dxa"/>
            <w:vAlign w:val="bottom"/>
            <w:tcBorders>
              <w:top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28,158,941</w:t>
            </w:r>
          </w:p>
        </w:tc>
        <w:tc>
          <w:tcPr>
            <w:tcW w:w="1340" w:type="dxa"/>
            <w:vAlign w:val="bottom"/>
            <w:tcBorders>
              <w:top w:val="single" w:sz="8" w:color="auto"/>
            </w:tcBorders>
          </w:tcPr>
          <w:p>
            <w:pPr>
              <w:jc w:val="right"/>
              <w:ind w:right="264"/>
              <w:spacing w:after="0" w:line="180" w:lineRule="exact"/>
              <w:rPr>
                <w:sz w:val="20"/>
                <w:szCs w:val="20"/>
                <w:color w:val="auto"/>
              </w:rPr>
            </w:pPr>
            <w:r>
              <w:rPr>
                <w:rFonts w:ascii="Calibri" w:cs="Calibri" w:eastAsia="Calibri" w:hAnsi="Calibri"/>
                <w:sz w:val="15"/>
                <w:szCs w:val="15"/>
                <w:color w:val="auto"/>
              </w:rPr>
              <w:t>4.7%</w:t>
            </w:r>
          </w:p>
        </w:tc>
        <w:tc>
          <w:tcPr>
            <w:tcW w:w="700" w:type="dxa"/>
            <w:vAlign w:val="bottom"/>
            <w:tcBorders>
              <w:top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-4.8%</w:t>
            </w:r>
          </w:p>
        </w:tc>
      </w:tr>
      <w:tr>
        <w:trPr>
          <w:trHeight w:val="197"/>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Total investments</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48,145,429</w:t>
            </w:r>
          </w:p>
        </w:tc>
        <w:tc>
          <w:tcPr>
            <w:tcW w:w="1320" w:type="dxa"/>
            <w:vAlign w:val="bottom"/>
          </w:tcPr>
          <w:p>
            <w:pPr>
              <w:jc w:val="right"/>
              <w:ind w:right="144"/>
              <w:spacing w:after="0"/>
              <w:rPr>
                <w:sz w:val="20"/>
                <w:szCs w:val="20"/>
                <w:color w:val="auto"/>
              </w:rPr>
            </w:pPr>
            <w:r>
              <w:rPr>
                <w:rFonts w:ascii="Calibri" w:cs="Calibri" w:eastAsia="Calibri" w:hAnsi="Calibri"/>
                <w:sz w:val="15"/>
                <w:szCs w:val="15"/>
                <w:color w:val="auto"/>
              </w:rPr>
              <w:t>45,431,224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47,729,504</w:t>
            </w:r>
          </w:p>
        </w:tc>
        <w:tc>
          <w:tcPr>
            <w:tcW w:w="1340" w:type="dxa"/>
            <w:vAlign w:val="bottom"/>
          </w:tcPr>
          <w:p>
            <w:pPr>
              <w:jc w:val="right"/>
              <w:ind w:right="264"/>
              <w:spacing w:after="0"/>
              <w:rPr>
                <w:sz w:val="20"/>
                <w:szCs w:val="20"/>
                <w:color w:val="auto"/>
              </w:rPr>
            </w:pPr>
            <w:r>
              <w:rPr>
                <w:rFonts w:ascii="Calibri" w:cs="Calibri" w:eastAsia="Calibri" w:hAnsi="Calibri"/>
                <w:sz w:val="15"/>
                <w:szCs w:val="15"/>
                <w:color w:val="auto"/>
              </w:rPr>
              <w:t>5.1%</w:t>
            </w:r>
          </w:p>
        </w:tc>
        <w:tc>
          <w:tcPr>
            <w:tcW w:w="7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-0.9%</w:t>
            </w:r>
          </w:p>
        </w:tc>
      </w:tr>
      <w:tr>
        <w:trPr>
          <w:trHeight w:val="204"/>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Cash collateral, reverse repurchase agreements and securites borrowing</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1,516,855</w:t>
            </w:r>
          </w:p>
        </w:tc>
        <w:tc>
          <w:tcPr>
            <w:tcW w:w="1320" w:type="dxa"/>
            <w:vAlign w:val="bottom"/>
          </w:tcPr>
          <w:p>
            <w:pPr>
              <w:jc w:val="right"/>
              <w:ind w:right="144"/>
              <w:spacing w:after="0"/>
              <w:rPr>
                <w:sz w:val="20"/>
                <w:szCs w:val="20"/>
                <w:color w:val="auto"/>
              </w:rPr>
            </w:pPr>
            <w:r>
              <w:rPr>
                <w:rFonts w:ascii="Calibri" w:cs="Calibri" w:eastAsia="Calibri" w:hAnsi="Calibri"/>
                <w:sz w:val="15"/>
                <w:szCs w:val="15"/>
                <w:color w:val="auto"/>
              </w:rPr>
              <w:t>1,101,856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1,468,180</w:t>
            </w:r>
          </w:p>
        </w:tc>
        <w:tc>
          <w:tcPr>
            <w:tcW w:w="1340" w:type="dxa"/>
            <w:vAlign w:val="bottom"/>
          </w:tcPr>
          <w:p>
            <w:pPr>
              <w:jc w:val="right"/>
              <w:ind w:right="264"/>
              <w:spacing w:after="0"/>
              <w:rPr>
                <w:sz w:val="20"/>
                <w:szCs w:val="20"/>
                <w:color w:val="auto"/>
              </w:rPr>
            </w:pPr>
            <w:r>
              <w:rPr>
                <w:rFonts w:ascii="Calibri" w:cs="Calibri" w:eastAsia="Calibri" w:hAnsi="Calibri"/>
                <w:sz w:val="15"/>
                <w:szCs w:val="15"/>
                <w:color w:val="auto"/>
              </w:rPr>
              <w:t>33.2%</w:t>
            </w:r>
          </w:p>
        </w:tc>
        <w:tc>
          <w:tcPr>
            <w:tcW w:w="7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-3.2%</w:t>
            </w:r>
          </w:p>
        </w:tc>
      </w:tr>
      <w:tr>
        <w:trPr>
          <w:trHeight w:val="204"/>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Total loans</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144,621,513</w:t>
            </w:r>
          </w:p>
        </w:tc>
        <w:tc>
          <w:tcPr>
            <w:tcW w:w="1320" w:type="dxa"/>
            <w:vAlign w:val="bottom"/>
          </w:tcPr>
          <w:p>
            <w:pPr>
              <w:jc w:val="right"/>
              <w:ind w:right="144"/>
              <w:spacing w:after="0"/>
              <w:rPr>
                <w:sz w:val="20"/>
                <w:szCs w:val="20"/>
                <w:color w:val="auto"/>
              </w:rPr>
            </w:pPr>
            <w:r>
              <w:rPr>
                <w:rFonts w:ascii="Calibri" w:cs="Calibri" w:eastAsia="Calibri" w:hAnsi="Calibri"/>
                <w:sz w:val="15"/>
                <w:szCs w:val="15"/>
                <w:color w:val="auto"/>
              </w:rPr>
              <w:t>148,626,374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145,165,713</w:t>
            </w:r>
          </w:p>
        </w:tc>
        <w:tc>
          <w:tcPr>
            <w:tcW w:w="1340" w:type="dxa"/>
            <w:vAlign w:val="bottom"/>
          </w:tcPr>
          <w:p>
            <w:pPr>
              <w:jc w:val="right"/>
              <w:ind w:right="264"/>
              <w:spacing w:after="0"/>
              <w:rPr>
                <w:sz w:val="20"/>
                <w:szCs w:val="20"/>
                <w:color w:val="auto"/>
              </w:rPr>
            </w:pPr>
            <w:r>
              <w:rPr>
                <w:rFonts w:ascii="Calibri" w:cs="Calibri" w:eastAsia="Calibri" w:hAnsi="Calibri"/>
                <w:sz w:val="15"/>
                <w:szCs w:val="15"/>
                <w:color w:val="auto"/>
              </w:rPr>
              <w:t>-2.3%</w:t>
            </w:r>
          </w:p>
        </w:tc>
        <w:tc>
          <w:tcPr>
            <w:tcW w:w="7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0.4%</w:t>
            </w:r>
          </w:p>
        </w:tc>
      </w:tr>
      <w:tr>
        <w:trPr>
          <w:trHeight w:val="35"/>
        </w:trPr>
        <w:tc>
          <w:tcPr>
            <w:tcW w:w="5200" w:type="dxa"/>
            <w:vAlign w:val="bottom"/>
            <w:tcBorders>
              <w:left w:val="single" w:sz="8" w:color="auto"/>
              <w:bottom w:val="single" w:sz="8" w:color="auto"/>
              <w:right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r>
      <w:tr>
        <w:trPr>
          <w:trHeight w:val="179"/>
        </w:trPr>
        <w:tc>
          <w:tcPr>
            <w:tcW w:w="52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Total interest earning assets</w:t>
            </w:r>
          </w:p>
        </w:tc>
        <w:tc>
          <w:tcPr>
            <w:tcW w:w="1560" w:type="dxa"/>
            <w:vAlign w:val="bottom"/>
          </w:tcPr>
          <w:p>
            <w:pPr>
              <w:jc w:val="right"/>
              <w:ind w:right="164"/>
              <w:spacing w:after="0" w:line="180" w:lineRule="exact"/>
              <w:rPr>
                <w:sz w:val="20"/>
                <w:szCs w:val="20"/>
                <w:color w:val="auto"/>
              </w:rPr>
            </w:pPr>
            <w:r>
              <w:rPr>
                <w:rFonts w:ascii="Calibri" w:cs="Calibri" w:eastAsia="Calibri" w:hAnsi="Calibri"/>
                <w:sz w:val="15"/>
                <w:szCs w:val="15"/>
                <w:b w:val="1"/>
                <w:bCs w:val="1"/>
                <w:color w:val="auto"/>
              </w:rPr>
              <w:t>223,847,309</w:t>
            </w:r>
          </w:p>
        </w:tc>
        <w:tc>
          <w:tcPr>
            <w:tcW w:w="1320" w:type="dxa"/>
            <w:vAlign w:val="bottom"/>
          </w:tcPr>
          <w:p>
            <w:pPr>
              <w:jc w:val="right"/>
              <w:ind w:right="144"/>
              <w:spacing w:after="0" w:line="180" w:lineRule="exact"/>
              <w:rPr>
                <w:sz w:val="20"/>
                <w:szCs w:val="20"/>
                <w:color w:val="auto"/>
              </w:rPr>
            </w:pPr>
            <w:r>
              <w:rPr>
                <w:rFonts w:ascii="Calibri" w:cs="Calibri" w:eastAsia="Calibri" w:hAnsi="Calibri"/>
                <w:sz w:val="15"/>
                <w:szCs w:val="15"/>
                <w:b w:val="1"/>
                <w:bCs w:val="1"/>
                <w:color w:val="auto"/>
              </w:rPr>
              <w:t>222,056,670</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222,522,338</w:t>
            </w:r>
          </w:p>
        </w:tc>
        <w:tc>
          <w:tcPr>
            <w:tcW w:w="1340" w:type="dxa"/>
            <w:vAlign w:val="bottom"/>
          </w:tcPr>
          <w:p>
            <w:pPr>
              <w:jc w:val="right"/>
              <w:ind w:right="264"/>
              <w:spacing w:after="0" w:line="180" w:lineRule="exact"/>
              <w:rPr>
                <w:sz w:val="20"/>
                <w:szCs w:val="20"/>
                <w:color w:val="auto"/>
              </w:rPr>
            </w:pPr>
            <w:r>
              <w:rPr>
                <w:rFonts w:ascii="Calibri" w:cs="Calibri" w:eastAsia="Calibri" w:hAnsi="Calibri"/>
                <w:sz w:val="15"/>
                <w:szCs w:val="15"/>
                <w:b w:val="1"/>
                <w:bCs w:val="1"/>
                <w:color w:val="auto"/>
              </w:rPr>
              <w:t>0.2%</w:t>
            </w:r>
          </w:p>
        </w:tc>
        <w:tc>
          <w:tcPr>
            <w:tcW w:w="70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-0.6%</w:t>
            </w:r>
          </w:p>
        </w:tc>
      </w:tr>
      <w:tr>
        <w:trPr>
          <w:trHeight w:val="27"/>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bl>
    <w:p>
      <w:pPr>
        <w:spacing w:after="0" w:line="182"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QoQ, IEAs grew 0.2% due to an increase in Available Funds and Investments. This growth was partally ofset by a drop in Loans.</w:t>
      </w:r>
    </w:p>
    <w:p>
      <w:pPr>
        <w:spacing w:after="0" w:line="206" w:lineRule="exact"/>
        <w:rPr>
          <w:sz w:val="20"/>
          <w:szCs w:val="20"/>
          <w:color w:val="auto"/>
        </w:rPr>
      </w:pPr>
    </w:p>
    <w:p>
      <w:pPr>
        <w:jc w:val="both"/>
        <w:ind w:left="9"/>
        <w:spacing w:after="0" w:line="237" w:lineRule="auto"/>
        <w:rPr>
          <w:sz w:val="20"/>
          <w:szCs w:val="20"/>
          <w:color w:val="auto"/>
        </w:rPr>
      </w:pPr>
      <w:r>
        <w:rPr>
          <w:rFonts w:ascii="Calibri" w:cs="Calibri" w:eastAsia="Calibri" w:hAnsi="Calibri"/>
          <w:sz w:val="15"/>
          <w:szCs w:val="15"/>
          <w:color w:val="auto"/>
        </w:rPr>
        <w:t>The uptck registered in Available Funds was fueled by growth in the funding base of BCP and Mibanco. The majority of these funds are deposited in BCRP accounts, which currently produce favorable yields. Investment rose due to a move to increase the positon in debt instruments issued by BCRP. Total loans fell 2.3%, which refected amortzatons of GP loans and a drop in the exchange rate. Structural loans fell 0.7%, which was primarily driven by a decrease in the loan balance of the Wholesale Banking portolio.</w:t>
      </w:r>
    </w:p>
    <w:p>
      <w:pPr>
        <w:spacing w:after="0" w:line="206" w:lineRule="exact"/>
        <w:rPr>
          <w:sz w:val="20"/>
          <w:szCs w:val="20"/>
          <w:color w:val="auto"/>
        </w:rPr>
      </w:pPr>
    </w:p>
    <w:p>
      <w:pPr>
        <w:jc w:val="both"/>
        <w:ind w:left="9"/>
        <w:spacing w:after="0" w:line="236" w:lineRule="auto"/>
        <w:rPr>
          <w:sz w:val="20"/>
          <w:szCs w:val="20"/>
          <w:color w:val="auto"/>
        </w:rPr>
      </w:pPr>
      <w:r>
        <w:rPr>
          <w:rFonts w:ascii="Calibri" w:cs="Calibri" w:eastAsia="Calibri" w:hAnsi="Calibri"/>
          <w:sz w:val="15"/>
          <w:szCs w:val="15"/>
          <w:color w:val="auto"/>
        </w:rPr>
        <w:t>YoY, IEA dropped 0.6%. This evoluton refected the decrease in balances for Available Funds and Investments, which was partally ofset by an increase in Total Loans. The drops registered in Available Funds and Investments were atributable to a system-wide decrease in liquidity afer clients moved to amortze GP loans.</w:t>
      </w:r>
    </w:p>
    <w:p>
      <w:pPr>
        <w:spacing w:after="0" w:line="207" w:lineRule="exact"/>
        <w:rPr>
          <w:sz w:val="20"/>
          <w:szCs w:val="20"/>
          <w:color w:val="auto"/>
        </w:rPr>
      </w:pPr>
    </w:p>
    <w:p>
      <w:pPr>
        <w:jc w:val="both"/>
        <w:ind w:left="9"/>
        <w:spacing w:after="0" w:line="236" w:lineRule="auto"/>
        <w:rPr>
          <w:sz w:val="20"/>
          <w:szCs w:val="20"/>
          <w:color w:val="auto"/>
        </w:rPr>
      </w:pPr>
      <w:r>
        <w:rPr>
          <w:rFonts w:ascii="Calibri" w:cs="Calibri" w:eastAsia="Calibri" w:hAnsi="Calibri"/>
          <w:sz w:val="15"/>
          <w:szCs w:val="15"/>
          <w:color w:val="auto"/>
        </w:rPr>
        <w:t>Total loans reported growth of 0.4% YoY. This slight growth was spurred by a drop in GP loan balances. Over the same period, the structural loan volume rose 8.2%, driven primarily by an uptck in volumes at Retail Banking at BCP and Mibanco. GP loans, in turn, dropped 58.4% YoY.</w:t>
      </w:r>
    </w:p>
    <w:p>
      <w:pPr>
        <w:spacing w:after="0" w:line="204"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3.2. Funding</w:t>
      </w:r>
    </w:p>
    <w:p>
      <w:pPr>
        <w:spacing w:after="0" w:line="205" w:lineRule="exact"/>
        <w:rPr>
          <w:sz w:val="20"/>
          <w:szCs w:val="20"/>
          <w:color w:val="auto"/>
        </w:rPr>
      </w:pPr>
    </w:p>
    <w:tbl>
      <w:tblPr>
        <w:tblLayout w:type="fixed"/>
        <w:tblInd w:w="19" w:type="dxa"/>
        <w:tblCellMar>
          <w:top w:w="0" w:type="dxa"/>
          <w:left w:w="0" w:type="dxa"/>
          <w:bottom w:w="0" w:type="dxa"/>
          <w:right w:w="0" w:type="dxa"/>
        </w:tblCellMar>
      </w:tblPr>
      <w:tr>
        <w:trPr>
          <w:trHeight w:val="202"/>
        </w:trPr>
        <w:tc>
          <w:tcPr>
            <w:tcW w:w="520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5"/>
                <w:szCs w:val="15"/>
                <w:b w:val="1"/>
                <w:bCs w:val="1"/>
                <w:color w:val="FFFFFF"/>
              </w:rPr>
              <w:t>Funding</w:t>
            </w:r>
          </w:p>
        </w:tc>
        <w:tc>
          <w:tcPr>
            <w:tcW w:w="1560" w:type="dxa"/>
            <w:vAlign w:val="bottom"/>
            <w:tcBorders>
              <w:top w:val="single" w:sz="8" w:color="auto"/>
            </w:tcBorders>
            <w:shd w:val="clear" w:color="auto" w:fill="33CCCC"/>
          </w:tcPr>
          <w:p>
            <w:pPr>
              <w:spacing w:after="0"/>
              <w:rPr>
                <w:sz w:val="17"/>
                <w:szCs w:val="17"/>
                <w:color w:val="auto"/>
              </w:rPr>
            </w:pPr>
          </w:p>
        </w:tc>
        <w:tc>
          <w:tcPr>
            <w:tcW w:w="1320" w:type="dxa"/>
            <w:vAlign w:val="bottom"/>
            <w:tcBorders>
              <w:top w:val="single" w:sz="8" w:color="auto"/>
            </w:tcBorders>
            <w:shd w:val="clear" w:color="auto" w:fill="33CCCC"/>
          </w:tcPr>
          <w:p>
            <w:pPr>
              <w:jc w:val="right"/>
              <w:ind w:right="644"/>
              <w:spacing w:after="0"/>
              <w:rPr>
                <w:sz w:val="20"/>
                <w:szCs w:val="20"/>
                <w:color w:val="auto"/>
              </w:rPr>
            </w:pPr>
            <w:r>
              <w:rPr>
                <w:rFonts w:ascii="Calibri" w:cs="Calibri" w:eastAsia="Calibri" w:hAnsi="Calibri"/>
                <w:sz w:val="15"/>
                <w:szCs w:val="15"/>
                <w:b w:val="1"/>
                <w:bCs w:val="1"/>
                <w:color w:val="FFFFFF"/>
              </w:rPr>
              <w:t>As of</w:t>
            </w:r>
          </w:p>
        </w:tc>
        <w:tc>
          <w:tcPr>
            <w:tcW w:w="1140" w:type="dxa"/>
            <w:vAlign w:val="bottom"/>
            <w:tcBorders>
              <w:top w:val="single" w:sz="8" w:color="auto"/>
              <w:right w:val="single" w:sz="8" w:color="auto"/>
            </w:tcBorders>
            <w:shd w:val="clear" w:color="auto" w:fill="33CCCC"/>
          </w:tcPr>
          <w:p>
            <w:pPr>
              <w:spacing w:after="0"/>
              <w:rPr>
                <w:sz w:val="17"/>
                <w:szCs w:val="17"/>
                <w:color w:val="auto"/>
              </w:rPr>
            </w:pPr>
          </w:p>
        </w:tc>
        <w:tc>
          <w:tcPr>
            <w:tcW w:w="1340" w:type="dxa"/>
            <w:vAlign w:val="bottom"/>
            <w:tcBorders>
              <w:top w:val="single" w:sz="8" w:color="auto"/>
            </w:tcBorders>
            <w:shd w:val="clear" w:color="auto" w:fill="33CCCC"/>
          </w:tcPr>
          <w:p>
            <w:pPr>
              <w:jc w:val="right"/>
              <w:spacing w:after="0"/>
              <w:rPr>
                <w:sz w:val="20"/>
                <w:szCs w:val="20"/>
                <w:color w:val="auto"/>
              </w:rPr>
            </w:pPr>
            <w:r>
              <w:rPr>
                <w:rFonts w:ascii="Calibri" w:cs="Calibri" w:eastAsia="Calibri" w:hAnsi="Calibri"/>
                <w:sz w:val="15"/>
                <w:szCs w:val="15"/>
                <w:b w:val="1"/>
                <w:bCs w:val="1"/>
                <w:color w:val="FFFFFF"/>
              </w:rPr>
              <w:t>% change</w:t>
            </w:r>
          </w:p>
        </w:tc>
        <w:tc>
          <w:tcPr>
            <w:tcW w:w="700" w:type="dxa"/>
            <w:vAlign w:val="bottom"/>
            <w:tcBorders>
              <w:top w:val="single" w:sz="8" w:color="auto"/>
              <w:right w:val="single" w:sz="8" w:color="auto"/>
            </w:tcBorders>
            <w:shd w:val="clear" w:color="auto" w:fill="33CCCC"/>
          </w:tcPr>
          <w:p>
            <w:pPr>
              <w:spacing w:after="0"/>
              <w:rPr>
                <w:sz w:val="17"/>
                <w:szCs w:val="17"/>
                <w:color w:val="auto"/>
              </w:rPr>
            </w:pPr>
          </w:p>
        </w:tc>
      </w:tr>
      <w:tr>
        <w:trPr>
          <w:trHeight w:val="237"/>
        </w:trPr>
        <w:tc>
          <w:tcPr>
            <w:tcW w:w="5200" w:type="dxa"/>
            <w:vAlign w:val="bottom"/>
            <w:tcBorders>
              <w:left w:val="single" w:sz="8" w:color="auto"/>
              <w:bottom w:val="single" w:sz="8" w:color="33CCCC"/>
              <w:right w:val="single" w:sz="8" w:color="auto"/>
            </w:tcBorders>
            <w:shd w:val="clear" w:color="auto" w:fill="33CCCC"/>
          </w:tcPr>
          <w:p>
            <w:pPr>
              <w:ind w:left="20"/>
              <w:spacing w:after="0"/>
              <w:rPr>
                <w:sz w:val="20"/>
                <w:szCs w:val="20"/>
                <w:color w:val="auto"/>
              </w:rPr>
            </w:pPr>
            <w:r>
              <w:rPr>
                <w:rFonts w:ascii="Calibri" w:cs="Calibri" w:eastAsia="Calibri" w:hAnsi="Calibri"/>
                <w:sz w:val="15"/>
                <w:szCs w:val="15"/>
                <w:b w:val="1"/>
                <w:bCs w:val="1"/>
                <w:color w:val="FFFFFF"/>
              </w:rPr>
              <w:t>S/ 000</w:t>
            </w:r>
          </w:p>
        </w:tc>
        <w:tc>
          <w:tcPr>
            <w:tcW w:w="1560" w:type="dxa"/>
            <w:vAlign w:val="bottom"/>
            <w:tcBorders>
              <w:bottom w:val="single" w:sz="8" w:color="33CCCC"/>
            </w:tcBorders>
            <w:shd w:val="clear" w:color="auto" w:fill="33CCCC"/>
          </w:tcPr>
          <w:p>
            <w:pPr>
              <w:jc w:val="right"/>
              <w:ind w:right="604"/>
              <w:spacing w:after="0"/>
              <w:rPr>
                <w:sz w:val="20"/>
                <w:szCs w:val="20"/>
                <w:color w:val="auto"/>
              </w:rPr>
            </w:pPr>
            <w:r>
              <w:rPr>
                <w:rFonts w:ascii="Calibri" w:cs="Calibri" w:eastAsia="Calibri" w:hAnsi="Calibri"/>
                <w:sz w:val="15"/>
                <w:szCs w:val="15"/>
                <w:b w:val="1"/>
                <w:bCs w:val="1"/>
                <w:color w:val="FFFFFF"/>
              </w:rPr>
              <w:t>Mar 22</w:t>
            </w:r>
          </w:p>
        </w:tc>
        <w:tc>
          <w:tcPr>
            <w:tcW w:w="1320" w:type="dxa"/>
            <w:vAlign w:val="bottom"/>
            <w:tcBorders>
              <w:bottom w:val="single" w:sz="8" w:color="33CCCC"/>
            </w:tcBorders>
            <w:shd w:val="clear" w:color="auto" w:fill="33CCCC"/>
          </w:tcPr>
          <w:p>
            <w:pPr>
              <w:jc w:val="right"/>
              <w:ind w:right="604"/>
              <w:spacing w:after="0"/>
              <w:rPr>
                <w:sz w:val="20"/>
                <w:szCs w:val="20"/>
                <w:color w:val="auto"/>
              </w:rPr>
            </w:pPr>
            <w:r>
              <w:rPr>
                <w:rFonts w:ascii="Calibri" w:cs="Calibri" w:eastAsia="Calibri" w:hAnsi="Calibri"/>
                <w:sz w:val="15"/>
                <w:szCs w:val="15"/>
                <w:b w:val="1"/>
                <w:bCs w:val="1"/>
                <w:color w:val="FFFFFF"/>
              </w:rPr>
              <w:t>Dec 22</w:t>
            </w:r>
          </w:p>
        </w:tc>
        <w:tc>
          <w:tcPr>
            <w:tcW w:w="1140" w:type="dxa"/>
            <w:vAlign w:val="bottom"/>
            <w:tcBorders>
              <w:bottom w:val="single" w:sz="8" w:color="33CCCC"/>
              <w:right w:val="single" w:sz="8" w:color="auto"/>
            </w:tcBorders>
            <w:shd w:val="clear" w:color="auto" w:fill="33CCCC"/>
          </w:tcPr>
          <w:p>
            <w:pPr>
              <w:jc w:val="right"/>
              <w:ind w:right="404"/>
              <w:spacing w:after="0"/>
              <w:rPr>
                <w:sz w:val="20"/>
                <w:szCs w:val="20"/>
                <w:color w:val="auto"/>
              </w:rPr>
            </w:pPr>
            <w:r>
              <w:rPr>
                <w:rFonts w:ascii="Calibri" w:cs="Calibri" w:eastAsia="Calibri" w:hAnsi="Calibri"/>
                <w:sz w:val="15"/>
                <w:szCs w:val="15"/>
                <w:b w:val="1"/>
                <w:bCs w:val="1"/>
                <w:color w:val="FFFFFF"/>
              </w:rPr>
              <w:t>Mar 23</w:t>
            </w:r>
          </w:p>
        </w:tc>
        <w:tc>
          <w:tcPr>
            <w:tcW w:w="1340" w:type="dxa"/>
            <w:vAlign w:val="bottom"/>
            <w:tcBorders>
              <w:bottom w:val="single" w:sz="8" w:color="33CCCC"/>
            </w:tcBorders>
            <w:shd w:val="clear" w:color="auto" w:fill="33CCCC"/>
          </w:tcPr>
          <w:p>
            <w:pPr>
              <w:jc w:val="right"/>
              <w:ind w:right="624"/>
              <w:spacing w:after="0"/>
              <w:rPr>
                <w:sz w:val="20"/>
                <w:szCs w:val="20"/>
                <w:color w:val="auto"/>
              </w:rPr>
            </w:pPr>
            <w:r>
              <w:rPr>
                <w:rFonts w:ascii="Calibri" w:cs="Calibri" w:eastAsia="Calibri" w:hAnsi="Calibri"/>
                <w:sz w:val="15"/>
                <w:szCs w:val="15"/>
                <w:b w:val="1"/>
                <w:bCs w:val="1"/>
                <w:color w:val="FFFFFF"/>
              </w:rPr>
              <w:t>QoQ</w:t>
            </w:r>
          </w:p>
        </w:tc>
        <w:tc>
          <w:tcPr>
            <w:tcW w:w="700" w:type="dxa"/>
            <w:vAlign w:val="bottom"/>
            <w:tcBorders>
              <w:bottom w:val="single" w:sz="8" w:color="33CCCC"/>
              <w:right w:val="single" w:sz="8" w:color="auto"/>
            </w:tcBorders>
            <w:shd w:val="clear" w:color="auto" w:fill="33CCCC"/>
          </w:tcPr>
          <w:p>
            <w:pPr>
              <w:jc w:val="right"/>
              <w:ind w:right="344"/>
              <w:spacing w:after="0"/>
              <w:rPr>
                <w:sz w:val="20"/>
                <w:szCs w:val="20"/>
                <w:color w:val="auto"/>
              </w:rPr>
            </w:pPr>
            <w:r>
              <w:rPr>
                <w:rFonts w:ascii="Calibri" w:cs="Calibri" w:eastAsia="Calibri" w:hAnsi="Calibri"/>
                <w:sz w:val="15"/>
                <w:szCs w:val="15"/>
                <w:b w:val="1"/>
                <w:bCs w:val="1"/>
                <w:color w:val="FFFFFF"/>
              </w:rPr>
              <w:t>YoY</w:t>
            </w:r>
          </w:p>
        </w:tc>
      </w:tr>
      <w:tr>
        <w:trPr>
          <w:trHeight w:val="179"/>
        </w:trPr>
        <w:tc>
          <w:tcPr>
            <w:tcW w:w="5200" w:type="dxa"/>
            <w:vAlign w:val="bottom"/>
            <w:tcBorders>
              <w:top w:val="single" w:sz="8" w:color="auto"/>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Deposits and obligatons</w:t>
            </w:r>
          </w:p>
        </w:tc>
        <w:tc>
          <w:tcPr>
            <w:tcW w:w="1560" w:type="dxa"/>
            <w:vAlign w:val="bottom"/>
            <w:tcBorders>
              <w:top w:val="single" w:sz="8" w:color="auto"/>
            </w:tcBorders>
          </w:tcPr>
          <w:p>
            <w:pPr>
              <w:jc w:val="right"/>
              <w:ind w:right="164"/>
              <w:spacing w:after="0" w:line="180" w:lineRule="exact"/>
              <w:rPr>
                <w:sz w:val="20"/>
                <w:szCs w:val="20"/>
                <w:color w:val="auto"/>
              </w:rPr>
            </w:pPr>
            <w:r>
              <w:rPr>
                <w:rFonts w:ascii="Calibri" w:cs="Calibri" w:eastAsia="Calibri" w:hAnsi="Calibri"/>
                <w:sz w:val="15"/>
                <w:szCs w:val="15"/>
                <w:color w:val="auto"/>
              </w:rPr>
              <w:t>147,915,964</w:t>
            </w:r>
          </w:p>
        </w:tc>
        <w:tc>
          <w:tcPr>
            <w:tcW w:w="1320" w:type="dxa"/>
            <w:vAlign w:val="bottom"/>
            <w:tcBorders>
              <w:top w:val="single" w:sz="8" w:color="auto"/>
            </w:tcBorders>
          </w:tcPr>
          <w:p>
            <w:pPr>
              <w:jc w:val="right"/>
              <w:ind w:right="144"/>
              <w:spacing w:after="0" w:line="180" w:lineRule="exact"/>
              <w:rPr>
                <w:sz w:val="20"/>
                <w:szCs w:val="20"/>
                <w:color w:val="auto"/>
              </w:rPr>
            </w:pPr>
            <w:r>
              <w:rPr>
                <w:rFonts w:ascii="Calibri" w:cs="Calibri" w:eastAsia="Calibri" w:hAnsi="Calibri"/>
                <w:sz w:val="15"/>
                <w:szCs w:val="15"/>
                <w:color w:val="auto"/>
              </w:rPr>
              <w:t>147,020,787</w:t>
            </w:r>
          </w:p>
        </w:tc>
        <w:tc>
          <w:tcPr>
            <w:tcW w:w="1140" w:type="dxa"/>
            <w:vAlign w:val="bottom"/>
            <w:tcBorders>
              <w:top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148,623,300</w:t>
            </w:r>
          </w:p>
        </w:tc>
        <w:tc>
          <w:tcPr>
            <w:tcW w:w="1340" w:type="dxa"/>
            <w:vAlign w:val="bottom"/>
            <w:tcBorders>
              <w:top w:val="single" w:sz="8" w:color="auto"/>
            </w:tcBorders>
          </w:tcPr>
          <w:p>
            <w:pPr>
              <w:jc w:val="right"/>
              <w:ind w:right="264"/>
              <w:spacing w:after="0" w:line="180" w:lineRule="exact"/>
              <w:rPr>
                <w:sz w:val="20"/>
                <w:szCs w:val="20"/>
                <w:color w:val="auto"/>
              </w:rPr>
            </w:pPr>
            <w:r>
              <w:rPr>
                <w:rFonts w:ascii="Calibri" w:cs="Calibri" w:eastAsia="Calibri" w:hAnsi="Calibri"/>
                <w:sz w:val="15"/>
                <w:szCs w:val="15"/>
                <w:color w:val="auto"/>
              </w:rPr>
              <w:t>1.1%</w:t>
            </w:r>
          </w:p>
        </w:tc>
        <w:tc>
          <w:tcPr>
            <w:tcW w:w="700" w:type="dxa"/>
            <w:vAlign w:val="bottom"/>
            <w:tcBorders>
              <w:top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0.5%</w:t>
            </w:r>
          </w:p>
        </w:tc>
      </w:tr>
      <w:tr>
        <w:trPr>
          <w:trHeight w:val="197"/>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Due to banks and correspondents</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6,362,990</w:t>
            </w:r>
          </w:p>
        </w:tc>
        <w:tc>
          <w:tcPr>
            <w:tcW w:w="1320" w:type="dxa"/>
            <w:vAlign w:val="bottom"/>
          </w:tcPr>
          <w:p>
            <w:pPr>
              <w:jc w:val="right"/>
              <w:ind w:right="144"/>
              <w:spacing w:after="0"/>
              <w:rPr>
                <w:sz w:val="20"/>
                <w:szCs w:val="20"/>
                <w:color w:val="auto"/>
              </w:rPr>
            </w:pPr>
            <w:r>
              <w:rPr>
                <w:rFonts w:ascii="Calibri" w:cs="Calibri" w:eastAsia="Calibri" w:hAnsi="Calibri"/>
                <w:sz w:val="15"/>
                <w:szCs w:val="15"/>
                <w:color w:val="auto"/>
              </w:rPr>
              <w:t>8,937,411</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10,199,650</w:t>
            </w:r>
          </w:p>
        </w:tc>
        <w:tc>
          <w:tcPr>
            <w:tcW w:w="1340" w:type="dxa"/>
            <w:vAlign w:val="bottom"/>
          </w:tcPr>
          <w:p>
            <w:pPr>
              <w:jc w:val="right"/>
              <w:ind w:right="264"/>
              <w:spacing w:after="0"/>
              <w:rPr>
                <w:sz w:val="20"/>
                <w:szCs w:val="20"/>
                <w:color w:val="auto"/>
              </w:rPr>
            </w:pPr>
            <w:r>
              <w:rPr>
                <w:rFonts w:ascii="Calibri" w:cs="Calibri" w:eastAsia="Calibri" w:hAnsi="Calibri"/>
                <w:sz w:val="15"/>
                <w:szCs w:val="15"/>
                <w:color w:val="auto"/>
              </w:rPr>
              <w:t>14.1%</w:t>
            </w:r>
          </w:p>
        </w:tc>
        <w:tc>
          <w:tcPr>
            <w:tcW w:w="7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60.3%</w:t>
            </w:r>
          </w:p>
        </w:tc>
      </w:tr>
      <w:tr>
        <w:trPr>
          <w:trHeight w:val="204"/>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BCRP instruments</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17,532,350</w:t>
            </w:r>
          </w:p>
        </w:tc>
        <w:tc>
          <w:tcPr>
            <w:tcW w:w="1320" w:type="dxa"/>
            <w:vAlign w:val="bottom"/>
          </w:tcPr>
          <w:p>
            <w:pPr>
              <w:jc w:val="right"/>
              <w:ind w:right="144"/>
              <w:spacing w:after="0"/>
              <w:rPr>
                <w:sz w:val="20"/>
                <w:szCs w:val="20"/>
                <w:color w:val="auto"/>
              </w:rPr>
            </w:pPr>
            <w:r>
              <w:rPr>
                <w:rFonts w:ascii="Calibri" w:cs="Calibri" w:eastAsia="Calibri" w:hAnsi="Calibri"/>
                <w:sz w:val="15"/>
                <w:szCs w:val="15"/>
                <w:color w:val="auto"/>
              </w:rPr>
              <w:t>11,297,659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9,780,540</w:t>
            </w:r>
          </w:p>
        </w:tc>
        <w:tc>
          <w:tcPr>
            <w:tcW w:w="1340" w:type="dxa"/>
            <w:vAlign w:val="bottom"/>
          </w:tcPr>
          <w:p>
            <w:pPr>
              <w:jc w:val="right"/>
              <w:ind w:right="264"/>
              <w:spacing w:after="0"/>
              <w:rPr>
                <w:sz w:val="20"/>
                <w:szCs w:val="20"/>
                <w:color w:val="auto"/>
              </w:rPr>
            </w:pPr>
            <w:r>
              <w:rPr>
                <w:rFonts w:ascii="Calibri" w:cs="Calibri" w:eastAsia="Calibri" w:hAnsi="Calibri"/>
                <w:sz w:val="15"/>
                <w:szCs w:val="15"/>
                <w:color w:val="auto"/>
              </w:rPr>
              <w:t>-13.4%</w:t>
            </w:r>
          </w:p>
        </w:tc>
        <w:tc>
          <w:tcPr>
            <w:tcW w:w="7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-44.2%</w:t>
            </w:r>
          </w:p>
        </w:tc>
      </w:tr>
      <w:tr>
        <w:trPr>
          <w:trHeight w:val="229"/>
        </w:trPr>
        <w:tc>
          <w:tcPr>
            <w:tcW w:w="5200" w:type="dxa"/>
            <w:vAlign w:val="bottom"/>
            <w:tcBorders>
              <w:left w:val="single" w:sz="8" w:color="auto"/>
              <w:right w:val="single" w:sz="8" w:color="auto"/>
            </w:tcBorders>
          </w:tcPr>
          <w:p>
            <w:pPr>
              <w:ind w:left="20"/>
              <w:spacing w:after="0" w:line="229" w:lineRule="exact"/>
              <w:rPr>
                <w:sz w:val="20"/>
                <w:szCs w:val="20"/>
                <w:color w:val="auto"/>
              </w:rPr>
            </w:pPr>
            <w:r>
              <w:rPr>
                <w:rFonts w:ascii="Calibri" w:cs="Calibri" w:eastAsia="Calibri" w:hAnsi="Calibri"/>
                <w:sz w:val="15"/>
                <w:szCs w:val="15"/>
                <w:color w:val="auto"/>
              </w:rPr>
              <w:t>Repurchase agreements with clients and third partes</w:t>
            </w:r>
            <w:r>
              <w:rPr>
                <w:rFonts w:ascii="Calibri" w:cs="Calibri" w:eastAsia="Calibri" w:hAnsi="Calibri"/>
                <w:sz w:val="25"/>
                <w:szCs w:val="25"/>
                <w:color w:val="auto"/>
                <w:vertAlign w:val="superscript"/>
              </w:rPr>
              <w:t>(2)</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1,856,645</w:t>
            </w:r>
          </w:p>
        </w:tc>
        <w:tc>
          <w:tcPr>
            <w:tcW w:w="1320" w:type="dxa"/>
            <w:vAlign w:val="bottom"/>
          </w:tcPr>
          <w:p>
            <w:pPr>
              <w:jc w:val="right"/>
              <w:ind w:right="144"/>
              <w:spacing w:after="0"/>
              <w:rPr>
                <w:sz w:val="20"/>
                <w:szCs w:val="20"/>
                <w:color w:val="auto"/>
              </w:rPr>
            </w:pPr>
            <w:r>
              <w:rPr>
                <w:rFonts w:ascii="Calibri" w:cs="Calibri" w:eastAsia="Calibri" w:hAnsi="Calibri"/>
                <w:sz w:val="15"/>
                <w:szCs w:val="15"/>
                <w:color w:val="auto"/>
              </w:rPr>
              <w:t>1,669,066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1,905,955</w:t>
            </w:r>
          </w:p>
        </w:tc>
        <w:tc>
          <w:tcPr>
            <w:tcW w:w="1340" w:type="dxa"/>
            <w:vAlign w:val="bottom"/>
          </w:tcPr>
          <w:p>
            <w:pPr>
              <w:jc w:val="right"/>
              <w:ind w:right="264"/>
              <w:spacing w:after="0"/>
              <w:rPr>
                <w:sz w:val="20"/>
                <w:szCs w:val="20"/>
                <w:color w:val="auto"/>
              </w:rPr>
            </w:pPr>
            <w:r>
              <w:rPr>
                <w:rFonts w:ascii="Calibri" w:cs="Calibri" w:eastAsia="Calibri" w:hAnsi="Calibri"/>
                <w:sz w:val="15"/>
                <w:szCs w:val="15"/>
                <w:color w:val="auto"/>
              </w:rPr>
              <w:t>14.2%</w:t>
            </w:r>
          </w:p>
        </w:tc>
        <w:tc>
          <w:tcPr>
            <w:tcW w:w="7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2.7%</w:t>
            </w:r>
          </w:p>
        </w:tc>
      </w:tr>
      <w:tr>
        <w:trPr>
          <w:trHeight w:val="179"/>
        </w:trPr>
        <w:tc>
          <w:tcPr>
            <w:tcW w:w="52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Bonds and notes issued</w:t>
            </w:r>
          </w:p>
        </w:tc>
        <w:tc>
          <w:tcPr>
            <w:tcW w:w="156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16,044,671</w:t>
            </w:r>
          </w:p>
        </w:tc>
        <w:tc>
          <w:tcPr>
            <w:tcW w:w="132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17,007,194</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14,313,030</w:t>
            </w:r>
          </w:p>
        </w:tc>
        <w:tc>
          <w:tcPr>
            <w:tcW w:w="1340" w:type="dxa"/>
            <w:vAlign w:val="bottom"/>
          </w:tcPr>
          <w:p>
            <w:pPr>
              <w:jc w:val="right"/>
              <w:ind w:right="264"/>
              <w:spacing w:after="0" w:line="180" w:lineRule="exact"/>
              <w:rPr>
                <w:sz w:val="20"/>
                <w:szCs w:val="20"/>
                <w:color w:val="auto"/>
              </w:rPr>
            </w:pPr>
            <w:r>
              <w:rPr>
                <w:rFonts w:ascii="Calibri" w:cs="Calibri" w:eastAsia="Calibri" w:hAnsi="Calibri"/>
                <w:sz w:val="15"/>
                <w:szCs w:val="15"/>
                <w:color w:val="auto"/>
              </w:rPr>
              <w:t>-15.8%</w:t>
            </w:r>
          </w:p>
        </w:tc>
        <w:tc>
          <w:tcPr>
            <w:tcW w:w="70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-10.8%</w:t>
            </w:r>
          </w:p>
        </w:tc>
      </w:tr>
      <w:tr>
        <w:trPr>
          <w:trHeight w:val="35"/>
        </w:trPr>
        <w:tc>
          <w:tcPr>
            <w:tcW w:w="5200" w:type="dxa"/>
            <w:vAlign w:val="bottom"/>
            <w:tcBorders>
              <w:left w:val="single" w:sz="8" w:color="auto"/>
              <w:bottom w:val="single" w:sz="8" w:color="auto"/>
              <w:right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r>
      <w:tr>
        <w:trPr>
          <w:trHeight w:val="179"/>
        </w:trPr>
        <w:tc>
          <w:tcPr>
            <w:tcW w:w="52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Total funding</w:t>
            </w:r>
          </w:p>
        </w:tc>
        <w:tc>
          <w:tcPr>
            <w:tcW w:w="1560" w:type="dxa"/>
            <w:vAlign w:val="bottom"/>
          </w:tcPr>
          <w:p>
            <w:pPr>
              <w:jc w:val="right"/>
              <w:ind w:right="164"/>
              <w:spacing w:after="0" w:line="180" w:lineRule="exact"/>
              <w:rPr>
                <w:sz w:val="20"/>
                <w:szCs w:val="20"/>
                <w:color w:val="auto"/>
              </w:rPr>
            </w:pPr>
            <w:r>
              <w:rPr>
                <w:rFonts w:ascii="Calibri" w:cs="Calibri" w:eastAsia="Calibri" w:hAnsi="Calibri"/>
                <w:sz w:val="15"/>
                <w:szCs w:val="15"/>
                <w:b w:val="1"/>
                <w:bCs w:val="1"/>
                <w:color w:val="auto"/>
              </w:rPr>
              <w:t>189,712,620</w:t>
            </w:r>
          </w:p>
        </w:tc>
        <w:tc>
          <w:tcPr>
            <w:tcW w:w="1320" w:type="dxa"/>
            <w:vAlign w:val="bottom"/>
          </w:tcPr>
          <w:p>
            <w:pPr>
              <w:jc w:val="right"/>
              <w:ind w:right="144"/>
              <w:spacing w:after="0" w:line="180" w:lineRule="exact"/>
              <w:rPr>
                <w:sz w:val="20"/>
                <w:szCs w:val="20"/>
                <w:color w:val="auto"/>
              </w:rPr>
            </w:pPr>
            <w:r>
              <w:rPr>
                <w:rFonts w:ascii="Calibri" w:cs="Calibri" w:eastAsia="Calibri" w:hAnsi="Calibri"/>
                <w:sz w:val="15"/>
                <w:szCs w:val="15"/>
                <w:b w:val="1"/>
                <w:bCs w:val="1"/>
                <w:color w:val="auto"/>
              </w:rPr>
              <w:t>185,932,117</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184,822,475</w:t>
            </w:r>
          </w:p>
        </w:tc>
        <w:tc>
          <w:tcPr>
            <w:tcW w:w="1340" w:type="dxa"/>
            <w:vAlign w:val="bottom"/>
          </w:tcPr>
          <w:p>
            <w:pPr>
              <w:jc w:val="right"/>
              <w:ind w:right="264"/>
              <w:spacing w:after="0" w:line="180" w:lineRule="exact"/>
              <w:rPr>
                <w:sz w:val="20"/>
                <w:szCs w:val="20"/>
                <w:color w:val="auto"/>
              </w:rPr>
            </w:pPr>
            <w:r>
              <w:rPr>
                <w:rFonts w:ascii="Calibri" w:cs="Calibri" w:eastAsia="Calibri" w:hAnsi="Calibri"/>
                <w:sz w:val="15"/>
                <w:szCs w:val="15"/>
                <w:b w:val="1"/>
                <w:bCs w:val="1"/>
                <w:color w:val="auto"/>
              </w:rPr>
              <w:t>-0.6%</w:t>
            </w:r>
          </w:p>
        </w:tc>
        <w:tc>
          <w:tcPr>
            <w:tcW w:w="70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-2.6%</w:t>
            </w:r>
          </w:p>
        </w:tc>
      </w:tr>
      <w:tr>
        <w:trPr>
          <w:trHeight w:val="27"/>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bl>
    <w:p>
      <w:pPr>
        <w:spacing w:after="0" w:line="186" w:lineRule="exact"/>
        <w:rPr>
          <w:sz w:val="20"/>
          <w:szCs w:val="20"/>
          <w:color w:val="auto"/>
        </w:rPr>
      </w:pPr>
    </w:p>
    <w:p>
      <w:pPr>
        <w:jc w:val="both"/>
        <w:ind w:left="9"/>
        <w:spacing w:after="0" w:line="237" w:lineRule="auto"/>
        <w:rPr>
          <w:sz w:val="20"/>
          <w:szCs w:val="20"/>
          <w:color w:val="auto"/>
        </w:rPr>
      </w:pPr>
      <w:r>
        <w:rPr>
          <w:rFonts w:ascii="Calibri" w:cs="Calibri" w:eastAsia="Calibri" w:hAnsi="Calibri"/>
          <w:sz w:val="15"/>
          <w:szCs w:val="15"/>
          <w:color w:val="auto"/>
        </w:rPr>
        <w:t>QoQ and YoY, funding dropped 0.6% and 2.6% respectvely due a decrease in balances for BCRP instruments (associated with the amortzaton of Reactva Loans) and a reducton in the balance of Bonds and Issued Notes, which refects the expiraton of a bond at the end of March. It is important to note that deposits rose 1.1% QoQ, due primarily to growth in tme deposits. YoY, the deposit volume remained relatvely stable.</w:t>
      </w:r>
    </w:p>
    <w:p>
      <w:pPr>
        <w:spacing w:after="0" w:line="185" w:lineRule="exact"/>
        <w:rPr>
          <w:sz w:val="20"/>
          <w:szCs w:val="20"/>
          <w:color w:val="auto"/>
        </w:rPr>
      </w:pPr>
    </w:p>
    <w:p>
      <w:pPr>
        <w:ind w:left="149" w:hanging="149"/>
        <w:spacing w:after="0"/>
        <w:tabs>
          <w:tab w:leader="none" w:pos="149" w:val="left"/>
        </w:tabs>
        <w:numPr>
          <w:ilvl w:val="0"/>
          <w:numId w:val="28"/>
        </w:numPr>
        <w:rPr>
          <w:rFonts w:ascii="Calibri" w:cs="Calibri" w:eastAsia="Calibri" w:hAnsi="Calibri"/>
          <w:sz w:val="11"/>
          <w:szCs w:val="11"/>
          <w:color w:val="auto"/>
        </w:rPr>
      </w:pPr>
      <w:r>
        <w:rPr>
          <w:rFonts w:ascii="Calibri" w:cs="Calibri" w:eastAsia="Calibri" w:hAnsi="Calibri"/>
          <w:sz w:val="11"/>
          <w:szCs w:val="11"/>
          <w:color w:val="auto"/>
        </w:rPr>
        <w:t>Efectve 1Q23, IEA does not include “Financial assets designated at Fair Value through P&amp;L” (mainly comprised of Investment Link contracts) as one of its components</w:t>
      </w:r>
    </w:p>
    <w:p>
      <w:pPr>
        <w:ind w:left="149" w:hanging="149"/>
        <w:spacing w:after="0" w:line="223" w:lineRule="auto"/>
        <w:tabs>
          <w:tab w:leader="none" w:pos="149" w:val="left"/>
        </w:tabs>
        <w:numPr>
          <w:ilvl w:val="0"/>
          <w:numId w:val="28"/>
        </w:numPr>
        <w:rPr>
          <w:rFonts w:ascii="Calibri" w:cs="Calibri" w:eastAsia="Calibri" w:hAnsi="Calibri"/>
          <w:sz w:val="11"/>
          <w:szCs w:val="11"/>
          <w:color w:val="auto"/>
        </w:rPr>
      </w:pPr>
      <w:r>
        <w:rPr>
          <w:rFonts w:ascii="Calibri" w:cs="Calibri" w:eastAsia="Calibri" w:hAnsi="Calibri"/>
          <w:sz w:val="11"/>
          <w:szCs w:val="11"/>
          <w:color w:val="auto"/>
        </w:rPr>
        <w:t>Efectve 1Q23, Funding includes Repurchase agreements with clients</w:t>
      </w:r>
    </w:p>
    <w:p>
      <w:pPr>
        <w:spacing w:after="0" w:line="329"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53" w:right="319" w:bottom="1440" w:gutter="0" w:footer="0" w:header="0"/>
        </w:sectPr>
      </w:pPr>
    </w:p>
    <w:bookmarkStart w:id="28" w:name="page29"/>
    <w:bookmarkEnd w:id="28"/>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alibri" w:cs="Calibri" w:eastAsia="Calibri" w:hAnsi="Calibri"/>
          <w:sz w:val="44"/>
          <w:szCs w:val="44"/>
          <w:b w:val="1"/>
          <w:bCs w:val="1"/>
          <w:color w:val="E93CAC"/>
        </w:rPr>
        <w:t xml:space="preserve">04 </w:t>
      </w:r>
      <w:r>
        <w:rPr>
          <w:rFonts w:ascii="Calibri" w:cs="Calibri" w:eastAsia="Calibri" w:hAnsi="Calibri"/>
          <w:sz w:val="27"/>
          <w:szCs w:val="27"/>
          <w:b w:val="1"/>
          <w:bCs w:val="1"/>
          <w:color w:val="E93CAC"/>
        </w:rPr>
        <w:t>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53910" cy="792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3910" cy="792480"/>
                    </a:xfrm>
                    <a:prstGeom prst="rect">
                      <a:avLst/>
                    </a:prstGeom>
                    <a:noFill/>
                  </pic:spPr>
                </pic:pic>
              </a:graphicData>
            </a:graphic>
          </wp:anchor>
        </w:drawing>
      </w:r>
    </w:p>
    <w:p>
      <w:pPr>
        <w:spacing w:after="0" w:line="228" w:lineRule="exact"/>
        <w:rPr>
          <w:sz w:val="20"/>
          <w:szCs w:val="20"/>
          <w:color w:val="auto"/>
        </w:rPr>
      </w:pPr>
    </w:p>
    <w:p>
      <w:pPr>
        <w:ind w:left="100" w:right="100"/>
        <w:spacing w:after="0" w:line="236" w:lineRule="auto"/>
        <w:rPr>
          <w:sz w:val="20"/>
          <w:szCs w:val="20"/>
          <w:color w:val="auto"/>
        </w:rPr>
      </w:pPr>
      <w:r>
        <w:rPr>
          <w:rFonts w:ascii="Calibri" w:cs="Calibri" w:eastAsia="Calibri" w:hAnsi="Calibri"/>
          <w:sz w:val="15"/>
          <w:szCs w:val="15"/>
          <w:color w:val="FFFFFF"/>
        </w:rPr>
        <w:t>In 1Q23, Net Interest Income remained stable QoQ. Our disciplined management of pricing led growth in IEA yields to slightly outpace expansion in the Funding Cost. It is relevant to note that comparatvely speaking, there were two fewer business days in 1Q23 than in 4Q22, which negatvely impacted 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-215900</wp:posOffset>
            </wp:positionV>
            <wp:extent cx="7082155" cy="7423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82155" cy="742315"/>
                    </a:xfrm>
                    <a:prstGeom prst="rect">
                      <a:avLst/>
                    </a:prstGeom>
                    <a:noFill/>
                  </pic:spPr>
                </pic:pic>
              </a:graphicData>
            </a:graphic>
          </wp:anchor>
        </w:drawing>
      </w:r>
    </w:p>
    <w:p>
      <w:pPr>
        <w:spacing w:after="0" w:line="74" w:lineRule="exact"/>
        <w:rPr>
          <w:sz w:val="20"/>
          <w:szCs w:val="20"/>
          <w:color w:val="auto"/>
        </w:rPr>
      </w:pPr>
    </w:p>
    <w:p>
      <w:pPr>
        <w:ind w:left="100" w:right="100"/>
        <w:spacing w:after="0" w:line="236" w:lineRule="auto"/>
        <w:rPr>
          <w:sz w:val="20"/>
          <w:szCs w:val="20"/>
          <w:color w:val="auto"/>
        </w:rPr>
      </w:pPr>
      <w:r>
        <w:rPr>
          <w:rFonts w:ascii="Calibri" w:cs="Calibri" w:eastAsia="Calibri" w:hAnsi="Calibri"/>
          <w:sz w:val="15"/>
          <w:szCs w:val="15"/>
          <w:color w:val="FFFFFF"/>
        </w:rPr>
        <w:t>YoY, Net interest Income rose 28.8%, driven by higher interest rates. Rising rates favorably impacted IEA Yields (+244bps), where growth helped mitgate the downside of rate increases at the funding cost level (+129bps). Growth in structural loans also contributed, although to a lesser extent, to higher NII over the period.</w:t>
      </w:r>
    </w:p>
    <w:p>
      <w:pPr>
        <w:spacing w:after="0" w:line="90" w:lineRule="exact"/>
        <w:rPr>
          <w:sz w:val="20"/>
          <w:szCs w:val="20"/>
          <w:color w:val="auto"/>
        </w:rPr>
      </w:pPr>
    </w:p>
    <w:p>
      <w:pPr>
        <w:ind w:left="100"/>
        <w:spacing w:after="0"/>
        <w:rPr>
          <w:sz w:val="20"/>
          <w:szCs w:val="20"/>
          <w:color w:val="auto"/>
        </w:rPr>
      </w:pPr>
      <w:r>
        <w:rPr>
          <w:rFonts w:ascii="Calibri" w:cs="Calibri" w:eastAsia="Calibri" w:hAnsi="Calibri"/>
          <w:sz w:val="15"/>
          <w:szCs w:val="15"/>
          <w:color w:val="FFFFFF"/>
        </w:rPr>
        <w:t>In this context, in 1Q23, the Net Interest Margin rose 9bps QoQ and 138bps YoY to stand at 5.84% and the Structural Net Interest Margin, 6.02%</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520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2"/>
                <w:szCs w:val="12"/>
                <w:b w:val="1"/>
                <w:bCs w:val="1"/>
                <w:color w:val="FFFFFF"/>
              </w:rPr>
              <w:t>Net Interest Income / Margin</w:t>
            </w:r>
          </w:p>
        </w:tc>
        <w:tc>
          <w:tcPr>
            <w:tcW w:w="1540" w:type="dxa"/>
            <w:vAlign w:val="bottom"/>
            <w:tcBorders>
              <w:top w:val="single" w:sz="8" w:color="auto"/>
            </w:tcBorders>
            <w:shd w:val="clear" w:color="auto" w:fill="2AD2C9"/>
          </w:tcPr>
          <w:p>
            <w:pPr>
              <w:spacing w:after="0"/>
              <w:rPr>
                <w:sz w:val="15"/>
                <w:szCs w:val="15"/>
                <w:color w:val="auto"/>
              </w:rPr>
            </w:pPr>
          </w:p>
        </w:tc>
        <w:tc>
          <w:tcPr>
            <w:tcW w:w="1380" w:type="dxa"/>
            <w:vAlign w:val="bottom"/>
            <w:tcBorders>
              <w:top w:val="single" w:sz="8" w:color="auto"/>
            </w:tcBorders>
            <w:shd w:val="clear" w:color="auto" w:fill="2AD2C9"/>
          </w:tcPr>
          <w:p>
            <w:pPr>
              <w:jc w:val="right"/>
              <w:ind w:right="640"/>
              <w:spacing w:after="0"/>
              <w:rPr>
                <w:sz w:val="20"/>
                <w:szCs w:val="20"/>
                <w:color w:val="auto"/>
              </w:rPr>
            </w:pPr>
            <w:r>
              <w:rPr>
                <w:rFonts w:ascii="Arial" w:cs="Arial" w:eastAsia="Arial" w:hAnsi="Arial"/>
                <w:sz w:val="12"/>
                <w:szCs w:val="12"/>
                <w:b w:val="1"/>
                <w:bCs w:val="1"/>
                <w:color w:val="FFFFFF"/>
              </w:rPr>
              <w:t>Quarter</w:t>
            </w:r>
          </w:p>
        </w:tc>
        <w:tc>
          <w:tcPr>
            <w:tcW w:w="1100" w:type="dxa"/>
            <w:vAlign w:val="bottom"/>
            <w:tcBorders>
              <w:top w:val="single" w:sz="8" w:color="auto"/>
              <w:right w:val="single" w:sz="8" w:color="auto"/>
            </w:tcBorders>
            <w:shd w:val="clear" w:color="auto" w:fill="2AD2C9"/>
          </w:tcPr>
          <w:p>
            <w:pPr>
              <w:spacing w:after="0"/>
              <w:rPr>
                <w:sz w:val="15"/>
                <w:szCs w:val="15"/>
                <w:color w:val="auto"/>
              </w:rPr>
            </w:pPr>
          </w:p>
        </w:tc>
        <w:tc>
          <w:tcPr>
            <w:tcW w:w="700" w:type="dxa"/>
            <w:vAlign w:val="bottom"/>
            <w:tcBorders>
              <w:top w:val="single" w:sz="8" w:color="auto"/>
            </w:tcBorders>
            <w:shd w:val="clear" w:color="auto" w:fill="2AD2C9"/>
          </w:tcPr>
          <w:p>
            <w:pPr>
              <w:spacing w:after="0"/>
              <w:rPr>
                <w:sz w:val="15"/>
                <w:szCs w:val="15"/>
                <w:color w:val="auto"/>
              </w:rPr>
            </w:pPr>
          </w:p>
        </w:tc>
        <w:tc>
          <w:tcPr>
            <w:tcW w:w="1340" w:type="dxa"/>
            <w:vAlign w:val="bottom"/>
            <w:tcBorders>
              <w:top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520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2"/>
                <w:szCs w:val="12"/>
                <w:b w:val="1"/>
                <w:bCs w:val="1"/>
                <w:color w:val="FFFFFF"/>
              </w:rPr>
              <w:t>S/ 000</w:t>
            </w:r>
          </w:p>
        </w:tc>
        <w:tc>
          <w:tcPr>
            <w:tcW w:w="1540" w:type="dxa"/>
            <w:vAlign w:val="bottom"/>
            <w:tcBorders>
              <w:bottom w:val="single" w:sz="8" w:color="auto"/>
            </w:tcBorders>
            <w:shd w:val="clear" w:color="auto" w:fill="2AD2C9"/>
          </w:tcPr>
          <w:p>
            <w:pPr>
              <w:jc w:val="right"/>
              <w:ind w:right="660"/>
              <w:spacing w:after="0"/>
              <w:rPr>
                <w:sz w:val="20"/>
                <w:szCs w:val="20"/>
                <w:color w:val="auto"/>
              </w:rPr>
            </w:pPr>
            <w:r>
              <w:rPr>
                <w:rFonts w:ascii="Arial" w:cs="Arial" w:eastAsia="Arial" w:hAnsi="Arial"/>
                <w:sz w:val="12"/>
                <w:szCs w:val="12"/>
                <w:b w:val="1"/>
                <w:bCs w:val="1"/>
                <w:color w:val="FFFFFF"/>
              </w:rPr>
              <w:t>1Q22</w:t>
            </w:r>
          </w:p>
        </w:tc>
        <w:tc>
          <w:tcPr>
            <w:tcW w:w="1380" w:type="dxa"/>
            <w:vAlign w:val="bottom"/>
            <w:tcBorders>
              <w:bottom w:val="single" w:sz="8" w:color="auto"/>
            </w:tcBorders>
            <w:shd w:val="clear" w:color="auto" w:fill="2AD2C9"/>
          </w:tcPr>
          <w:p>
            <w:pPr>
              <w:jc w:val="right"/>
              <w:ind w:right="720"/>
              <w:spacing w:after="0"/>
              <w:rPr>
                <w:sz w:val="20"/>
                <w:szCs w:val="20"/>
                <w:color w:val="auto"/>
              </w:rPr>
            </w:pPr>
            <w:r>
              <w:rPr>
                <w:rFonts w:ascii="Arial" w:cs="Arial" w:eastAsia="Arial" w:hAnsi="Arial"/>
                <w:sz w:val="12"/>
                <w:szCs w:val="12"/>
                <w:b w:val="1"/>
                <w:bCs w:val="1"/>
                <w:color w:val="FFFFFF"/>
              </w:rPr>
              <w:t>4Q22</w:t>
            </w:r>
          </w:p>
        </w:tc>
        <w:tc>
          <w:tcPr>
            <w:tcW w:w="1100" w:type="dxa"/>
            <w:vAlign w:val="bottom"/>
            <w:tcBorders>
              <w:bottom w:val="single" w:sz="8" w:color="auto"/>
              <w:right w:val="single" w:sz="8" w:color="auto"/>
            </w:tcBorders>
            <w:shd w:val="clear" w:color="auto" w:fill="2AD2C9"/>
          </w:tcPr>
          <w:p>
            <w:pPr>
              <w:jc w:val="right"/>
              <w:ind w:right="480"/>
              <w:spacing w:after="0"/>
              <w:rPr>
                <w:sz w:val="20"/>
                <w:szCs w:val="20"/>
                <w:color w:val="auto"/>
              </w:rPr>
            </w:pPr>
            <w:r>
              <w:rPr>
                <w:rFonts w:ascii="Arial" w:cs="Arial" w:eastAsia="Arial" w:hAnsi="Arial"/>
                <w:sz w:val="12"/>
                <w:szCs w:val="12"/>
                <w:b w:val="1"/>
                <w:bCs w:val="1"/>
                <w:color w:val="FFFFFF"/>
              </w:rPr>
              <w:t>1Q23</w:t>
            </w:r>
          </w:p>
        </w:tc>
        <w:tc>
          <w:tcPr>
            <w:tcW w:w="700" w:type="dxa"/>
            <w:vAlign w:val="bottom"/>
            <w:tcBorders>
              <w:bottom w:val="single" w:sz="8" w:color="auto"/>
            </w:tcBorders>
            <w:shd w:val="clear" w:color="auto" w:fill="2AD2C9"/>
          </w:tcPr>
          <w:p>
            <w:pPr>
              <w:ind w:left="360"/>
              <w:spacing w:after="0"/>
              <w:rPr>
                <w:sz w:val="20"/>
                <w:szCs w:val="20"/>
                <w:color w:val="auto"/>
              </w:rPr>
            </w:pPr>
            <w:r>
              <w:rPr>
                <w:rFonts w:ascii="Arial" w:cs="Arial" w:eastAsia="Arial" w:hAnsi="Arial"/>
                <w:sz w:val="12"/>
                <w:szCs w:val="12"/>
                <w:b w:val="1"/>
                <w:bCs w:val="1"/>
                <w:color w:val="FFFFFF"/>
              </w:rPr>
              <w:t>QoQ</w:t>
            </w:r>
          </w:p>
        </w:tc>
        <w:tc>
          <w:tcPr>
            <w:tcW w:w="1340" w:type="dxa"/>
            <w:vAlign w:val="bottom"/>
            <w:tcBorders>
              <w:bottom w:val="single" w:sz="8" w:color="auto"/>
              <w:right w:val="single" w:sz="8" w:color="auto"/>
            </w:tcBorders>
            <w:shd w:val="clear" w:color="auto" w:fill="2AD2C9"/>
          </w:tcPr>
          <w:p>
            <w:pPr>
              <w:ind w:left="700"/>
              <w:spacing w:after="0"/>
              <w:rPr>
                <w:sz w:val="20"/>
                <w:szCs w:val="20"/>
                <w:color w:val="auto"/>
              </w:rPr>
            </w:pPr>
            <w:r>
              <w:rPr>
                <w:rFonts w:ascii="Arial" w:cs="Arial" w:eastAsia="Arial" w:hAnsi="Arial"/>
                <w:sz w:val="12"/>
                <w:szCs w:val="12"/>
                <w:b w:val="1"/>
                <w:bCs w:val="1"/>
                <w:color w:val="FFFFFF"/>
              </w:rPr>
              <w:t>YoY</w:t>
            </w:r>
          </w:p>
        </w:tc>
      </w:tr>
      <w:tr>
        <w:trPr>
          <w:trHeight w:val="162"/>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Interest Income</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3,172,346</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4,362,142</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4,456,106</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2.2%</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9"/>
              </w:rPr>
              <w:t>40.5%</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Interest Expense</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(740,639)</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(1,227,364)</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(1,324,017)</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7.9%</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9"/>
              </w:rPr>
              <w:t>78.8%</w:t>
            </w:r>
          </w:p>
        </w:tc>
      </w:tr>
      <w:tr>
        <w:trPr>
          <w:trHeight w:val="159"/>
        </w:trPr>
        <w:tc>
          <w:tcPr>
            <w:tcW w:w="520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Interest Expense (excluding Net Insurance Financial Expenses)</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(638,881)</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(1,119,124)</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(1,208,267)</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8.0%</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9"/>
              </w:rPr>
              <w:t>89.1%</w:t>
            </w:r>
          </w:p>
        </w:tc>
      </w:tr>
      <w:tr>
        <w:trPr>
          <w:trHeight w:val="158"/>
        </w:trPr>
        <w:tc>
          <w:tcPr>
            <w:tcW w:w="520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Net Insurance Financial Expenses</w:t>
            </w:r>
          </w:p>
        </w:tc>
        <w:tc>
          <w:tcPr>
            <w:tcW w:w="1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(101,758)</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(108,240)</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(115,750)</w:t>
            </w:r>
          </w:p>
        </w:tc>
        <w:tc>
          <w:tcPr>
            <w:tcW w:w="70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color w:val="auto"/>
              </w:rPr>
              <w:t>6.9%</w:t>
            </w:r>
          </w:p>
        </w:tc>
        <w:tc>
          <w:tcPr>
            <w:tcW w:w="1340" w:type="dxa"/>
            <w:vAlign w:val="bottom"/>
            <w:tcBorders>
              <w:bottom w:val="single" w:sz="8" w:color="auto"/>
              <w:right w:val="single" w:sz="8" w:color="auto"/>
            </w:tcBorders>
          </w:tcPr>
          <w:p>
            <w:pPr>
              <w:jc w:val="center"/>
              <w:ind w:left="220"/>
              <w:spacing w:after="0"/>
              <w:rPr>
                <w:sz w:val="20"/>
                <w:szCs w:val="20"/>
                <w:color w:val="auto"/>
              </w:rPr>
            </w:pPr>
            <w:r>
              <w:rPr>
                <w:rFonts w:ascii="Arial" w:cs="Arial" w:eastAsia="Arial" w:hAnsi="Arial"/>
                <w:sz w:val="12"/>
                <w:szCs w:val="12"/>
                <w:color w:val="auto"/>
                <w:w w:val="99"/>
              </w:rPr>
              <w:t>13.8%</w:t>
            </w:r>
          </w:p>
        </w:tc>
      </w:tr>
      <w:tr>
        <w:trPr>
          <w:trHeight w:val="16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Net Interest Income</w:t>
            </w:r>
          </w:p>
        </w:tc>
        <w:tc>
          <w:tcPr>
            <w:tcW w:w="1540" w:type="dxa"/>
            <w:vAlign w:val="bottom"/>
          </w:tcPr>
          <w:p>
            <w:pPr>
              <w:jc w:val="right"/>
              <w:ind w:right="160"/>
              <w:spacing w:after="0"/>
              <w:rPr>
                <w:sz w:val="20"/>
                <w:szCs w:val="20"/>
                <w:color w:val="auto"/>
              </w:rPr>
            </w:pPr>
            <w:r>
              <w:rPr>
                <w:rFonts w:ascii="Arial" w:cs="Arial" w:eastAsia="Arial" w:hAnsi="Arial"/>
                <w:sz w:val="12"/>
                <w:szCs w:val="12"/>
                <w:b w:val="1"/>
                <w:bCs w:val="1"/>
                <w:color w:val="auto"/>
              </w:rPr>
              <w:t>2,431,707</w:t>
            </w:r>
          </w:p>
        </w:tc>
        <w:tc>
          <w:tcPr>
            <w:tcW w:w="1380" w:type="dxa"/>
            <w:vAlign w:val="bottom"/>
          </w:tcPr>
          <w:p>
            <w:pPr>
              <w:jc w:val="right"/>
              <w:ind w:right="200"/>
              <w:spacing w:after="0"/>
              <w:rPr>
                <w:sz w:val="20"/>
                <w:szCs w:val="20"/>
                <w:color w:val="auto"/>
              </w:rPr>
            </w:pPr>
            <w:r>
              <w:rPr>
                <w:rFonts w:ascii="Arial" w:cs="Arial" w:eastAsia="Arial" w:hAnsi="Arial"/>
                <w:sz w:val="12"/>
                <w:szCs w:val="12"/>
                <w:b w:val="1"/>
                <w:bCs w:val="1"/>
                <w:color w:val="auto"/>
              </w:rPr>
              <w:t>3,134,778</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3,132,089</w:t>
            </w:r>
          </w:p>
        </w:tc>
        <w:tc>
          <w:tcPr>
            <w:tcW w:w="700" w:type="dxa"/>
            <w:vAlign w:val="bottom"/>
          </w:tcPr>
          <w:p>
            <w:pPr>
              <w:jc w:val="center"/>
              <w:ind w:left="240"/>
              <w:spacing w:after="0"/>
              <w:rPr>
                <w:sz w:val="20"/>
                <w:szCs w:val="20"/>
                <w:color w:val="auto"/>
              </w:rPr>
            </w:pPr>
            <w:r>
              <w:rPr>
                <w:rFonts w:ascii="Arial" w:cs="Arial" w:eastAsia="Arial" w:hAnsi="Arial"/>
                <w:sz w:val="12"/>
                <w:szCs w:val="12"/>
                <w:b w:val="1"/>
                <w:bCs w:val="1"/>
                <w:color w:val="auto"/>
              </w:rPr>
              <w:t>-0.1%</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9"/>
              </w:rPr>
              <w:t>28.8%</w:t>
            </w:r>
          </w:p>
        </w:tc>
      </w:tr>
      <w:tr>
        <w:trPr>
          <w:trHeight w:val="352"/>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Balances</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r>
      <w:tr>
        <w:trPr>
          <w:trHeight w:val="164"/>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Average Interest Earning Assets (IEA)</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227,279,809</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225,604,596</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222,289,504</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-1.5%</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5"/>
              </w:rPr>
              <w:t>-2.2%</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Average Funding</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193,179,562</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190,660,720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185,377,296</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-2.8%</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5"/>
              </w:rPr>
              <w:t>-4.0%</w:t>
            </w:r>
          </w:p>
        </w:tc>
      </w:tr>
      <w:tr>
        <w:trPr>
          <w:trHeight w:val="358"/>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Yields</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r>
      <w:tr>
        <w:trPr>
          <w:trHeight w:val="164"/>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Yield on IEAs</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5.58%</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7.73%</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8.02%</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w w:val="97"/>
              </w:rPr>
              <w:t>29bps</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6"/>
              </w:rPr>
              <w:t>244bps</w:t>
            </w:r>
          </w:p>
        </w:tc>
      </w:tr>
      <w:tr>
        <w:trPr>
          <w:trHeight w:val="145"/>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Cost of Funds</w:t>
            </w:r>
          </w:p>
        </w:tc>
        <w:tc>
          <w:tcPr>
            <w:tcW w:w="1540" w:type="dxa"/>
            <w:vAlign w:val="bottom"/>
          </w:tcPr>
          <w:p>
            <w:pPr>
              <w:jc w:val="right"/>
              <w:ind w:right="160"/>
              <w:spacing w:after="0"/>
              <w:rPr>
                <w:sz w:val="20"/>
                <w:szCs w:val="20"/>
                <w:color w:val="auto"/>
              </w:rPr>
            </w:pPr>
            <w:r>
              <w:rPr>
                <w:rFonts w:ascii="Arial" w:cs="Arial" w:eastAsia="Arial" w:hAnsi="Arial"/>
                <w:sz w:val="12"/>
                <w:szCs w:val="12"/>
                <w:color w:val="auto"/>
              </w:rPr>
              <w:t>1.32%</w:t>
            </w:r>
          </w:p>
        </w:tc>
        <w:tc>
          <w:tcPr>
            <w:tcW w:w="1380" w:type="dxa"/>
            <w:vAlign w:val="bottom"/>
          </w:tcPr>
          <w:p>
            <w:pPr>
              <w:jc w:val="right"/>
              <w:ind w:right="200"/>
              <w:spacing w:after="0"/>
              <w:rPr>
                <w:sz w:val="20"/>
                <w:szCs w:val="20"/>
                <w:color w:val="auto"/>
              </w:rPr>
            </w:pPr>
            <w:r>
              <w:rPr>
                <w:rFonts w:ascii="Arial" w:cs="Arial" w:eastAsia="Arial" w:hAnsi="Arial"/>
                <w:sz w:val="12"/>
                <w:szCs w:val="12"/>
                <w:color w:val="auto"/>
              </w:rPr>
              <w:t>2.35%</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2.61%</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w w:val="97"/>
              </w:rPr>
              <w:t>26bps</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6"/>
              </w:rPr>
              <w:t>129bps</w:t>
            </w:r>
          </w:p>
        </w:tc>
      </w:tr>
      <w:tr>
        <w:trPr>
          <w:trHeight w:val="173"/>
        </w:trPr>
        <w:tc>
          <w:tcPr>
            <w:tcW w:w="5200" w:type="dxa"/>
            <w:vAlign w:val="bottom"/>
            <w:tcBorders>
              <w:left w:val="single" w:sz="8" w:color="auto"/>
              <w:right w:val="single" w:sz="8" w:color="auto"/>
            </w:tcBorders>
          </w:tcPr>
          <w:p>
            <w:pPr>
              <w:ind w:left="160"/>
              <w:spacing w:after="0" w:line="173" w:lineRule="exact"/>
              <w:rPr>
                <w:sz w:val="20"/>
                <w:szCs w:val="20"/>
                <w:color w:val="auto"/>
              </w:rPr>
            </w:pPr>
            <w:r>
              <w:rPr>
                <w:rFonts w:ascii="Arial" w:cs="Arial" w:eastAsia="Arial" w:hAnsi="Arial"/>
                <w:sz w:val="12"/>
                <w:szCs w:val="12"/>
                <w:b w:val="1"/>
                <w:bCs w:val="1"/>
                <w:color w:val="auto"/>
              </w:rPr>
              <w:t xml:space="preserve">Net Interest Margin (NIM) </w:t>
            </w:r>
            <w:r>
              <w:rPr>
                <w:rFonts w:ascii="Arial" w:cs="Arial" w:eastAsia="Arial" w:hAnsi="Arial"/>
                <w:sz w:val="20"/>
                <w:szCs w:val="20"/>
                <w:color w:val="auto"/>
                <w:vertAlign w:val="superscript"/>
              </w:rPr>
              <w:t>(1)</w:t>
            </w:r>
          </w:p>
        </w:tc>
        <w:tc>
          <w:tcPr>
            <w:tcW w:w="1540" w:type="dxa"/>
            <w:vAlign w:val="bottom"/>
          </w:tcPr>
          <w:p>
            <w:pPr>
              <w:jc w:val="right"/>
              <w:ind w:right="160"/>
              <w:spacing w:after="0"/>
              <w:rPr>
                <w:sz w:val="20"/>
                <w:szCs w:val="20"/>
                <w:color w:val="auto"/>
              </w:rPr>
            </w:pPr>
            <w:r>
              <w:rPr>
                <w:rFonts w:ascii="Arial" w:cs="Arial" w:eastAsia="Arial" w:hAnsi="Arial"/>
                <w:sz w:val="12"/>
                <w:szCs w:val="12"/>
                <w:b w:val="1"/>
                <w:bCs w:val="1"/>
                <w:color w:val="auto"/>
              </w:rPr>
              <w:t>4.46%</w:t>
            </w:r>
          </w:p>
        </w:tc>
        <w:tc>
          <w:tcPr>
            <w:tcW w:w="1380" w:type="dxa"/>
            <w:vAlign w:val="bottom"/>
          </w:tcPr>
          <w:p>
            <w:pPr>
              <w:jc w:val="right"/>
              <w:ind w:right="200"/>
              <w:spacing w:after="0"/>
              <w:rPr>
                <w:sz w:val="20"/>
                <w:szCs w:val="20"/>
                <w:color w:val="auto"/>
              </w:rPr>
            </w:pPr>
            <w:r>
              <w:rPr>
                <w:rFonts w:ascii="Arial" w:cs="Arial" w:eastAsia="Arial" w:hAnsi="Arial"/>
                <w:sz w:val="12"/>
                <w:szCs w:val="12"/>
                <w:b w:val="1"/>
                <w:bCs w:val="1"/>
                <w:color w:val="auto"/>
              </w:rPr>
              <w:t>5.75%</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5.84%</w:t>
            </w:r>
          </w:p>
        </w:tc>
        <w:tc>
          <w:tcPr>
            <w:tcW w:w="700" w:type="dxa"/>
            <w:vAlign w:val="bottom"/>
          </w:tcPr>
          <w:p>
            <w:pPr>
              <w:jc w:val="center"/>
              <w:ind w:left="240"/>
              <w:spacing w:after="0"/>
              <w:rPr>
                <w:sz w:val="20"/>
                <w:szCs w:val="20"/>
                <w:color w:val="auto"/>
              </w:rPr>
            </w:pPr>
            <w:r>
              <w:rPr>
                <w:rFonts w:ascii="Arial" w:cs="Arial" w:eastAsia="Arial" w:hAnsi="Arial"/>
                <w:sz w:val="12"/>
                <w:szCs w:val="12"/>
                <w:b w:val="1"/>
                <w:bCs w:val="1"/>
                <w:color w:val="auto"/>
                <w:w w:val="99"/>
              </w:rPr>
              <w:t>9bps</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rPr>
              <w:t>138bps</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Risk-Adjusted Net Interest Margin</w:t>
            </w:r>
          </w:p>
        </w:tc>
        <w:tc>
          <w:tcPr>
            <w:tcW w:w="1540" w:type="dxa"/>
            <w:vAlign w:val="bottom"/>
          </w:tcPr>
          <w:p>
            <w:pPr>
              <w:jc w:val="right"/>
              <w:ind w:right="160"/>
              <w:spacing w:after="0"/>
              <w:rPr>
                <w:sz w:val="20"/>
                <w:szCs w:val="20"/>
                <w:color w:val="auto"/>
              </w:rPr>
            </w:pPr>
            <w:r>
              <w:rPr>
                <w:rFonts w:ascii="Arial" w:cs="Arial" w:eastAsia="Arial" w:hAnsi="Arial"/>
                <w:sz w:val="12"/>
                <w:szCs w:val="12"/>
                <w:b w:val="1"/>
                <w:bCs w:val="1"/>
                <w:color w:val="auto"/>
              </w:rPr>
              <w:t>4.01%</w:t>
            </w:r>
          </w:p>
        </w:tc>
        <w:tc>
          <w:tcPr>
            <w:tcW w:w="1380" w:type="dxa"/>
            <w:vAlign w:val="bottom"/>
          </w:tcPr>
          <w:p>
            <w:pPr>
              <w:jc w:val="right"/>
              <w:ind w:right="200"/>
              <w:spacing w:after="0"/>
              <w:rPr>
                <w:sz w:val="20"/>
                <w:szCs w:val="20"/>
                <w:color w:val="auto"/>
              </w:rPr>
            </w:pPr>
            <w:r>
              <w:rPr>
                <w:rFonts w:ascii="Arial" w:cs="Arial" w:eastAsia="Arial" w:hAnsi="Arial"/>
                <w:sz w:val="12"/>
                <w:szCs w:val="12"/>
                <w:b w:val="1"/>
                <w:bCs w:val="1"/>
                <w:color w:val="auto"/>
              </w:rPr>
              <w:t>4.45%</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4.54%</w:t>
            </w:r>
          </w:p>
        </w:tc>
        <w:tc>
          <w:tcPr>
            <w:tcW w:w="700" w:type="dxa"/>
            <w:vAlign w:val="bottom"/>
          </w:tcPr>
          <w:p>
            <w:pPr>
              <w:jc w:val="center"/>
              <w:ind w:left="240"/>
              <w:spacing w:after="0"/>
              <w:rPr>
                <w:sz w:val="20"/>
                <w:szCs w:val="20"/>
                <w:color w:val="auto"/>
              </w:rPr>
            </w:pPr>
            <w:r>
              <w:rPr>
                <w:rFonts w:ascii="Arial" w:cs="Arial" w:eastAsia="Arial" w:hAnsi="Arial"/>
                <w:sz w:val="12"/>
                <w:szCs w:val="12"/>
                <w:b w:val="1"/>
                <w:bCs w:val="1"/>
                <w:color w:val="auto"/>
                <w:w w:val="99"/>
              </w:rPr>
              <w:t>9bps</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7"/>
              </w:rPr>
              <w:t>53bps</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Peru’s Reference Rate</w:t>
            </w:r>
          </w:p>
        </w:tc>
        <w:tc>
          <w:tcPr>
            <w:tcW w:w="1540" w:type="dxa"/>
            <w:vAlign w:val="bottom"/>
          </w:tcPr>
          <w:p>
            <w:pPr>
              <w:jc w:val="right"/>
              <w:ind w:right="160"/>
              <w:spacing w:after="0"/>
              <w:rPr>
                <w:sz w:val="20"/>
                <w:szCs w:val="20"/>
                <w:color w:val="auto"/>
              </w:rPr>
            </w:pPr>
            <w:r>
              <w:rPr>
                <w:rFonts w:ascii="Arial" w:cs="Arial" w:eastAsia="Arial" w:hAnsi="Arial"/>
                <w:sz w:val="12"/>
                <w:szCs w:val="12"/>
                <w:b w:val="1"/>
                <w:bCs w:val="1"/>
                <w:color w:val="auto"/>
              </w:rPr>
              <w:t>4.00%</w:t>
            </w:r>
          </w:p>
        </w:tc>
        <w:tc>
          <w:tcPr>
            <w:tcW w:w="1380" w:type="dxa"/>
            <w:vAlign w:val="bottom"/>
          </w:tcPr>
          <w:p>
            <w:pPr>
              <w:jc w:val="right"/>
              <w:ind w:right="200"/>
              <w:spacing w:after="0"/>
              <w:rPr>
                <w:sz w:val="20"/>
                <w:szCs w:val="20"/>
                <w:color w:val="auto"/>
              </w:rPr>
            </w:pPr>
            <w:r>
              <w:rPr>
                <w:rFonts w:ascii="Arial" w:cs="Arial" w:eastAsia="Arial" w:hAnsi="Arial"/>
                <w:sz w:val="12"/>
                <w:szCs w:val="12"/>
                <w:b w:val="1"/>
                <w:bCs w:val="1"/>
                <w:color w:val="auto"/>
              </w:rPr>
              <w:t>7.50%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7.75%</w:t>
            </w:r>
          </w:p>
        </w:tc>
        <w:tc>
          <w:tcPr>
            <w:tcW w:w="700" w:type="dxa"/>
            <w:vAlign w:val="bottom"/>
          </w:tcPr>
          <w:p>
            <w:pPr>
              <w:jc w:val="center"/>
              <w:ind w:left="240"/>
              <w:spacing w:after="0"/>
              <w:rPr>
                <w:sz w:val="20"/>
                <w:szCs w:val="20"/>
                <w:color w:val="auto"/>
              </w:rPr>
            </w:pPr>
            <w:r>
              <w:rPr>
                <w:rFonts w:ascii="Arial" w:cs="Arial" w:eastAsia="Arial" w:hAnsi="Arial"/>
                <w:sz w:val="12"/>
                <w:szCs w:val="12"/>
                <w:b w:val="1"/>
                <w:bCs w:val="1"/>
                <w:color w:val="auto"/>
              </w:rPr>
              <w:t>25bps</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rPr>
              <w:t>375bps</w:t>
            </w:r>
          </w:p>
        </w:tc>
      </w:tr>
      <w:tr>
        <w:trPr>
          <w:trHeight w:val="158"/>
        </w:trPr>
        <w:tc>
          <w:tcPr>
            <w:tcW w:w="52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FED funds rate</w:t>
            </w:r>
          </w:p>
        </w:tc>
        <w:tc>
          <w:tcPr>
            <w:tcW w:w="1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0.50%</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4.50%</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5.00%</w:t>
            </w:r>
          </w:p>
        </w:tc>
        <w:tc>
          <w:tcPr>
            <w:tcW w:w="70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b w:val="1"/>
                <w:bCs w:val="1"/>
                <w:color w:val="auto"/>
              </w:rPr>
              <w:t>50bps</w:t>
            </w:r>
          </w:p>
        </w:tc>
        <w:tc>
          <w:tcPr>
            <w:tcW w:w="1340" w:type="dxa"/>
            <w:vAlign w:val="bottom"/>
            <w:tcBorders>
              <w:bottom w:val="single" w:sz="8" w:color="auto"/>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rPr>
              <w:t>450bps</w:t>
            </w:r>
          </w:p>
        </w:tc>
      </w:tr>
    </w:tbl>
    <w:p>
      <w:pPr>
        <w:spacing w:after="0" w:line="187" w:lineRule="exact"/>
        <w:rPr>
          <w:sz w:val="20"/>
          <w:szCs w:val="20"/>
          <w:color w:val="auto"/>
        </w:rPr>
      </w:pPr>
    </w:p>
    <w:p>
      <w:pPr>
        <w:ind w:left="20"/>
        <w:spacing w:after="0"/>
        <w:rPr>
          <w:sz w:val="20"/>
          <w:szCs w:val="20"/>
          <w:color w:val="auto"/>
        </w:rPr>
      </w:pPr>
      <w:r>
        <w:rPr>
          <w:rFonts w:ascii="Calibri" w:cs="Calibri" w:eastAsia="Calibri" w:hAnsi="Calibri"/>
          <w:sz w:val="11"/>
          <w:szCs w:val="11"/>
          <w:color w:val="auto"/>
        </w:rPr>
        <w:t>(1) For further detail on the new NIM calculaton due to IFRS17, please refer to Annex 12.1.8</w:t>
      </w:r>
    </w:p>
    <w:p>
      <w:pPr>
        <w:spacing w:after="0" w:line="103"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b w:val="1"/>
          <w:bCs w:val="1"/>
          <w:color w:val="auto"/>
        </w:rPr>
        <w:t xml:space="preserve">QoQ, Net interest income </w:t>
      </w:r>
      <w:r>
        <w:rPr>
          <w:rFonts w:ascii="Calibri" w:cs="Calibri" w:eastAsia="Calibri" w:hAnsi="Calibri"/>
          <w:sz w:val="15"/>
          <w:szCs w:val="15"/>
          <w:color w:val="auto"/>
        </w:rPr>
        <w:t>registered a litle decrease (-0.1%) given that growth in expenses outstripped expansion in income. The increase in income was driven by IEA yields, where</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despite the reducton in the loan balance, the recompositon of the loan portolio mix, together with the current interest rate environment, resulted in a positve impact. Expansion in interest expenses was fueled by an uptck in the Funding Cost, which was in turn spurred by growth in the share of more expensive sources of funding in the mix. In net terms, the increase registered in IEA yields was slightly above the growth registered for the funding cost; consequently, NIM rose 9bps QoQ to stand at 5.84%.</w:t>
      </w:r>
    </w:p>
    <w:p>
      <w:pPr>
        <w:spacing w:after="0" w:line="207" w:lineRule="exact"/>
        <w:rPr>
          <w:sz w:val="20"/>
          <w:szCs w:val="20"/>
          <w:color w:val="auto"/>
        </w:rPr>
      </w:pPr>
    </w:p>
    <w:p>
      <w:pPr>
        <w:jc w:val="both"/>
        <w:spacing w:after="0" w:line="266" w:lineRule="auto"/>
        <w:rPr>
          <w:sz w:val="20"/>
          <w:szCs w:val="20"/>
          <w:color w:val="auto"/>
        </w:rPr>
      </w:pPr>
      <w:r>
        <w:rPr>
          <w:rFonts w:ascii="Calibri" w:cs="Calibri" w:eastAsia="Calibri" w:hAnsi="Calibri"/>
          <w:sz w:val="14"/>
          <w:szCs w:val="14"/>
          <w:b w:val="1"/>
          <w:bCs w:val="1"/>
          <w:color w:val="auto"/>
        </w:rPr>
        <w:t>YoY</w:t>
      </w:r>
      <w:r>
        <w:rPr>
          <w:rFonts w:ascii="Calibri" w:cs="Calibri" w:eastAsia="Calibri" w:hAnsi="Calibri"/>
          <w:sz w:val="14"/>
          <w:szCs w:val="14"/>
          <w:color w:val="auto"/>
        </w:rPr>
        <w:t>, Net interest income rose 28.8%, driven by the fact that growth in income outstripped the expansion in expenses in an environment marked by rising interest rates. This evoluton was</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primarily atributable to the fact that the positve efect of interest rate hikes on IEAs outweighed the negatve efect of said hikes on the Funding Cost. In this context, NIM rose 138bps YoY.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Interest Margin</w:t>
            </w:r>
          </w:p>
        </w:tc>
        <w:tc>
          <w:tcPr>
            <w:tcW w:w="7700" w:type="dxa"/>
            <w:vAlign w:val="bottom"/>
          </w:tcPr>
          <w:p>
            <w:pPr>
              <w:ind w:left="2280"/>
              <w:spacing w:after="0"/>
              <w:rPr>
                <w:sz w:val="20"/>
                <w:szCs w:val="20"/>
                <w:color w:val="auto"/>
              </w:rPr>
            </w:pPr>
            <w:r>
              <w:rPr>
                <w:rFonts w:ascii="Calibri" w:cs="Calibri" w:eastAsia="Calibri" w:hAnsi="Calibri"/>
                <w:sz w:val="15"/>
                <w:szCs w:val="15"/>
                <w:color w:val="auto"/>
              </w:rPr>
              <w:t>Structural NIM contnued to rise QoQ thanks to the positve efect generated by actve</w:t>
            </w:r>
          </w:p>
        </w:tc>
      </w:tr>
      <w:tr>
        <w:trPr>
          <w:trHeight w:val="175"/>
        </w:trPr>
        <w:tc>
          <w:tcPr>
            <w:tcW w:w="1280" w:type="dxa"/>
            <w:vAlign w:val="bottom"/>
            <w:tcBorders>
              <w:top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7700" w:type="dxa"/>
            <w:vAlign w:val="bottom"/>
          </w:tcPr>
          <w:p>
            <w:pPr>
              <w:ind w:left="2280"/>
              <w:spacing w:after="0" w:line="175" w:lineRule="exact"/>
              <w:rPr>
                <w:sz w:val="20"/>
                <w:szCs w:val="20"/>
                <w:color w:val="auto"/>
              </w:rPr>
            </w:pPr>
            <w:r>
              <w:rPr>
                <w:rFonts w:ascii="Calibri" w:cs="Calibri" w:eastAsia="Calibri" w:hAnsi="Calibri"/>
                <w:sz w:val="15"/>
                <w:szCs w:val="15"/>
                <w:color w:val="auto"/>
              </w:rPr>
              <w:t>interest rate management in our business segments and to efectve repricing of</w:t>
            </w:r>
          </w:p>
        </w:tc>
      </w:tr>
      <w:tr>
        <w:trPr>
          <w:trHeight w:val="182"/>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700" w:type="dxa"/>
            <w:vAlign w:val="bottom"/>
          </w:tcPr>
          <w:p>
            <w:pPr>
              <w:ind w:left="2280"/>
              <w:spacing w:after="0" w:line="181" w:lineRule="exact"/>
              <w:rPr>
                <w:sz w:val="20"/>
                <w:szCs w:val="20"/>
                <w:color w:val="auto"/>
              </w:rPr>
            </w:pPr>
            <w:r>
              <w:rPr>
                <w:rFonts w:ascii="Calibri" w:cs="Calibri" w:eastAsia="Calibri" w:hAnsi="Calibri"/>
                <w:sz w:val="15"/>
                <w:szCs w:val="15"/>
                <w:color w:val="auto"/>
                <w:w w:val="97"/>
              </w:rPr>
              <w:t>investments. This quarter, risk-adjusted NIM rose slightly to stand at 4.54% at quarter-end.</w:t>
            </w:r>
          </w:p>
        </w:tc>
      </w:tr>
      <w:tr>
        <w:trPr>
          <w:trHeight w:val="386"/>
        </w:trPr>
        <w:tc>
          <w:tcPr>
            <w:tcW w:w="1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700" w:type="dxa"/>
            <w:vAlign w:val="bottom"/>
          </w:tcPr>
          <w:p>
            <w:pPr>
              <w:ind w:left="2280"/>
              <w:spacing w:after="0"/>
              <w:rPr>
                <w:sz w:val="20"/>
                <w:szCs w:val="20"/>
                <w:color w:val="auto"/>
              </w:rPr>
            </w:pPr>
            <w:r>
              <w:rPr>
                <w:rFonts w:ascii="Calibri" w:cs="Calibri" w:eastAsia="Calibri" w:hAnsi="Calibri"/>
                <w:sz w:val="15"/>
                <w:szCs w:val="15"/>
                <w:color w:val="auto"/>
              </w:rPr>
              <w:t>To analyze the evoluton of Net Interest Income, it is important to diferentate dynamics</w:t>
            </w:r>
          </w:p>
        </w:tc>
      </w:tr>
      <w:tr>
        <w:trPr>
          <w:trHeight w:val="182"/>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700" w:type="dxa"/>
            <w:vAlign w:val="bottom"/>
          </w:tcPr>
          <w:p>
            <w:pPr>
              <w:ind w:left="2280"/>
              <w:spacing w:after="0" w:line="181" w:lineRule="exact"/>
              <w:rPr>
                <w:sz w:val="20"/>
                <w:szCs w:val="20"/>
                <w:color w:val="auto"/>
              </w:rPr>
            </w:pPr>
            <w:r>
              <w:rPr>
                <w:rFonts w:ascii="Calibri" w:cs="Calibri" w:eastAsia="Calibri" w:hAnsi="Calibri"/>
                <w:sz w:val="15"/>
                <w:szCs w:val="15"/>
                <w:color w:val="auto"/>
              </w:rPr>
              <w:t>by currency given that the trends in volumes market rate variatons difer for each. The</w:t>
            </w:r>
          </w:p>
        </w:tc>
      </w:tr>
      <w:tr>
        <w:trPr>
          <w:trHeight w:val="182"/>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700" w:type="dxa"/>
            <w:vAlign w:val="bottom"/>
          </w:tcPr>
          <w:p>
            <w:pPr>
              <w:ind w:left="2280"/>
              <w:spacing w:after="0" w:line="181" w:lineRule="exact"/>
              <w:rPr>
                <w:sz w:val="20"/>
                <w:szCs w:val="20"/>
                <w:color w:val="auto"/>
              </w:rPr>
            </w:pPr>
            <w:r>
              <w:rPr>
                <w:rFonts w:ascii="Calibri" w:cs="Calibri" w:eastAsia="Calibri" w:hAnsi="Calibri"/>
                <w:sz w:val="15"/>
                <w:szCs w:val="15"/>
                <w:color w:val="auto"/>
                <w:w w:val="97"/>
              </w:rPr>
              <w:t>reference rate in LC (BCRP) increased 25bps QoQ and 375bps YoY, while the rate in FC (FED</w:t>
            </w:r>
          </w:p>
        </w:tc>
      </w:tr>
      <w:tr>
        <w:trPr>
          <w:trHeight w:val="182"/>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700" w:type="dxa"/>
            <w:vAlign w:val="bottom"/>
          </w:tcPr>
          <w:p>
            <w:pPr>
              <w:ind w:left="2280"/>
              <w:spacing w:after="0" w:line="181" w:lineRule="exact"/>
              <w:rPr>
                <w:sz w:val="20"/>
                <w:szCs w:val="20"/>
                <w:color w:val="auto"/>
              </w:rPr>
            </w:pPr>
            <w:r>
              <w:rPr>
                <w:rFonts w:ascii="Calibri" w:cs="Calibri" w:eastAsia="Calibri" w:hAnsi="Calibri"/>
                <w:sz w:val="15"/>
                <w:szCs w:val="15"/>
                <w:color w:val="auto"/>
              </w:rPr>
              <w:t>funds rate) rose 50bps QoQ and 450bps YoY.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-807720</wp:posOffset>
            </wp:positionV>
            <wp:extent cx="2694305" cy="13830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94305" cy="1383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54" w:right="319" w:bottom="1440" w:gutter="0" w:footer="0" w:header="0"/>
        </w:sectPr>
      </w:pPr>
    </w:p>
    <w:bookmarkStart w:id="29" w:name="page30"/>
    <w:bookmarkEnd w:id="29"/>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53910" cy="2305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04. Net Interest Income (NII)</w:t>
      </w:r>
    </w:p>
    <w:p>
      <w:pPr>
        <w:spacing w:after="0" w:line="274"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Dynamics of Net Interest Margin by Currency</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50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Interest Income / IEA</w:t>
            </w:r>
          </w:p>
        </w:tc>
        <w:tc>
          <w:tcPr>
            <w:tcW w:w="1120" w:type="dxa"/>
            <w:vAlign w:val="bottom"/>
            <w:tcBorders>
              <w:top w:val="single" w:sz="8" w:color="auto"/>
            </w:tcBorders>
            <w:shd w:val="clear" w:color="auto" w:fill="2AD2C9"/>
          </w:tcPr>
          <w:p>
            <w:pPr>
              <w:spacing w:after="0"/>
              <w:rPr>
                <w:sz w:val="18"/>
                <w:szCs w:val="18"/>
                <w:color w:val="auto"/>
              </w:rPr>
            </w:pPr>
          </w:p>
        </w:tc>
        <w:tc>
          <w:tcPr>
            <w:tcW w:w="1180" w:type="dxa"/>
            <w:vAlign w:val="bottom"/>
            <w:tcBorders>
              <w:top w:val="single" w:sz="8" w:color="auto"/>
            </w:tcBorders>
            <w:shd w:val="clear" w:color="auto" w:fill="2AD2C9"/>
          </w:tcPr>
          <w:p>
            <w:pPr>
              <w:jc w:val="right"/>
              <w:ind w:right="626"/>
              <w:spacing w:after="0"/>
              <w:rPr>
                <w:sz w:val="20"/>
                <w:szCs w:val="20"/>
                <w:color w:val="auto"/>
              </w:rPr>
            </w:pPr>
            <w:r>
              <w:rPr>
                <w:rFonts w:ascii="Arial" w:cs="Arial" w:eastAsia="Arial" w:hAnsi="Arial"/>
                <w:sz w:val="12"/>
                <w:szCs w:val="12"/>
                <w:b w:val="1"/>
                <w:bCs w:val="1"/>
                <w:color w:val="FFFFFF"/>
              </w:rPr>
              <w:t>1Q22</w:t>
            </w:r>
          </w:p>
        </w:tc>
        <w:tc>
          <w:tcPr>
            <w:tcW w:w="680" w:type="dxa"/>
            <w:vAlign w:val="bottom"/>
            <w:tcBorders>
              <w:top w:val="single" w:sz="8" w:color="auto"/>
              <w:right w:val="single" w:sz="8" w:color="auto"/>
            </w:tcBorders>
            <w:shd w:val="clear" w:color="auto" w:fill="2AD2C9"/>
          </w:tcPr>
          <w:p>
            <w:pPr>
              <w:spacing w:after="0"/>
              <w:rPr>
                <w:sz w:val="18"/>
                <w:szCs w:val="18"/>
                <w:color w:val="auto"/>
              </w:rPr>
            </w:pPr>
          </w:p>
        </w:tc>
        <w:tc>
          <w:tcPr>
            <w:tcW w:w="1180" w:type="dxa"/>
            <w:vAlign w:val="bottom"/>
            <w:tcBorders>
              <w:top w:val="single" w:sz="8" w:color="auto"/>
            </w:tcBorders>
            <w:shd w:val="clear" w:color="auto" w:fill="2AD2C9"/>
          </w:tcPr>
          <w:p>
            <w:pPr>
              <w:spacing w:after="0"/>
              <w:rPr>
                <w:sz w:val="18"/>
                <w:szCs w:val="18"/>
                <w:color w:val="auto"/>
              </w:rPr>
            </w:pPr>
          </w:p>
        </w:tc>
        <w:tc>
          <w:tcPr>
            <w:tcW w:w="1080" w:type="dxa"/>
            <w:vAlign w:val="bottom"/>
            <w:tcBorders>
              <w:top w:val="single" w:sz="8" w:color="auto"/>
            </w:tcBorders>
            <w:shd w:val="clear" w:color="auto" w:fill="2AD2C9"/>
          </w:tcPr>
          <w:p>
            <w:pPr>
              <w:jc w:val="right"/>
              <w:ind w:right="646"/>
              <w:spacing w:after="0"/>
              <w:rPr>
                <w:sz w:val="20"/>
                <w:szCs w:val="20"/>
                <w:color w:val="auto"/>
              </w:rPr>
            </w:pPr>
            <w:r>
              <w:rPr>
                <w:rFonts w:ascii="Arial" w:cs="Arial" w:eastAsia="Arial" w:hAnsi="Arial"/>
                <w:sz w:val="12"/>
                <w:szCs w:val="12"/>
                <w:b w:val="1"/>
                <w:bCs w:val="1"/>
                <w:color w:val="FFFFFF"/>
              </w:rPr>
              <w:t>4Q22</w:t>
            </w:r>
          </w:p>
        </w:tc>
        <w:tc>
          <w:tcPr>
            <w:tcW w:w="600" w:type="dxa"/>
            <w:vAlign w:val="bottom"/>
            <w:tcBorders>
              <w:top w:val="single" w:sz="8" w:color="auto"/>
              <w:right w:val="single" w:sz="8" w:color="auto"/>
            </w:tcBorders>
            <w:shd w:val="clear" w:color="auto" w:fill="2AD2C9"/>
          </w:tcPr>
          <w:p>
            <w:pPr>
              <w:spacing w:after="0"/>
              <w:rPr>
                <w:sz w:val="18"/>
                <w:szCs w:val="18"/>
                <w:color w:val="auto"/>
              </w:rPr>
            </w:pPr>
          </w:p>
        </w:tc>
        <w:tc>
          <w:tcPr>
            <w:tcW w:w="100" w:type="dxa"/>
            <w:vAlign w:val="bottom"/>
            <w:tcBorders>
              <w:top w:val="single" w:sz="8" w:color="auto"/>
              <w:right w:val="single" w:sz="8" w:color="2AD2C9"/>
            </w:tcBorders>
            <w:shd w:val="clear" w:color="auto" w:fill="2AD2C9"/>
          </w:tcPr>
          <w:p>
            <w:pPr>
              <w:spacing w:after="0"/>
              <w:rPr>
                <w:sz w:val="18"/>
                <w:szCs w:val="18"/>
                <w:color w:val="auto"/>
              </w:rPr>
            </w:pPr>
          </w:p>
        </w:tc>
        <w:tc>
          <w:tcPr>
            <w:tcW w:w="1160" w:type="dxa"/>
            <w:vAlign w:val="bottom"/>
            <w:tcBorders>
              <w:top w:val="single" w:sz="8" w:color="auto"/>
            </w:tcBorders>
            <w:shd w:val="clear" w:color="auto" w:fill="2AD2C9"/>
          </w:tcPr>
          <w:p>
            <w:pPr>
              <w:spacing w:after="0"/>
              <w:rPr>
                <w:sz w:val="18"/>
                <w:szCs w:val="18"/>
                <w:color w:val="auto"/>
              </w:rPr>
            </w:pPr>
          </w:p>
        </w:tc>
        <w:tc>
          <w:tcPr>
            <w:tcW w:w="1080" w:type="dxa"/>
            <w:vAlign w:val="bottom"/>
            <w:tcBorders>
              <w:top w:val="single" w:sz="8" w:color="auto"/>
            </w:tcBorders>
            <w:shd w:val="clear" w:color="auto" w:fill="2AD2C9"/>
          </w:tcPr>
          <w:p>
            <w:pPr>
              <w:jc w:val="right"/>
              <w:ind w:right="666"/>
              <w:spacing w:after="0"/>
              <w:rPr>
                <w:sz w:val="20"/>
                <w:szCs w:val="20"/>
                <w:color w:val="auto"/>
              </w:rPr>
            </w:pPr>
            <w:r>
              <w:rPr>
                <w:rFonts w:ascii="Arial" w:cs="Arial" w:eastAsia="Arial" w:hAnsi="Arial"/>
                <w:sz w:val="12"/>
                <w:szCs w:val="12"/>
                <w:b w:val="1"/>
                <w:bCs w:val="1"/>
                <w:color w:val="FFFFFF"/>
              </w:rPr>
              <w:t>1Q23</w:t>
            </w:r>
          </w:p>
        </w:tc>
        <w:tc>
          <w:tcPr>
            <w:tcW w:w="580" w:type="dxa"/>
            <w:vAlign w:val="bottom"/>
            <w:tcBorders>
              <w:top w:val="single" w:sz="8" w:color="auto"/>
              <w:right w:val="single" w:sz="8" w:color="auto"/>
            </w:tcBorders>
            <w:shd w:val="clear" w:color="auto" w:fill="2AD2C9"/>
          </w:tcPr>
          <w:p>
            <w:pPr>
              <w:spacing w:after="0"/>
              <w:rPr>
                <w:sz w:val="18"/>
                <w:szCs w:val="18"/>
                <w:color w:val="auto"/>
              </w:rPr>
            </w:pPr>
          </w:p>
        </w:tc>
      </w:tr>
      <w:tr>
        <w:trPr>
          <w:trHeight w:val="204"/>
        </w:trPr>
        <w:tc>
          <w:tcPr>
            <w:tcW w:w="2500" w:type="dxa"/>
            <w:vAlign w:val="bottom"/>
            <w:tcBorders>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S/ millions</w:t>
            </w:r>
          </w:p>
        </w:tc>
        <w:tc>
          <w:tcPr>
            <w:tcW w:w="1120" w:type="dxa"/>
            <w:vAlign w:val="bottom"/>
            <w:shd w:val="clear" w:color="auto" w:fill="2AD2C9"/>
          </w:tcPr>
          <w:p>
            <w:pPr>
              <w:jc w:val="right"/>
              <w:spacing w:after="0"/>
              <w:rPr>
                <w:sz w:val="20"/>
                <w:szCs w:val="20"/>
                <w:color w:val="auto"/>
              </w:rPr>
            </w:pPr>
            <w:r>
              <w:rPr>
                <w:rFonts w:ascii="Arial" w:cs="Arial" w:eastAsia="Arial" w:hAnsi="Arial"/>
                <w:sz w:val="12"/>
                <w:szCs w:val="12"/>
                <w:b w:val="1"/>
                <w:bCs w:val="1"/>
                <w:color w:val="FFFFFF"/>
              </w:rPr>
              <w:t>Average</w:t>
            </w:r>
          </w:p>
        </w:tc>
        <w:tc>
          <w:tcPr>
            <w:tcW w:w="1180" w:type="dxa"/>
            <w:vAlign w:val="bottom"/>
            <w:shd w:val="clear" w:color="auto" w:fill="2AD2C9"/>
          </w:tcPr>
          <w:p>
            <w:pPr>
              <w:spacing w:after="0"/>
              <w:rPr>
                <w:sz w:val="17"/>
                <w:szCs w:val="17"/>
                <w:color w:val="auto"/>
              </w:rPr>
            </w:pPr>
          </w:p>
        </w:tc>
        <w:tc>
          <w:tcPr>
            <w:tcW w:w="680" w:type="dxa"/>
            <w:vAlign w:val="bottom"/>
            <w:tcBorders>
              <w:right w:val="single" w:sz="8" w:color="auto"/>
            </w:tcBorders>
            <w:shd w:val="clear" w:color="auto" w:fill="2AD2C9"/>
          </w:tcPr>
          <w:p>
            <w:pPr>
              <w:spacing w:after="0"/>
              <w:rPr>
                <w:sz w:val="17"/>
                <w:szCs w:val="17"/>
                <w:color w:val="auto"/>
              </w:rPr>
            </w:pPr>
          </w:p>
        </w:tc>
        <w:tc>
          <w:tcPr>
            <w:tcW w:w="1180" w:type="dxa"/>
            <w:vAlign w:val="bottom"/>
            <w:shd w:val="clear" w:color="auto" w:fill="2AD2C9"/>
          </w:tcPr>
          <w:p>
            <w:pPr>
              <w:jc w:val="right"/>
              <w:ind w:right="66"/>
              <w:spacing w:after="0"/>
              <w:rPr>
                <w:sz w:val="20"/>
                <w:szCs w:val="20"/>
                <w:color w:val="auto"/>
              </w:rPr>
            </w:pPr>
            <w:r>
              <w:rPr>
                <w:rFonts w:ascii="Arial" w:cs="Arial" w:eastAsia="Arial" w:hAnsi="Arial"/>
                <w:sz w:val="12"/>
                <w:szCs w:val="12"/>
                <w:b w:val="1"/>
                <w:bCs w:val="1"/>
                <w:color w:val="FFFFFF"/>
              </w:rPr>
              <w:t>Average</w:t>
            </w:r>
          </w:p>
        </w:tc>
        <w:tc>
          <w:tcPr>
            <w:tcW w:w="1080" w:type="dxa"/>
            <w:vAlign w:val="bottom"/>
            <w:shd w:val="clear" w:color="auto" w:fill="2AD2C9"/>
          </w:tcPr>
          <w:p>
            <w:pPr>
              <w:spacing w:after="0"/>
              <w:rPr>
                <w:sz w:val="17"/>
                <w:szCs w:val="17"/>
                <w:color w:val="auto"/>
              </w:rPr>
            </w:pPr>
          </w:p>
        </w:tc>
        <w:tc>
          <w:tcPr>
            <w:tcW w:w="600" w:type="dxa"/>
            <w:vAlign w:val="bottom"/>
            <w:tcBorders>
              <w:right w:val="single" w:sz="8" w:color="auto"/>
            </w:tcBorders>
            <w:shd w:val="clear" w:color="auto" w:fill="2AD2C9"/>
          </w:tcPr>
          <w:p>
            <w:pPr>
              <w:spacing w:after="0"/>
              <w:rPr>
                <w:sz w:val="17"/>
                <w:szCs w:val="17"/>
                <w:color w:val="auto"/>
              </w:rPr>
            </w:pPr>
          </w:p>
        </w:tc>
        <w:tc>
          <w:tcPr>
            <w:tcW w:w="100" w:type="dxa"/>
            <w:vAlign w:val="bottom"/>
            <w:tcBorders>
              <w:right w:val="single" w:sz="8" w:color="2AD2C9"/>
            </w:tcBorders>
            <w:shd w:val="clear" w:color="auto" w:fill="2AD2C9"/>
          </w:tcPr>
          <w:p>
            <w:pPr>
              <w:spacing w:after="0"/>
              <w:rPr>
                <w:sz w:val="17"/>
                <w:szCs w:val="17"/>
                <w:color w:val="auto"/>
              </w:rPr>
            </w:pPr>
          </w:p>
        </w:tc>
        <w:tc>
          <w:tcPr>
            <w:tcW w:w="1160" w:type="dxa"/>
            <w:vAlign w:val="bottom"/>
            <w:shd w:val="clear" w:color="auto" w:fill="2AD2C9"/>
          </w:tcPr>
          <w:p>
            <w:pPr>
              <w:jc w:val="right"/>
              <w:ind w:right="86"/>
              <w:spacing w:after="0"/>
              <w:rPr>
                <w:sz w:val="20"/>
                <w:szCs w:val="20"/>
                <w:color w:val="auto"/>
              </w:rPr>
            </w:pPr>
            <w:r>
              <w:rPr>
                <w:rFonts w:ascii="Arial" w:cs="Arial" w:eastAsia="Arial" w:hAnsi="Arial"/>
                <w:sz w:val="12"/>
                <w:szCs w:val="12"/>
                <w:b w:val="1"/>
                <w:bCs w:val="1"/>
                <w:color w:val="FFFFFF"/>
              </w:rPr>
              <w:t>Average</w:t>
            </w:r>
          </w:p>
        </w:tc>
        <w:tc>
          <w:tcPr>
            <w:tcW w:w="1080" w:type="dxa"/>
            <w:vAlign w:val="bottom"/>
            <w:shd w:val="clear" w:color="auto" w:fill="2AD2C9"/>
          </w:tcPr>
          <w:p>
            <w:pPr>
              <w:spacing w:after="0"/>
              <w:rPr>
                <w:sz w:val="17"/>
                <w:szCs w:val="17"/>
                <w:color w:val="auto"/>
              </w:rPr>
            </w:pPr>
          </w:p>
        </w:tc>
        <w:tc>
          <w:tcPr>
            <w:tcW w:w="580" w:type="dxa"/>
            <w:vAlign w:val="bottom"/>
            <w:tcBorders>
              <w:right w:val="single" w:sz="8" w:color="auto"/>
            </w:tcBorders>
            <w:shd w:val="clear" w:color="auto" w:fill="2AD2C9"/>
          </w:tcPr>
          <w:p>
            <w:pPr>
              <w:spacing w:after="0"/>
              <w:rPr>
                <w:sz w:val="17"/>
                <w:szCs w:val="17"/>
                <w:color w:val="auto"/>
              </w:rPr>
            </w:pPr>
          </w:p>
        </w:tc>
      </w:tr>
      <w:tr>
        <w:trPr>
          <w:trHeight w:val="217"/>
        </w:trPr>
        <w:tc>
          <w:tcPr>
            <w:tcW w:w="2500" w:type="dxa"/>
            <w:vAlign w:val="bottom"/>
            <w:tcBorders>
              <w:left w:val="single" w:sz="8" w:color="auto"/>
              <w:right w:val="single" w:sz="8" w:color="auto"/>
            </w:tcBorders>
            <w:shd w:val="clear" w:color="auto" w:fill="2AD2C9"/>
          </w:tcPr>
          <w:p>
            <w:pPr>
              <w:spacing w:after="0"/>
              <w:rPr>
                <w:sz w:val="18"/>
                <w:szCs w:val="18"/>
                <w:color w:val="auto"/>
              </w:rPr>
            </w:pPr>
          </w:p>
        </w:tc>
        <w:tc>
          <w:tcPr>
            <w:tcW w:w="1120" w:type="dxa"/>
            <w:vAlign w:val="bottom"/>
            <w:shd w:val="clear" w:color="auto" w:fill="2AD2C9"/>
          </w:tcPr>
          <w:p>
            <w:pPr>
              <w:jc w:val="right"/>
              <w:spacing w:after="0"/>
              <w:rPr>
                <w:sz w:val="20"/>
                <w:szCs w:val="20"/>
                <w:color w:val="auto"/>
              </w:rPr>
            </w:pPr>
            <w:r>
              <w:rPr>
                <w:rFonts w:ascii="Arial" w:cs="Arial" w:eastAsia="Arial" w:hAnsi="Arial"/>
                <w:sz w:val="12"/>
                <w:szCs w:val="12"/>
                <w:b w:val="1"/>
                <w:bCs w:val="1"/>
                <w:color w:val="FFFFFF"/>
              </w:rPr>
              <w:t>Balance</w:t>
            </w:r>
          </w:p>
        </w:tc>
        <w:tc>
          <w:tcPr>
            <w:tcW w:w="1180" w:type="dxa"/>
            <w:vAlign w:val="bottom"/>
            <w:shd w:val="clear" w:color="auto" w:fill="2AD2C9"/>
          </w:tcPr>
          <w:p>
            <w:pPr>
              <w:jc w:val="right"/>
              <w:ind w:right="226"/>
              <w:spacing w:after="0"/>
              <w:rPr>
                <w:sz w:val="20"/>
                <w:szCs w:val="20"/>
                <w:color w:val="auto"/>
              </w:rPr>
            </w:pPr>
            <w:r>
              <w:rPr>
                <w:rFonts w:ascii="Arial" w:cs="Arial" w:eastAsia="Arial" w:hAnsi="Arial"/>
                <w:sz w:val="12"/>
                <w:szCs w:val="12"/>
                <w:b w:val="1"/>
                <w:bCs w:val="1"/>
                <w:color w:val="FFFFFF"/>
              </w:rPr>
              <w:t>Income</w:t>
            </w:r>
          </w:p>
        </w:tc>
        <w:tc>
          <w:tcPr>
            <w:tcW w:w="680" w:type="dxa"/>
            <w:vAlign w:val="bottom"/>
            <w:tcBorders>
              <w:right w:val="single" w:sz="8" w:color="auto"/>
            </w:tcBorders>
            <w:shd w:val="clear" w:color="auto" w:fill="2AD2C9"/>
          </w:tcPr>
          <w:p>
            <w:pPr>
              <w:jc w:val="right"/>
              <w:ind w:right="5"/>
              <w:spacing w:after="0"/>
              <w:rPr>
                <w:sz w:val="20"/>
                <w:szCs w:val="20"/>
                <w:color w:val="auto"/>
              </w:rPr>
            </w:pPr>
            <w:r>
              <w:rPr>
                <w:rFonts w:ascii="Arial" w:cs="Arial" w:eastAsia="Arial" w:hAnsi="Arial"/>
                <w:sz w:val="12"/>
                <w:szCs w:val="12"/>
                <w:b w:val="1"/>
                <w:bCs w:val="1"/>
                <w:color w:val="FFFFFF"/>
              </w:rPr>
              <w:t>Yields</w:t>
            </w:r>
          </w:p>
        </w:tc>
        <w:tc>
          <w:tcPr>
            <w:tcW w:w="1180" w:type="dxa"/>
            <w:vAlign w:val="bottom"/>
            <w:shd w:val="clear" w:color="auto" w:fill="2AD2C9"/>
          </w:tcPr>
          <w:p>
            <w:pPr>
              <w:jc w:val="right"/>
              <w:ind w:right="66"/>
              <w:spacing w:after="0"/>
              <w:rPr>
                <w:sz w:val="20"/>
                <w:szCs w:val="20"/>
                <w:color w:val="auto"/>
              </w:rPr>
            </w:pPr>
            <w:r>
              <w:rPr>
                <w:rFonts w:ascii="Arial" w:cs="Arial" w:eastAsia="Arial" w:hAnsi="Arial"/>
                <w:sz w:val="12"/>
                <w:szCs w:val="12"/>
                <w:b w:val="1"/>
                <w:bCs w:val="1"/>
                <w:color w:val="FFFFFF"/>
              </w:rPr>
              <w:t>Balance</w:t>
            </w:r>
          </w:p>
        </w:tc>
        <w:tc>
          <w:tcPr>
            <w:tcW w:w="1080" w:type="dxa"/>
            <w:vAlign w:val="bottom"/>
            <w:shd w:val="clear" w:color="auto" w:fill="2AD2C9"/>
          </w:tcPr>
          <w:p>
            <w:pPr>
              <w:jc w:val="right"/>
              <w:ind w:right="246"/>
              <w:spacing w:after="0"/>
              <w:rPr>
                <w:sz w:val="20"/>
                <w:szCs w:val="20"/>
                <w:color w:val="auto"/>
              </w:rPr>
            </w:pPr>
            <w:r>
              <w:rPr>
                <w:rFonts w:ascii="Arial" w:cs="Arial" w:eastAsia="Arial" w:hAnsi="Arial"/>
                <w:sz w:val="12"/>
                <w:szCs w:val="12"/>
                <w:b w:val="1"/>
                <w:bCs w:val="1"/>
                <w:color w:val="FFFFFF"/>
              </w:rPr>
              <w:t>Income</w:t>
            </w:r>
          </w:p>
        </w:tc>
        <w:tc>
          <w:tcPr>
            <w:tcW w:w="600" w:type="dxa"/>
            <w:vAlign w:val="bottom"/>
            <w:tcBorders>
              <w:right w:val="single" w:sz="8" w:color="auto"/>
            </w:tcBorders>
            <w:shd w:val="clear" w:color="auto" w:fill="2AD2C9"/>
          </w:tcPr>
          <w:p>
            <w:pPr>
              <w:jc w:val="right"/>
              <w:spacing w:after="0"/>
              <w:rPr>
                <w:sz w:val="20"/>
                <w:szCs w:val="20"/>
                <w:color w:val="auto"/>
              </w:rPr>
            </w:pPr>
            <w:r>
              <w:rPr>
                <w:rFonts w:ascii="Arial" w:cs="Arial" w:eastAsia="Arial" w:hAnsi="Arial"/>
                <w:sz w:val="12"/>
                <w:szCs w:val="12"/>
                <w:b w:val="1"/>
                <w:bCs w:val="1"/>
                <w:color w:val="FFFFFF"/>
              </w:rPr>
              <w:t>Yields</w:t>
            </w:r>
          </w:p>
        </w:tc>
        <w:tc>
          <w:tcPr>
            <w:tcW w:w="100" w:type="dxa"/>
            <w:vAlign w:val="bottom"/>
            <w:tcBorders>
              <w:right w:val="single" w:sz="8" w:color="2AD2C9"/>
            </w:tcBorders>
            <w:shd w:val="clear" w:color="auto" w:fill="2AD2C9"/>
          </w:tcPr>
          <w:p>
            <w:pPr>
              <w:spacing w:after="0"/>
              <w:rPr>
                <w:sz w:val="18"/>
                <w:szCs w:val="18"/>
                <w:color w:val="auto"/>
              </w:rPr>
            </w:pPr>
          </w:p>
        </w:tc>
        <w:tc>
          <w:tcPr>
            <w:tcW w:w="1160" w:type="dxa"/>
            <w:vAlign w:val="bottom"/>
            <w:shd w:val="clear" w:color="auto" w:fill="2AD2C9"/>
          </w:tcPr>
          <w:p>
            <w:pPr>
              <w:jc w:val="right"/>
              <w:ind w:right="86"/>
              <w:spacing w:after="0"/>
              <w:rPr>
                <w:sz w:val="20"/>
                <w:szCs w:val="20"/>
                <w:color w:val="auto"/>
              </w:rPr>
            </w:pPr>
            <w:r>
              <w:rPr>
                <w:rFonts w:ascii="Arial" w:cs="Arial" w:eastAsia="Arial" w:hAnsi="Arial"/>
                <w:sz w:val="12"/>
                <w:szCs w:val="12"/>
                <w:b w:val="1"/>
                <w:bCs w:val="1"/>
                <w:color w:val="FFFFFF"/>
              </w:rPr>
              <w:t>Balance</w:t>
            </w:r>
          </w:p>
        </w:tc>
        <w:tc>
          <w:tcPr>
            <w:tcW w:w="1080" w:type="dxa"/>
            <w:vAlign w:val="bottom"/>
            <w:shd w:val="clear" w:color="auto" w:fill="2AD2C9"/>
          </w:tcPr>
          <w:p>
            <w:pPr>
              <w:jc w:val="right"/>
              <w:ind w:right="266"/>
              <w:spacing w:after="0"/>
              <w:rPr>
                <w:sz w:val="20"/>
                <w:szCs w:val="20"/>
                <w:color w:val="auto"/>
              </w:rPr>
            </w:pPr>
            <w:r>
              <w:rPr>
                <w:rFonts w:ascii="Arial" w:cs="Arial" w:eastAsia="Arial" w:hAnsi="Arial"/>
                <w:sz w:val="12"/>
                <w:szCs w:val="12"/>
                <w:b w:val="1"/>
                <w:bCs w:val="1"/>
                <w:color w:val="FFFFFF"/>
              </w:rPr>
              <w:t>Income</w:t>
            </w:r>
          </w:p>
        </w:tc>
        <w:tc>
          <w:tcPr>
            <w:tcW w:w="580" w:type="dxa"/>
            <w:vAlign w:val="bottom"/>
            <w:tcBorders>
              <w:right w:val="single" w:sz="8" w:color="auto"/>
            </w:tcBorders>
            <w:shd w:val="clear" w:color="auto" w:fill="2AD2C9"/>
          </w:tcPr>
          <w:p>
            <w:pPr>
              <w:jc w:val="right"/>
              <w:spacing w:after="0"/>
              <w:rPr>
                <w:sz w:val="20"/>
                <w:szCs w:val="20"/>
                <w:color w:val="auto"/>
              </w:rPr>
            </w:pPr>
            <w:r>
              <w:rPr>
                <w:rFonts w:ascii="Arial" w:cs="Arial" w:eastAsia="Arial" w:hAnsi="Arial"/>
                <w:sz w:val="12"/>
                <w:szCs w:val="12"/>
                <w:b w:val="1"/>
                <w:bCs w:val="1"/>
                <w:color w:val="FFFFFF"/>
              </w:rPr>
              <w:t>Yields</w:t>
            </w:r>
          </w:p>
        </w:tc>
      </w:tr>
      <w:tr>
        <w:trPr>
          <w:trHeight w:val="179"/>
        </w:trPr>
        <w:tc>
          <w:tcPr>
            <w:tcW w:w="25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Cash and equivalents</w:t>
            </w:r>
          </w:p>
        </w:tc>
        <w:tc>
          <w:tcPr>
            <w:tcW w:w="1120" w:type="dxa"/>
            <w:vAlign w:val="bottom"/>
          </w:tcPr>
          <w:p>
            <w:pPr>
              <w:jc w:val="right"/>
              <w:spacing w:after="0" w:line="180" w:lineRule="exact"/>
              <w:rPr>
                <w:sz w:val="20"/>
                <w:szCs w:val="20"/>
                <w:color w:val="auto"/>
              </w:rPr>
            </w:pPr>
            <w:r>
              <w:rPr>
                <w:rFonts w:ascii="Calibri" w:cs="Calibri" w:eastAsia="Calibri" w:hAnsi="Calibri"/>
                <w:sz w:val="15"/>
                <w:szCs w:val="15"/>
                <w:color w:val="auto"/>
              </w:rPr>
              <w:t>30,979</w:t>
            </w:r>
          </w:p>
        </w:tc>
        <w:tc>
          <w:tcPr>
            <w:tcW w:w="1180" w:type="dxa"/>
            <w:vAlign w:val="bottom"/>
          </w:tcPr>
          <w:p>
            <w:pPr>
              <w:jc w:val="right"/>
              <w:ind w:right="226"/>
              <w:spacing w:after="0" w:line="180" w:lineRule="exact"/>
              <w:rPr>
                <w:sz w:val="20"/>
                <w:szCs w:val="20"/>
                <w:color w:val="auto"/>
              </w:rPr>
            </w:pPr>
            <w:r>
              <w:rPr>
                <w:rFonts w:ascii="Calibri" w:cs="Calibri" w:eastAsia="Calibri" w:hAnsi="Calibri"/>
                <w:sz w:val="15"/>
                <w:szCs w:val="15"/>
                <w:color w:val="auto"/>
              </w:rPr>
              <w:t>35</w:t>
            </w:r>
          </w:p>
        </w:tc>
        <w:tc>
          <w:tcPr>
            <w:tcW w:w="680" w:type="dxa"/>
            <w:vAlign w:val="bottom"/>
            <w:tcBorders>
              <w:right w:val="single" w:sz="8" w:color="auto"/>
            </w:tcBorders>
          </w:tcPr>
          <w:p>
            <w:pPr>
              <w:jc w:val="right"/>
              <w:ind w:right="5"/>
              <w:spacing w:after="0" w:line="180" w:lineRule="exact"/>
              <w:rPr>
                <w:sz w:val="20"/>
                <w:szCs w:val="20"/>
                <w:color w:val="auto"/>
              </w:rPr>
            </w:pPr>
            <w:r>
              <w:rPr>
                <w:rFonts w:ascii="Calibri" w:cs="Calibri" w:eastAsia="Calibri" w:hAnsi="Calibri"/>
                <w:sz w:val="15"/>
                <w:szCs w:val="15"/>
                <w:color w:val="auto"/>
              </w:rPr>
              <w:t>0.5%</w:t>
            </w:r>
          </w:p>
        </w:tc>
        <w:tc>
          <w:tcPr>
            <w:tcW w:w="1180" w:type="dxa"/>
            <w:vAlign w:val="bottom"/>
          </w:tcPr>
          <w:p>
            <w:pPr>
              <w:jc w:val="right"/>
              <w:ind w:right="66"/>
              <w:spacing w:after="0" w:line="180" w:lineRule="exact"/>
              <w:rPr>
                <w:sz w:val="20"/>
                <w:szCs w:val="20"/>
                <w:color w:val="auto"/>
              </w:rPr>
            </w:pPr>
            <w:r>
              <w:rPr>
                <w:rFonts w:ascii="Calibri" w:cs="Calibri" w:eastAsia="Calibri" w:hAnsi="Calibri"/>
                <w:sz w:val="15"/>
                <w:szCs w:val="15"/>
                <w:color w:val="auto"/>
              </w:rPr>
              <w:t>28,114</w:t>
            </w:r>
          </w:p>
        </w:tc>
        <w:tc>
          <w:tcPr>
            <w:tcW w:w="1080" w:type="dxa"/>
            <w:vAlign w:val="bottom"/>
          </w:tcPr>
          <w:p>
            <w:pPr>
              <w:jc w:val="right"/>
              <w:ind w:right="246"/>
              <w:spacing w:after="0" w:line="180" w:lineRule="exact"/>
              <w:rPr>
                <w:sz w:val="20"/>
                <w:szCs w:val="20"/>
                <w:color w:val="auto"/>
              </w:rPr>
            </w:pPr>
            <w:r>
              <w:rPr>
                <w:rFonts w:ascii="Calibri" w:cs="Calibri" w:eastAsia="Calibri" w:hAnsi="Calibri"/>
                <w:sz w:val="15"/>
                <w:szCs w:val="15"/>
                <w:color w:val="auto"/>
              </w:rPr>
              <w:t>236</w:t>
            </w:r>
          </w:p>
        </w:tc>
        <w:tc>
          <w:tcPr>
            <w:tcW w:w="60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3.4%</w:t>
            </w:r>
          </w:p>
        </w:tc>
        <w:tc>
          <w:tcPr>
            <w:tcW w:w="100" w:type="dxa"/>
            <w:vAlign w:val="bottom"/>
          </w:tcPr>
          <w:p>
            <w:pPr>
              <w:spacing w:after="0"/>
              <w:rPr>
                <w:sz w:val="15"/>
                <w:szCs w:val="15"/>
                <w:color w:val="auto"/>
              </w:rPr>
            </w:pPr>
          </w:p>
        </w:tc>
        <w:tc>
          <w:tcPr>
            <w:tcW w:w="1160" w:type="dxa"/>
            <w:vAlign w:val="bottom"/>
          </w:tcPr>
          <w:p>
            <w:pPr>
              <w:jc w:val="right"/>
              <w:ind w:right="86"/>
              <w:spacing w:after="0" w:line="180" w:lineRule="exact"/>
              <w:rPr>
                <w:sz w:val="20"/>
                <w:szCs w:val="20"/>
                <w:color w:val="auto"/>
              </w:rPr>
            </w:pPr>
            <w:r>
              <w:rPr>
                <w:rFonts w:ascii="Calibri" w:cs="Calibri" w:eastAsia="Calibri" w:hAnsi="Calibri"/>
                <w:sz w:val="15"/>
                <w:szCs w:val="15"/>
                <w:color w:val="auto"/>
              </w:rPr>
              <w:t>27,528</w:t>
            </w:r>
          </w:p>
        </w:tc>
        <w:tc>
          <w:tcPr>
            <w:tcW w:w="1080" w:type="dxa"/>
            <w:vAlign w:val="bottom"/>
          </w:tcPr>
          <w:p>
            <w:pPr>
              <w:jc w:val="right"/>
              <w:ind w:right="266"/>
              <w:spacing w:after="0" w:line="180" w:lineRule="exact"/>
              <w:rPr>
                <w:sz w:val="20"/>
                <w:szCs w:val="20"/>
                <w:color w:val="auto"/>
              </w:rPr>
            </w:pPr>
            <w:r>
              <w:rPr>
                <w:rFonts w:ascii="Calibri" w:cs="Calibri" w:eastAsia="Calibri" w:hAnsi="Calibri"/>
                <w:sz w:val="15"/>
                <w:szCs w:val="15"/>
                <w:color w:val="auto"/>
              </w:rPr>
              <w:t>277</w:t>
            </w:r>
          </w:p>
        </w:tc>
        <w:tc>
          <w:tcPr>
            <w:tcW w:w="5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4.0%</w:t>
            </w:r>
          </w:p>
        </w:tc>
      </w:tr>
      <w:tr>
        <w:trPr>
          <w:trHeight w:val="197"/>
        </w:trPr>
        <w:tc>
          <w:tcPr>
            <w:tcW w:w="25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Other IEA</w:t>
            </w:r>
          </w:p>
        </w:tc>
        <w:tc>
          <w:tcPr>
            <w:tcW w:w="1120" w:type="dxa"/>
            <w:vAlign w:val="bottom"/>
          </w:tcPr>
          <w:p>
            <w:pPr>
              <w:jc w:val="right"/>
              <w:spacing w:after="0"/>
              <w:rPr>
                <w:sz w:val="20"/>
                <w:szCs w:val="20"/>
                <w:color w:val="auto"/>
              </w:rPr>
            </w:pPr>
            <w:r>
              <w:rPr>
                <w:rFonts w:ascii="Calibri" w:cs="Calibri" w:eastAsia="Calibri" w:hAnsi="Calibri"/>
                <w:sz w:val="15"/>
                <w:szCs w:val="15"/>
                <w:color w:val="auto"/>
              </w:rPr>
              <w:t>1,642</w:t>
            </w:r>
          </w:p>
        </w:tc>
        <w:tc>
          <w:tcPr>
            <w:tcW w:w="1180" w:type="dxa"/>
            <w:vAlign w:val="bottom"/>
          </w:tcPr>
          <w:p>
            <w:pPr>
              <w:jc w:val="right"/>
              <w:ind w:right="226"/>
              <w:spacing w:after="0"/>
              <w:rPr>
                <w:sz w:val="20"/>
                <w:szCs w:val="20"/>
                <w:color w:val="auto"/>
              </w:rPr>
            </w:pPr>
            <w:r>
              <w:rPr>
                <w:rFonts w:ascii="Calibri" w:cs="Calibri" w:eastAsia="Calibri" w:hAnsi="Calibri"/>
                <w:sz w:val="15"/>
                <w:szCs w:val="15"/>
                <w:color w:val="auto"/>
              </w:rPr>
              <w:t>19</w:t>
            </w:r>
          </w:p>
        </w:tc>
        <w:tc>
          <w:tcPr>
            <w:tcW w:w="680" w:type="dxa"/>
            <w:vAlign w:val="bottom"/>
            <w:tcBorders>
              <w:right w:val="single" w:sz="8" w:color="auto"/>
            </w:tcBorders>
          </w:tcPr>
          <w:p>
            <w:pPr>
              <w:jc w:val="right"/>
              <w:ind w:right="5"/>
              <w:spacing w:after="0"/>
              <w:rPr>
                <w:sz w:val="20"/>
                <w:szCs w:val="20"/>
                <w:color w:val="auto"/>
              </w:rPr>
            </w:pPr>
            <w:r>
              <w:rPr>
                <w:rFonts w:ascii="Calibri" w:cs="Calibri" w:eastAsia="Calibri" w:hAnsi="Calibri"/>
                <w:sz w:val="15"/>
                <w:szCs w:val="15"/>
                <w:color w:val="auto"/>
              </w:rPr>
              <w:t>4.5%</w:t>
            </w:r>
          </w:p>
        </w:tc>
        <w:tc>
          <w:tcPr>
            <w:tcW w:w="1180" w:type="dxa"/>
            <w:vAlign w:val="bottom"/>
          </w:tcPr>
          <w:p>
            <w:pPr>
              <w:jc w:val="right"/>
              <w:ind w:right="66"/>
              <w:spacing w:after="0"/>
              <w:rPr>
                <w:sz w:val="20"/>
                <w:szCs w:val="20"/>
                <w:color w:val="auto"/>
              </w:rPr>
            </w:pPr>
            <w:r>
              <w:rPr>
                <w:rFonts w:ascii="Calibri" w:cs="Calibri" w:eastAsia="Calibri" w:hAnsi="Calibri"/>
                <w:sz w:val="15"/>
                <w:szCs w:val="15"/>
                <w:color w:val="auto"/>
              </w:rPr>
              <w:t>1,344</w:t>
            </w:r>
          </w:p>
        </w:tc>
        <w:tc>
          <w:tcPr>
            <w:tcW w:w="1080" w:type="dxa"/>
            <w:vAlign w:val="bottom"/>
          </w:tcPr>
          <w:p>
            <w:pPr>
              <w:jc w:val="right"/>
              <w:ind w:right="246"/>
              <w:spacing w:after="0"/>
              <w:rPr>
                <w:sz w:val="20"/>
                <w:szCs w:val="20"/>
                <w:color w:val="auto"/>
              </w:rPr>
            </w:pPr>
            <w:r>
              <w:rPr>
                <w:rFonts w:ascii="Calibri" w:cs="Calibri" w:eastAsia="Calibri" w:hAnsi="Calibri"/>
                <w:sz w:val="15"/>
                <w:szCs w:val="15"/>
                <w:color w:val="auto"/>
              </w:rPr>
              <w:t>48</w:t>
            </w:r>
          </w:p>
        </w:tc>
        <w:tc>
          <w:tcPr>
            <w:tcW w:w="6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14.3%</w:t>
            </w:r>
          </w:p>
        </w:tc>
        <w:tc>
          <w:tcPr>
            <w:tcW w:w="100" w:type="dxa"/>
            <w:vAlign w:val="bottom"/>
          </w:tcPr>
          <w:p>
            <w:pPr>
              <w:spacing w:after="0"/>
              <w:rPr>
                <w:sz w:val="17"/>
                <w:szCs w:val="17"/>
                <w:color w:val="auto"/>
              </w:rPr>
            </w:pPr>
          </w:p>
        </w:tc>
        <w:tc>
          <w:tcPr>
            <w:tcW w:w="1160" w:type="dxa"/>
            <w:vAlign w:val="bottom"/>
          </w:tcPr>
          <w:p>
            <w:pPr>
              <w:jc w:val="right"/>
              <w:ind w:right="86"/>
              <w:spacing w:after="0"/>
              <w:rPr>
                <w:sz w:val="20"/>
                <w:szCs w:val="20"/>
                <w:color w:val="auto"/>
              </w:rPr>
            </w:pPr>
            <w:r>
              <w:rPr>
                <w:rFonts w:ascii="Calibri" w:cs="Calibri" w:eastAsia="Calibri" w:hAnsi="Calibri"/>
                <w:sz w:val="15"/>
                <w:szCs w:val="15"/>
                <w:color w:val="auto"/>
              </w:rPr>
              <w:t>1,285</w:t>
            </w:r>
          </w:p>
        </w:tc>
        <w:tc>
          <w:tcPr>
            <w:tcW w:w="1080" w:type="dxa"/>
            <w:vAlign w:val="bottom"/>
          </w:tcPr>
          <w:p>
            <w:pPr>
              <w:jc w:val="right"/>
              <w:ind w:right="266"/>
              <w:spacing w:after="0"/>
              <w:rPr>
                <w:sz w:val="20"/>
                <w:szCs w:val="20"/>
                <w:color w:val="auto"/>
              </w:rPr>
            </w:pPr>
            <w:r>
              <w:rPr>
                <w:rFonts w:ascii="Calibri" w:cs="Calibri" w:eastAsia="Calibri" w:hAnsi="Calibri"/>
                <w:sz w:val="15"/>
                <w:szCs w:val="15"/>
                <w:color w:val="auto"/>
              </w:rPr>
              <w:t>16</w:t>
            </w:r>
          </w:p>
        </w:tc>
        <w:tc>
          <w:tcPr>
            <w:tcW w:w="5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5.0%</w:t>
            </w:r>
          </w:p>
        </w:tc>
      </w:tr>
      <w:tr>
        <w:trPr>
          <w:trHeight w:val="204"/>
        </w:trPr>
        <w:tc>
          <w:tcPr>
            <w:tcW w:w="25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Investments</w:t>
            </w:r>
          </w:p>
        </w:tc>
        <w:tc>
          <w:tcPr>
            <w:tcW w:w="1120" w:type="dxa"/>
            <w:vAlign w:val="bottom"/>
          </w:tcPr>
          <w:p>
            <w:pPr>
              <w:jc w:val="right"/>
              <w:spacing w:after="0"/>
              <w:rPr>
                <w:sz w:val="20"/>
                <w:szCs w:val="20"/>
                <w:color w:val="auto"/>
              </w:rPr>
            </w:pPr>
            <w:r>
              <w:rPr>
                <w:rFonts w:ascii="Calibri" w:cs="Calibri" w:eastAsia="Calibri" w:hAnsi="Calibri"/>
                <w:sz w:val="15"/>
                <w:szCs w:val="15"/>
                <w:color w:val="auto"/>
              </w:rPr>
              <w:t>48,549</w:t>
            </w:r>
          </w:p>
        </w:tc>
        <w:tc>
          <w:tcPr>
            <w:tcW w:w="1180" w:type="dxa"/>
            <w:vAlign w:val="bottom"/>
          </w:tcPr>
          <w:p>
            <w:pPr>
              <w:jc w:val="right"/>
              <w:ind w:right="226"/>
              <w:spacing w:after="0"/>
              <w:rPr>
                <w:sz w:val="20"/>
                <w:szCs w:val="20"/>
                <w:color w:val="auto"/>
              </w:rPr>
            </w:pPr>
            <w:r>
              <w:rPr>
                <w:rFonts w:ascii="Calibri" w:cs="Calibri" w:eastAsia="Calibri" w:hAnsi="Calibri"/>
                <w:sz w:val="15"/>
                <w:szCs w:val="15"/>
                <w:color w:val="auto"/>
              </w:rPr>
              <w:t>433</w:t>
            </w:r>
          </w:p>
        </w:tc>
        <w:tc>
          <w:tcPr>
            <w:tcW w:w="680" w:type="dxa"/>
            <w:vAlign w:val="bottom"/>
            <w:tcBorders>
              <w:right w:val="single" w:sz="8" w:color="auto"/>
            </w:tcBorders>
          </w:tcPr>
          <w:p>
            <w:pPr>
              <w:jc w:val="right"/>
              <w:ind w:right="5"/>
              <w:spacing w:after="0"/>
              <w:rPr>
                <w:sz w:val="20"/>
                <w:szCs w:val="20"/>
                <w:color w:val="auto"/>
              </w:rPr>
            </w:pPr>
            <w:r>
              <w:rPr>
                <w:rFonts w:ascii="Calibri" w:cs="Calibri" w:eastAsia="Calibri" w:hAnsi="Calibri"/>
                <w:sz w:val="15"/>
                <w:szCs w:val="15"/>
                <w:color w:val="auto"/>
              </w:rPr>
              <w:t>3.6%</w:t>
            </w:r>
          </w:p>
        </w:tc>
        <w:tc>
          <w:tcPr>
            <w:tcW w:w="1180" w:type="dxa"/>
            <w:vAlign w:val="bottom"/>
          </w:tcPr>
          <w:p>
            <w:pPr>
              <w:jc w:val="right"/>
              <w:ind w:right="66"/>
              <w:spacing w:after="0"/>
              <w:rPr>
                <w:sz w:val="20"/>
                <w:szCs w:val="20"/>
                <w:color w:val="auto"/>
              </w:rPr>
            </w:pPr>
            <w:r>
              <w:rPr>
                <w:rFonts w:ascii="Calibri" w:cs="Calibri" w:eastAsia="Calibri" w:hAnsi="Calibri"/>
                <w:sz w:val="15"/>
                <w:szCs w:val="15"/>
                <w:color w:val="auto"/>
              </w:rPr>
              <w:t>46,137</w:t>
            </w:r>
          </w:p>
        </w:tc>
        <w:tc>
          <w:tcPr>
            <w:tcW w:w="1080" w:type="dxa"/>
            <w:vAlign w:val="bottom"/>
          </w:tcPr>
          <w:p>
            <w:pPr>
              <w:jc w:val="right"/>
              <w:ind w:right="246"/>
              <w:spacing w:after="0"/>
              <w:rPr>
                <w:sz w:val="20"/>
                <w:szCs w:val="20"/>
                <w:color w:val="auto"/>
              </w:rPr>
            </w:pPr>
            <w:r>
              <w:rPr>
                <w:rFonts w:ascii="Calibri" w:cs="Calibri" w:eastAsia="Calibri" w:hAnsi="Calibri"/>
                <w:sz w:val="15"/>
                <w:szCs w:val="15"/>
                <w:color w:val="auto"/>
              </w:rPr>
              <w:t>563</w:t>
            </w:r>
          </w:p>
        </w:tc>
        <w:tc>
          <w:tcPr>
            <w:tcW w:w="6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4.9%</w:t>
            </w:r>
          </w:p>
        </w:tc>
        <w:tc>
          <w:tcPr>
            <w:tcW w:w="100" w:type="dxa"/>
            <w:vAlign w:val="bottom"/>
          </w:tcPr>
          <w:p>
            <w:pPr>
              <w:spacing w:after="0"/>
              <w:rPr>
                <w:sz w:val="17"/>
                <w:szCs w:val="17"/>
                <w:color w:val="auto"/>
              </w:rPr>
            </w:pPr>
          </w:p>
        </w:tc>
        <w:tc>
          <w:tcPr>
            <w:tcW w:w="1160" w:type="dxa"/>
            <w:vAlign w:val="bottom"/>
          </w:tcPr>
          <w:p>
            <w:pPr>
              <w:jc w:val="right"/>
              <w:ind w:right="86"/>
              <w:spacing w:after="0"/>
              <w:rPr>
                <w:sz w:val="20"/>
                <w:szCs w:val="20"/>
                <w:color w:val="auto"/>
              </w:rPr>
            </w:pPr>
            <w:r>
              <w:rPr>
                <w:rFonts w:ascii="Calibri" w:cs="Calibri" w:eastAsia="Calibri" w:hAnsi="Calibri"/>
                <w:sz w:val="15"/>
                <w:szCs w:val="15"/>
                <w:color w:val="auto"/>
              </w:rPr>
              <w:t>46,580</w:t>
            </w:r>
          </w:p>
        </w:tc>
        <w:tc>
          <w:tcPr>
            <w:tcW w:w="1080" w:type="dxa"/>
            <w:vAlign w:val="bottom"/>
          </w:tcPr>
          <w:p>
            <w:pPr>
              <w:jc w:val="right"/>
              <w:ind w:right="266"/>
              <w:spacing w:after="0"/>
              <w:rPr>
                <w:sz w:val="20"/>
                <w:szCs w:val="20"/>
                <w:color w:val="auto"/>
              </w:rPr>
            </w:pPr>
            <w:r>
              <w:rPr>
                <w:rFonts w:ascii="Calibri" w:cs="Calibri" w:eastAsia="Calibri" w:hAnsi="Calibri"/>
                <w:sz w:val="15"/>
                <w:szCs w:val="15"/>
                <w:color w:val="auto"/>
              </w:rPr>
              <w:t>592</w:t>
            </w:r>
          </w:p>
        </w:tc>
        <w:tc>
          <w:tcPr>
            <w:tcW w:w="5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5.1%</w:t>
            </w:r>
          </w:p>
        </w:tc>
      </w:tr>
      <w:tr>
        <w:trPr>
          <w:trHeight w:val="204"/>
        </w:trPr>
        <w:tc>
          <w:tcPr>
            <w:tcW w:w="25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Loans</w:t>
            </w:r>
          </w:p>
        </w:tc>
        <w:tc>
          <w:tcPr>
            <w:tcW w:w="1120" w:type="dxa"/>
            <w:vAlign w:val="bottom"/>
          </w:tcPr>
          <w:p>
            <w:pPr>
              <w:jc w:val="right"/>
              <w:spacing w:after="0"/>
              <w:rPr>
                <w:sz w:val="20"/>
                <w:szCs w:val="20"/>
                <w:color w:val="auto"/>
              </w:rPr>
            </w:pPr>
            <w:r>
              <w:rPr>
                <w:rFonts w:ascii="Calibri" w:cs="Calibri" w:eastAsia="Calibri" w:hAnsi="Calibri"/>
                <w:sz w:val="15"/>
                <w:szCs w:val="15"/>
                <w:color w:val="auto"/>
              </w:rPr>
              <w:t>146,109</w:t>
            </w:r>
          </w:p>
        </w:tc>
        <w:tc>
          <w:tcPr>
            <w:tcW w:w="1180" w:type="dxa"/>
            <w:vAlign w:val="bottom"/>
          </w:tcPr>
          <w:p>
            <w:pPr>
              <w:jc w:val="right"/>
              <w:ind w:right="226"/>
              <w:spacing w:after="0"/>
              <w:rPr>
                <w:sz w:val="20"/>
                <w:szCs w:val="20"/>
                <w:color w:val="auto"/>
              </w:rPr>
            </w:pPr>
            <w:r>
              <w:rPr>
                <w:rFonts w:ascii="Calibri" w:cs="Calibri" w:eastAsia="Calibri" w:hAnsi="Calibri"/>
                <w:sz w:val="15"/>
                <w:szCs w:val="15"/>
                <w:color w:val="auto"/>
              </w:rPr>
              <w:t>2,686</w:t>
            </w:r>
          </w:p>
        </w:tc>
        <w:tc>
          <w:tcPr>
            <w:tcW w:w="680" w:type="dxa"/>
            <w:vAlign w:val="bottom"/>
            <w:tcBorders>
              <w:right w:val="single" w:sz="8" w:color="auto"/>
            </w:tcBorders>
          </w:tcPr>
          <w:p>
            <w:pPr>
              <w:jc w:val="right"/>
              <w:ind w:right="5"/>
              <w:spacing w:after="0"/>
              <w:rPr>
                <w:sz w:val="20"/>
                <w:szCs w:val="20"/>
                <w:color w:val="auto"/>
              </w:rPr>
            </w:pPr>
            <w:r>
              <w:rPr>
                <w:rFonts w:ascii="Calibri" w:cs="Calibri" w:eastAsia="Calibri" w:hAnsi="Calibri"/>
                <w:sz w:val="15"/>
                <w:szCs w:val="15"/>
                <w:color w:val="auto"/>
              </w:rPr>
              <w:t>7.4%</w:t>
            </w:r>
          </w:p>
        </w:tc>
        <w:tc>
          <w:tcPr>
            <w:tcW w:w="1180" w:type="dxa"/>
            <w:vAlign w:val="bottom"/>
          </w:tcPr>
          <w:p>
            <w:pPr>
              <w:jc w:val="right"/>
              <w:ind w:right="66"/>
              <w:spacing w:after="0"/>
              <w:rPr>
                <w:sz w:val="20"/>
                <w:szCs w:val="20"/>
                <w:color w:val="auto"/>
              </w:rPr>
            </w:pPr>
            <w:r>
              <w:rPr>
                <w:rFonts w:ascii="Calibri" w:cs="Calibri" w:eastAsia="Calibri" w:hAnsi="Calibri"/>
                <w:sz w:val="15"/>
                <w:szCs w:val="15"/>
                <w:color w:val="auto"/>
              </w:rPr>
              <w:t>150,009</w:t>
            </w:r>
          </w:p>
        </w:tc>
        <w:tc>
          <w:tcPr>
            <w:tcW w:w="1080" w:type="dxa"/>
            <w:vAlign w:val="bottom"/>
          </w:tcPr>
          <w:p>
            <w:pPr>
              <w:jc w:val="right"/>
              <w:ind w:right="246"/>
              <w:spacing w:after="0"/>
              <w:rPr>
                <w:sz w:val="20"/>
                <w:szCs w:val="20"/>
                <w:color w:val="auto"/>
              </w:rPr>
            </w:pPr>
            <w:r>
              <w:rPr>
                <w:rFonts w:ascii="Calibri" w:cs="Calibri" w:eastAsia="Calibri" w:hAnsi="Calibri"/>
                <w:sz w:val="15"/>
                <w:szCs w:val="15"/>
                <w:color w:val="auto"/>
              </w:rPr>
              <w:t>3,515</w:t>
            </w:r>
          </w:p>
        </w:tc>
        <w:tc>
          <w:tcPr>
            <w:tcW w:w="6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9.4%</w:t>
            </w:r>
          </w:p>
        </w:tc>
        <w:tc>
          <w:tcPr>
            <w:tcW w:w="100" w:type="dxa"/>
            <w:vAlign w:val="bottom"/>
          </w:tcPr>
          <w:p>
            <w:pPr>
              <w:spacing w:after="0"/>
              <w:rPr>
                <w:sz w:val="17"/>
                <w:szCs w:val="17"/>
                <w:color w:val="auto"/>
              </w:rPr>
            </w:pPr>
          </w:p>
        </w:tc>
        <w:tc>
          <w:tcPr>
            <w:tcW w:w="1160" w:type="dxa"/>
            <w:vAlign w:val="bottom"/>
          </w:tcPr>
          <w:p>
            <w:pPr>
              <w:jc w:val="right"/>
              <w:ind w:right="86"/>
              <w:spacing w:after="0"/>
              <w:rPr>
                <w:sz w:val="20"/>
                <w:szCs w:val="20"/>
                <w:color w:val="auto"/>
              </w:rPr>
            </w:pPr>
            <w:r>
              <w:rPr>
                <w:rFonts w:ascii="Calibri" w:cs="Calibri" w:eastAsia="Calibri" w:hAnsi="Calibri"/>
                <w:sz w:val="15"/>
                <w:szCs w:val="15"/>
                <w:color w:val="auto"/>
              </w:rPr>
              <w:t>146,896</w:t>
            </w:r>
          </w:p>
        </w:tc>
        <w:tc>
          <w:tcPr>
            <w:tcW w:w="1080" w:type="dxa"/>
            <w:vAlign w:val="bottom"/>
          </w:tcPr>
          <w:p>
            <w:pPr>
              <w:jc w:val="right"/>
              <w:ind w:right="266"/>
              <w:spacing w:after="0"/>
              <w:rPr>
                <w:sz w:val="20"/>
                <w:szCs w:val="20"/>
                <w:color w:val="auto"/>
              </w:rPr>
            </w:pPr>
            <w:r>
              <w:rPr>
                <w:rFonts w:ascii="Calibri" w:cs="Calibri" w:eastAsia="Calibri" w:hAnsi="Calibri"/>
                <w:sz w:val="15"/>
                <w:szCs w:val="15"/>
                <w:color w:val="auto"/>
              </w:rPr>
              <w:t>3,571</w:t>
            </w:r>
          </w:p>
        </w:tc>
        <w:tc>
          <w:tcPr>
            <w:tcW w:w="5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9.7%</w:t>
            </w:r>
          </w:p>
        </w:tc>
      </w:tr>
      <w:tr>
        <w:trPr>
          <w:trHeight w:val="204"/>
        </w:trPr>
        <w:tc>
          <w:tcPr>
            <w:tcW w:w="25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Structural</w:t>
            </w:r>
          </w:p>
        </w:tc>
        <w:tc>
          <w:tcPr>
            <w:tcW w:w="1120" w:type="dxa"/>
            <w:vAlign w:val="bottom"/>
          </w:tcPr>
          <w:p>
            <w:pPr>
              <w:jc w:val="right"/>
              <w:spacing w:after="0"/>
              <w:rPr>
                <w:sz w:val="20"/>
                <w:szCs w:val="20"/>
                <w:color w:val="auto"/>
              </w:rPr>
            </w:pPr>
            <w:r>
              <w:rPr>
                <w:rFonts w:ascii="Calibri" w:cs="Calibri" w:eastAsia="Calibri" w:hAnsi="Calibri"/>
                <w:sz w:val="15"/>
                <w:szCs w:val="15"/>
                <w:color w:val="auto"/>
              </w:rPr>
              <w:t>128,256</w:t>
            </w:r>
          </w:p>
        </w:tc>
        <w:tc>
          <w:tcPr>
            <w:tcW w:w="1180" w:type="dxa"/>
            <w:vAlign w:val="bottom"/>
          </w:tcPr>
          <w:p>
            <w:pPr>
              <w:jc w:val="right"/>
              <w:ind w:right="226"/>
              <w:spacing w:after="0"/>
              <w:rPr>
                <w:sz w:val="20"/>
                <w:szCs w:val="20"/>
                <w:color w:val="auto"/>
              </w:rPr>
            </w:pPr>
            <w:r>
              <w:rPr>
                <w:rFonts w:ascii="Calibri" w:cs="Calibri" w:eastAsia="Calibri" w:hAnsi="Calibri"/>
                <w:sz w:val="15"/>
                <w:szCs w:val="15"/>
                <w:color w:val="auto"/>
              </w:rPr>
              <w:t>2,619</w:t>
            </w:r>
          </w:p>
        </w:tc>
        <w:tc>
          <w:tcPr>
            <w:tcW w:w="680" w:type="dxa"/>
            <w:vAlign w:val="bottom"/>
            <w:tcBorders>
              <w:right w:val="single" w:sz="8" w:color="auto"/>
            </w:tcBorders>
          </w:tcPr>
          <w:p>
            <w:pPr>
              <w:jc w:val="right"/>
              <w:ind w:right="5"/>
              <w:spacing w:after="0"/>
              <w:rPr>
                <w:sz w:val="20"/>
                <w:szCs w:val="20"/>
                <w:color w:val="auto"/>
              </w:rPr>
            </w:pPr>
            <w:r>
              <w:rPr>
                <w:rFonts w:ascii="Calibri" w:cs="Calibri" w:eastAsia="Calibri" w:hAnsi="Calibri"/>
                <w:sz w:val="15"/>
                <w:szCs w:val="15"/>
                <w:color w:val="auto"/>
              </w:rPr>
              <w:t>8.2%</w:t>
            </w:r>
          </w:p>
        </w:tc>
        <w:tc>
          <w:tcPr>
            <w:tcW w:w="1180" w:type="dxa"/>
            <w:vAlign w:val="bottom"/>
          </w:tcPr>
          <w:p>
            <w:pPr>
              <w:jc w:val="right"/>
              <w:ind w:right="66"/>
              <w:spacing w:after="0"/>
              <w:rPr>
                <w:sz w:val="20"/>
                <w:szCs w:val="20"/>
                <w:color w:val="auto"/>
              </w:rPr>
            </w:pPr>
            <w:r>
              <w:rPr>
                <w:rFonts w:ascii="Calibri" w:cs="Calibri" w:eastAsia="Calibri" w:hAnsi="Calibri"/>
                <w:sz w:val="15"/>
                <w:szCs w:val="15"/>
                <w:color w:val="auto"/>
              </w:rPr>
              <w:t>139,153</w:t>
            </w:r>
          </w:p>
        </w:tc>
        <w:tc>
          <w:tcPr>
            <w:tcW w:w="1080" w:type="dxa"/>
            <w:vAlign w:val="bottom"/>
          </w:tcPr>
          <w:p>
            <w:pPr>
              <w:jc w:val="right"/>
              <w:ind w:right="246"/>
              <w:spacing w:after="0"/>
              <w:rPr>
                <w:sz w:val="20"/>
                <w:szCs w:val="20"/>
                <w:color w:val="auto"/>
              </w:rPr>
            </w:pPr>
            <w:r>
              <w:rPr>
                <w:rFonts w:ascii="Calibri" w:cs="Calibri" w:eastAsia="Calibri" w:hAnsi="Calibri"/>
                <w:sz w:val="15"/>
                <w:szCs w:val="15"/>
                <w:color w:val="auto"/>
              </w:rPr>
              <w:t>3,459</w:t>
            </w:r>
          </w:p>
        </w:tc>
        <w:tc>
          <w:tcPr>
            <w:tcW w:w="6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9.9%</w:t>
            </w:r>
          </w:p>
        </w:tc>
        <w:tc>
          <w:tcPr>
            <w:tcW w:w="100" w:type="dxa"/>
            <w:vAlign w:val="bottom"/>
          </w:tcPr>
          <w:p>
            <w:pPr>
              <w:spacing w:after="0"/>
              <w:rPr>
                <w:sz w:val="17"/>
                <w:szCs w:val="17"/>
                <w:color w:val="auto"/>
              </w:rPr>
            </w:pPr>
          </w:p>
        </w:tc>
        <w:tc>
          <w:tcPr>
            <w:tcW w:w="1160" w:type="dxa"/>
            <w:vAlign w:val="bottom"/>
          </w:tcPr>
          <w:p>
            <w:pPr>
              <w:jc w:val="right"/>
              <w:ind w:right="86"/>
              <w:spacing w:after="0"/>
              <w:rPr>
                <w:sz w:val="20"/>
                <w:szCs w:val="20"/>
                <w:color w:val="auto"/>
              </w:rPr>
            </w:pPr>
            <w:r>
              <w:rPr>
                <w:rFonts w:ascii="Calibri" w:cs="Calibri" w:eastAsia="Calibri" w:hAnsi="Calibri"/>
                <w:sz w:val="15"/>
                <w:szCs w:val="15"/>
                <w:color w:val="auto"/>
              </w:rPr>
              <w:t>138,594</w:t>
            </w:r>
          </w:p>
        </w:tc>
        <w:tc>
          <w:tcPr>
            <w:tcW w:w="1080" w:type="dxa"/>
            <w:vAlign w:val="bottom"/>
          </w:tcPr>
          <w:p>
            <w:pPr>
              <w:jc w:val="right"/>
              <w:ind w:right="266"/>
              <w:spacing w:after="0"/>
              <w:rPr>
                <w:sz w:val="20"/>
                <w:szCs w:val="20"/>
                <w:color w:val="auto"/>
              </w:rPr>
            </w:pPr>
            <w:r>
              <w:rPr>
                <w:rFonts w:ascii="Calibri" w:cs="Calibri" w:eastAsia="Calibri" w:hAnsi="Calibri"/>
                <w:sz w:val="15"/>
                <w:szCs w:val="15"/>
                <w:color w:val="auto"/>
              </w:rPr>
              <w:t>3,528</w:t>
            </w:r>
          </w:p>
        </w:tc>
        <w:tc>
          <w:tcPr>
            <w:tcW w:w="5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10.2%</w:t>
            </w:r>
          </w:p>
        </w:tc>
      </w:tr>
      <w:tr>
        <w:trPr>
          <w:trHeight w:val="204"/>
        </w:trPr>
        <w:tc>
          <w:tcPr>
            <w:tcW w:w="25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Government Programs</w:t>
            </w:r>
          </w:p>
        </w:tc>
        <w:tc>
          <w:tcPr>
            <w:tcW w:w="1120" w:type="dxa"/>
            <w:vAlign w:val="bottom"/>
          </w:tcPr>
          <w:p>
            <w:pPr>
              <w:jc w:val="right"/>
              <w:spacing w:after="0"/>
              <w:rPr>
                <w:sz w:val="20"/>
                <w:szCs w:val="20"/>
                <w:color w:val="auto"/>
              </w:rPr>
            </w:pPr>
            <w:r>
              <w:rPr>
                <w:rFonts w:ascii="Calibri" w:cs="Calibri" w:eastAsia="Calibri" w:hAnsi="Calibri"/>
                <w:sz w:val="15"/>
                <w:szCs w:val="15"/>
                <w:color w:val="auto"/>
              </w:rPr>
              <w:t>17,853</w:t>
            </w:r>
          </w:p>
        </w:tc>
        <w:tc>
          <w:tcPr>
            <w:tcW w:w="1180" w:type="dxa"/>
            <w:vAlign w:val="bottom"/>
          </w:tcPr>
          <w:p>
            <w:pPr>
              <w:jc w:val="right"/>
              <w:ind w:right="226"/>
              <w:spacing w:after="0"/>
              <w:rPr>
                <w:sz w:val="20"/>
                <w:szCs w:val="20"/>
                <w:color w:val="auto"/>
              </w:rPr>
            </w:pPr>
            <w:r>
              <w:rPr>
                <w:rFonts w:ascii="Calibri" w:cs="Calibri" w:eastAsia="Calibri" w:hAnsi="Calibri"/>
                <w:sz w:val="15"/>
                <w:szCs w:val="15"/>
                <w:color w:val="auto"/>
              </w:rPr>
              <w:t>66</w:t>
            </w:r>
          </w:p>
        </w:tc>
        <w:tc>
          <w:tcPr>
            <w:tcW w:w="680" w:type="dxa"/>
            <w:vAlign w:val="bottom"/>
            <w:tcBorders>
              <w:right w:val="single" w:sz="8" w:color="auto"/>
            </w:tcBorders>
          </w:tcPr>
          <w:p>
            <w:pPr>
              <w:jc w:val="right"/>
              <w:ind w:right="5"/>
              <w:spacing w:after="0"/>
              <w:rPr>
                <w:sz w:val="20"/>
                <w:szCs w:val="20"/>
                <w:color w:val="auto"/>
              </w:rPr>
            </w:pPr>
            <w:r>
              <w:rPr>
                <w:rFonts w:ascii="Calibri" w:cs="Calibri" w:eastAsia="Calibri" w:hAnsi="Calibri"/>
                <w:sz w:val="15"/>
                <w:szCs w:val="15"/>
                <w:color w:val="auto"/>
              </w:rPr>
              <w:t>1.5%</w:t>
            </w:r>
          </w:p>
        </w:tc>
        <w:tc>
          <w:tcPr>
            <w:tcW w:w="1180" w:type="dxa"/>
            <w:vAlign w:val="bottom"/>
          </w:tcPr>
          <w:p>
            <w:pPr>
              <w:jc w:val="right"/>
              <w:ind w:right="66"/>
              <w:spacing w:after="0"/>
              <w:rPr>
                <w:sz w:val="20"/>
                <w:szCs w:val="20"/>
                <w:color w:val="auto"/>
              </w:rPr>
            </w:pPr>
            <w:r>
              <w:rPr>
                <w:rFonts w:ascii="Calibri" w:cs="Calibri" w:eastAsia="Calibri" w:hAnsi="Calibri"/>
                <w:sz w:val="15"/>
                <w:szCs w:val="15"/>
                <w:color w:val="auto"/>
              </w:rPr>
              <w:t>10,856</w:t>
            </w:r>
          </w:p>
        </w:tc>
        <w:tc>
          <w:tcPr>
            <w:tcW w:w="1080" w:type="dxa"/>
            <w:vAlign w:val="bottom"/>
          </w:tcPr>
          <w:p>
            <w:pPr>
              <w:jc w:val="right"/>
              <w:ind w:right="246"/>
              <w:spacing w:after="0"/>
              <w:rPr>
                <w:sz w:val="20"/>
                <w:szCs w:val="20"/>
                <w:color w:val="auto"/>
              </w:rPr>
            </w:pPr>
            <w:r>
              <w:rPr>
                <w:rFonts w:ascii="Calibri" w:cs="Calibri" w:eastAsia="Calibri" w:hAnsi="Calibri"/>
                <w:sz w:val="15"/>
                <w:szCs w:val="15"/>
                <w:color w:val="auto"/>
              </w:rPr>
              <w:t>56</w:t>
            </w:r>
          </w:p>
        </w:tc>
        <w:tc>
          <w:tcPr>
            <w:tcW w:w="6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2.1%</w:t>
            </w:r>
          </w:p>
        </w:tc>
        <w:tc>
          <w:tcPr>
            <w:tcW w:w="100" w:type="dxa"/>
            <w:vAlign w:val="bottom"/>
          </w:tcPr>
          <w:p>
            <w:pPr>
              <w:spacing w:after="0"/>
              <w:rPr>
                <w:sz w:val="17"/>
                <w:szCs w:val="17"/>
                <w:color w:val="auto"/>
              </w:rPr>
            </w:pPr>
          </w:p>
        </w:tc>
        <w:tc>
          <w:tcPr>
            <w:tcW w:w="1160" w:type="dxa"/>
            <w:vAlign w:val="bottom"/>
          </w:tcPr>
          <w:p>
            <w:pPr>
              <w:jc w:val="right"/>
              <w:ind w:right="86"/>
              <w:spacing w:after="0"/>
              <w:rPr>
                <w:sz w:val="20"/>
                <w:szCs w:val="20"/>
                <w:color w:val="auto"/>
              </w:rPr>
            </w:pPr>
            <w:r>
              <w:rPr>
                <w:rFonts w:ascii="Calibri" w:cs="Calibri" w:eastAsia="Calibri" w:hAnsi="Calibri"/>
                <w:sz w:val="15"/>
                <w:szCs w:val="15"/>
                <w:color w:val="auto"/>
              </w:rPr>
              <w:t>8,302</w:t>
            </w:r>
          </w:p>
        </w:tc>
        <w:tc>
          <w:tcPr>
            <w:tcW w:w="1080" w:type="dxa"/>
            <w:vAlign w:val="bottom"/>
          </w:tcPr>
          <w:p>
            <w:pPr>
              <w:jc w:val="right"/>
              <w:ind w:right="266"/>
              <w:spacing w:after="0"/>
              <w:rPr>
                <w:sz w:val="20"/>
                <w:szCs w:val="20"/>
                <w:color w:val="auto"/>
              </w:rPr>
            </w:pPr>
            <w:r>
              <w:rPr>
                <w:rFonts w:ascii="Calibri" w:cs="Calibri" w:eastAsia="Calibri" w:hAnsi="Calibri"/>
                <w:sz w:val="15"/>
                <w:szCs w:val="15"/>
                <w:color w:val="auto"/>
              </w:rPr>
              <w:t>43</w:t>
            </w:r>
          </w:p>
        </w:tc>
        <w:tc>
          <w:tcPr>
            <w:tcW w:w="5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2.1%</w:t>
            </w:r>
          </w:p>
        </w:tc>
      </w:tr>
      <w:tr>
        <w:trPr>
          <w:trHeight w:val="35"/>
        </w:trPr>
        <w:tc>
          <w:tcPr>
            <w:tcW w:w="250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r>
      <w:tr>
        <w:trPr>
          <w:trHeight w:val="179"/>
        </w:trPr>
        <w:tc>
          <w:tcPr>
            <w:tcW w:w="25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Total IEA</w:t>
            </w:r>
          </w:p>
        </w:tc>
        <w:tc>
          <w:tcPr>
            <w:tcW w:w="1120" w:type="dxa"/>
            <w:vAlign w:val="bottom"/>
          </w:tcPr>
          <w:p>
            <w:pPr>
              <w:jc w:val="right"/>
              <w:spacing w:after="0" w:line="180" w:lineRule="exact"/>
              <w:rPr>
                <w:sz w:val="20"/>
                <w:szCs w:val="20"/>
                <w:color w:val="auto"/>
              </w:rPr>
            </w:pPr>
            <w:r>
              <w:rPr>
                <w:rFonts w:ascii="Calibri" w:cs="Calibri" w:eastAsia="Calibri" w:hAnsi="Calibri"/>
                <w:sz w:val="15"/>
                <w:szCs w:val="15"/>
                <w:b w:val="1"/>
                <w:bCs w:val="1"/>
                <w:color w:val="auto"/>
              </w:rPr>
              <w:t>227,280</w:t>
            </w:r>
          </w:p>
        </w:tc>
        <w:tc>
          <w:tcPr>
            <w:tcW w:w="1180" w:type="dxa"/>
            <w:vAlign w:val="bottom"/>
          </w:tcPr>
          <w:p>
            <w:pPr>
              <w:jc w:val="right"/>
              <w:ind w:right="226"/>
              <w:spacing w:after="0" w:line="180" w:lineRule="exact"/>
              <w:rPr>
                <w:sz w:val="20"/>
                <w:szCs w:val="20"/>
                <w:color w:val="auto"/>
              </w:rPr>
            </w:pPr>
            <w:r>
              <w:rPr>
                <w:rFonts w:ascii="Calibri" w:cs="Calibri" w:eastAsia="Calibri" w:hAnsi="Calibri"/>
                <w:sz w:val="15"/>
                <w:szCs w:val="15"/>
                <w:b w:val="1"/>
                <w:bCs w:val="1"/>
                <w:color w:val="auto"/>
              </w:rPr>
              <w:t>3,172</w:t>
            </w:r>
          </w:p>
        </w:tc>
        <w:tc>
          <w:tcPr>
            <w:tcW w:w="680" w:type="dxa"/>
            <w:vAlign w:val="bottom"/>
            <w:tcBorders>
              <w:right w:val="single" w:sz="8" w:color="auto"/>
            </w:tcBorders>
          </w:tcPr>
          <w:p>
            <w:pPr>
              <w:jc w:val="right"/>
              <w:ind w:right="5"/>
              <w:spacing w:after="0" w:line="180" w:lineRule="exact"/>
              <w:rPr>
                <w:sz w:val="20"/>
                <w:szCs w:val="20"/>
                <w:color w:val="auto"/>
              </w:rPr>
            </w:pPr>
            <w:r>
              <w:rPr>
                <w:rFonts w:ascii="Calibri" w:cs="Calibri" w:eastAsia="Calibri" w:hAnsi="Calibri"/>
                <w:sz w:val="15"/>
                <w:szCs w:val="15"/>
                <w:b w:val="1"/>
                <w:bCs w:val="1"/>
                <w:color w:val="auto"/>
              </w:rPr>
              <w:t>5.6%</w:t>
            </w:r>
          </w:p>
        </w:tc>
        <w:tc>
          <w:tcPr>
            <w:tcW w:w="1180" w:type="dxa"/>
            <w:vAlign w:val="bottom"/>
          </w:tcPr>
          <w:p>
            <w:pPr>
              <w:jc w:val="right"/>
              <w:ind w:right="66"/>
              <w:spacing w:after="0" w:line="180" w:lineRule="exact"/>
              <w:rPr>
                <w:sz w:val="20"/>
                <w:szCs w:val="20"/>
                <w:color w:val="auto"/>
              </w:rPr>
            </w:pPr>
            <w:r>
              <w:rPr>
                <w:rFonts w:ascii="Calibri" w:cs="Calibri" w:eastAsia="Calibri" w:hAnsi="Calibri"/>
                <w:sz w:val="15"/>
                <w:szCs w:val="15"/>
                <w:b w:val="1"/>
                <w:bCs w:val="1"/>
                <w:color w:val="auto"/>
              </w:rPr>
              <w:t>225,605</w:t>
            </w:r>
          </w:p>
        </w:tc>
        <w:tc>
          <w:tcPr>
            <w:tcW w:w="1080" w:type="dxa"/>
            <w:vAlign w:val="bottom"/>
          </w:tcPr>
          <w:p>
            <w:pPr>
              <w:jc w:val="right"/>
              <w:ind w:right="246"/>
              <w:spacing w:after="0" w:line="180" w:lineRule="exact"/>
              <w:rPr>
                <w:sz w:val="20"/>
                <w:szCs w:val="20"/>
                <w:color w:val="auto"/>
              </w:rPr>
            </w:pPr>
            <w:r>
              <w:rPr>
                <w:rFonts w:ascii="Calibri" w:cs="Calibri" w:eastAsia="Calibri" w:hAnsi="Calibri"/>
                <w:sz w:val="15"/>
                <w:szCs w:val="15"/>
                <w:b w:val="1"/>
                <w:bCs w:val="1"/>
                <w:color w:val="auto"/>
              </w:rPr>
              <w:t>4,362</w:t>
            </w:r>
          </w:p>
        </w:tc>
        <w:tc>
          <w:tcPr>
            <w:tcW w:w="60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7.7%</w:t>
            </w:r>
          </w:p>
        </w:tc>
        <w:tc>
          <w:tcPr>
            <w:tcW w:w="100" w:type="dxa"/>
            <w:vAlign w:val="bottom"/>
          </w:tcPr>
          <w:p>
            <w:pPr>
              <w:spacing w:after="0"/>
              <w:rPr>
                <w:sz w:val="15"/>
                <w:szCs w:val="15"/>
                <w:color w:val="auto"/>
              </w:rPr>
            </w:pPr>
          </w:p>
        </w:tc>
        <w:tc>
          <w:tcPr>
            <w:tcW w:w="1160" w:type="dxa"/>
            <w:vAlign w:val="bottom"/>
          </w:tcPr>
          <w:p>
            <w:pPr>
              <w:jc w:val="right"/>
              <w:ind w:right="86"/>
              <w:spacing w:after="0" w:line="180" w:lineRule="exact"/>
              <w:rPr>
                <w:sz w:val="20"/>
                <w:szCs w:val="20"/>
                <w:color w:val="auto"/>
              </w:rPr>
            </w:pPr>
            <w:r>
              <w:rPr>
                <w:rFonts w:ascii="Calibri" w:cs="Calibri" w:eastAsia="Calibri" w:hAnsi="Calibri"/>
                <w:sz w:val="15"/>
                <w:szCs w:val="15"/>
                <w:b w:val="1"/>
                <w:bCs w:val="1"/>
                <w:color w:val="auto"/>
              </w:rPr>
              <w:t>222,290</w:t>
            </w:r>
          </w:p>
        </w:tc>
        <w:tc>
          <w:tcPr>
            <w:tcW w:w="1080" w:type="dxa"/>
            <w:vAlign w:val="bottom"/>
          </w:tcPr>
          <w:p>
            <w:pPr>
              <w:jc w:val="right"/>
              <w:ind w:right="266"/>
              <w:spacing w:after="0" w:line="180" w:lineRule="exact"/>
              <w:rPr>
                <w:sz w:val="20"/>
                <w:szCs w:val="20"/>
                <w:color w:val="auto"/>
              </w:rPr>
            </w:pPr>
            <w:r>
              <w:rPr>
                <w:rFonts w:ascii="Calibri" w:cs="Calibri" w:eastAsia="Calibri" w:hAnsi="Calibri"/>
                <w:sz w:val="15"/>
                <w:szCs w:val="15"/>
                <w:b w:val="1"/>
                <w:bCs w:val="1"/>
                <w:color w:val="auto"/>
              </w:rPr>
              <w:t>4,456</w:t>
            </w:r>
          </w:p>
        </w:tc>
        <w:tc>
          <w:tcPr>
            <w:tcW w:w="5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8.0%</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r>
        <w:trPr>
          <w:trHeight w:val="179"/>
        </w:trPr>
        <w:tc>
          <w:tcPr>
            <w:tcW w:w="25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IEA (LC)</w:t>
            </w:r>
          </w:p>
        </w:tc>
        <w:tc>
          <w:tcPr>
            <w:tcW w:w="1120" w:type="dxa"/>
            <w:vAlign w:val="bottom"/>
          </w:tcPr>
          <w:p>
            <w:pPr>
              <w:jc w:val="right"/>
              <w:spacing w:after="0" w:line="180" w:lineRule="exact"/>
              <w:rPr>
                <w:sz w:val="20"/>
                <w:szCs w:val="20"/>
                <w:color w:val="auto"/>
              </w:rPr>
            </w:pPr>
            <w:r>
              <w:rPr>
                <w:rFonts w:ascii="Calibri" w:cs="Calibri" w:eastAsia="Calibri" w:hAnsi="Calibri"/>
                <w:sz w:val="15"/>
                <w:szCs w:val="15"/>
                <w:color w:val="auto"/>
              </w:rPr>
              <w:t>58.0%</w:t>
            </w:r>
          </w:p>
        </w:tc>
        <w:tc>
          <w:tcPr>
            <w:tcW w:w="1180" w:type="dxa"/>
            <w:vAlign w:val="bottom"/>
          </w:tcPr>
          <w:p>
            <w:pPr>
              <w:jc w:val="right"/>
              <w:ind w:right="226"/>
              <w:spacing w:after="0" w:line="180" w:lineRule="exact"/>
              <w:rPr>
                <w:sz w:val="20"/>
                <w:szCs w:val="20"/>
                <w:color w:val="auto"/>
              </w:rPr>
            </w:pPr>
            <w:r>
              <w:rPr>
                <w:rFonts w:ascii="Calibri" w:cs="Calibri" w:eastAsia="Calibri" w:hAnsi="Calibri"/>
                <w:sz w:val="15"/>
                <w:szCs w:val="15"/>
                <w:color w:val="auto"/>
              </w:rPr>
              <w:t>78.8%</w:t>
            </w:r>
          </w:p>
        </w:tc>
        <w:tc>
          <w:tcPr>
            <w:tcW w:w="680" w:type="dxa"/>
            <w:vAlign w:val="bottom"/>
            <w:tcBorders>
              <w:right w:val="single" w:sz="8" w:color="auto"/>
            </w:tcBorders>
          </w:tcPr>
          <w:p>
            <w:pPr>
              <w:jc w:val="right"/>
              <w:ind w:right="5"/>
              <w:spacing w:after="0" w:line="180" w:lineRule="exact"/>
              <w:rPr>
                <w:sz w:val="20"/>
                <w:szCs w:val="20"/>
                <w:color w:val="auto"/>
              </w:rPr>
            </w:pPr>
            <w:r>
              <w:rPr>
                <w:rFonts w:ascii="Calibri" w:cs="Calibri" w:eastAsia="Calibri" w:hAnsi="Calibri"/>
                <w:sz w:val="15"/>
                <w:szCs w:val="15"/>
                <w:color w:val="auto"/>
              </w:rPr>
              <w:t>7.6%</w:t>
            </w:r>
          </w:p>
        </w:tc>
        <w:tc>
          <w:tcPr>
            <w:tcW w:w="1180" w:type="dxa"/>
            <w:vAlign w:val="bottom"/>
          </w:tcPr>
          <w:p>
            <w:pPr>
              <w:jc w:val="right"/>
              <w:ind w:right="66"/>
              <w:spacing w:after="0" w:line="180" w:lineRule="exact"/>
              <w:rPr>
                <w:sz w:val="20"/>
                <w:szCs w:val="20"/>
                <w:color w:val="auto"/>
              </w:rPr>
            </w:pPr>
            <w:r>
              <w:rPr>
                <w:rFonts w:ascii="Calibri" w:cs="Calibri" w:eastAsia="Calibri" w:hAnsi="Calibri"/>
                <w:sz w:val="15"/>
                <w:szCs w:val="15"/>
                <w:color w:val="auto"/>
              </w:rPr>
              <w:t>56.6%</w:t>
            </w:r>
          </w:p>
        </w:tc>
        <w:tc>
          <w:tcPr>
            <w:tcW w:w="1080" w:type="dxa"/>
            <w:vAlign w:val="bottom"/>
          </w:tcPr>
          <w:p>
            <w:pPr>
              <w:jc w:val="right"/>
              <w:ind w:right="246"/>
              <w:spacing w:after="0" w:line="180" w:lineRule="exact"/>
              <w:rPr>
                <w:sz w:val="20"/>
                <w:szCs w:val="20"/>
                <w:color w:val="auto"/>
              </w:rPr>
            </w:pPr>
            <w:r>
              <w:rPr>
                <w:rFonts w:ascii="Calibri" w:cs="Calibri" w:eastAsia="Calibri" w:hAnsi="Calibri"/>
                <w:sz w:val="15"/>
                <w:szCs w:val="15"/>
                <w:color w:val="auto"/>
              </w:rPr>
              <w:t>73.1%</w:t>
            </w:r>
          </w:p>
        </w:tc>
        <w:tc>
          <w:tcPr>
            <w:tcW w:w="60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10.0%</w:t>
            </w:r>
          </w:p>
        </w:tc>
        <w:tc>
          <w:tcPr>
            <w:tcW w:w="100" w:type="dxa"/>
            <w:vAlign w:val="bottom"/>
          </w:tcPr>
          <w:p>
            <w:pPr>
              <w:spacing w:after="0"/>
              <w:rPr>
                <w:sz w:val="15"/>
                <w:szCs w:val="15"/>
                <w:color w:val="auto"/>
              </w:rPr>
            </w:pPr>
          </w:p>
        </w:tc>
        <w:tc>
          <w:tcPr>
            <w:tcW w:w="1160" w:type="dxa"/>
            <w:vAlign w:val="bottom"/>
          </w:tcPr>
          <w:p>
            <w:pPr>
              <w:jc w:val="right"/>
              <w:ind w:right="86"/>
              <w:spacing w:after="0" w:line="180" w:lineRule="exact"/>
              <w:rPr>
                <w:sz w:val="20"/>
                <w:szCs w:val="20"/>
                <w:color w:val="auto"/>
              </w:rPr>
            </w:pPr>
            <w:r>
              <w:rPr>
                <w:rFonts w:ascii="Calibri" w:cs="Calibri" w:eastAsia="Calibri" w:hAnsi="Calibri"/>
                <w:sz w:val="15"/>
                <w:szCs w:val="15"/>
                <w:color w:val="auto"/>
              </w:rPr>
              <w:t>56.9%</w:t>
            </w:r>
          </w:p>
        </w:tc>
        <w:tc>
          <w:tcPr>
            <w:tcW w:w="1080" w:type="dxa"/>
            <w:vAlign w:val="bottom"/>
          </w:tcPr>
          <w:p>
            <w:pPr>
              <w:jc w:val="right"/>
              <w:ind w:right="266"/>
              <w:spacing w:after="0" w:line="180" w:lineRule="exact"/>
              <w:rPr>
                <w:sz w:val="20"/>
                <w:szCs w:val="20"/>
                <w:color w:val="auto"/>
              </w:rPr>
            </w:pPr>
            <w:r>
              <w:rPr>
                <w:rFonts w:ascii="Calibri" w:cs="Calibri" w:eastAsia="Calibri" w:hAnsi="Calibri"/>
                <w:sz w:val="15"/>
                <w:szCs w:val="15"/>
                <w:color w:val="auto"/>
              </w:rPr>
              <w:t>71.2%</w:t>
            </w:r>
          </w:p>
        </w:tc>
        <w:tc>
          <w:tcPr>
            <w:tcW w:w="5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10.0%</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r>
        <w:trPr>
          <w:trHeight w:val="179"/>
        </w:trPr>
        <w:tc>
          <w:tcPr>
            <w:tcW w:w="25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IEA (FC)</w:t>
            </w:r>
          </w:p>
        </w:tc>
        <w:tc>
          <w:tcPr>
            <w:tcW w:w="1120" w:type="dxa"/>
            <w:vAlign w:val="bottom"/>
          </w:tcPr>
          <w:p>
            <w:pPr>
              <w:jc w:val="right"/>
              <w:spacing w:after="0" w:line="180" w:lineRule="exact"/>
              <w:rPr>
                <w:sz w:val="20"/>
                <w:szCs w:val="20"/>
                <w:color w:val="auto"/>
              </w:rPr>
            </w:pPr>
            <w:r>
              <w:rPr>
                <w:rFonts w:ascii="Calibri" w:cs="Calibri" w:eastAsia="Calibri" w:hAnsi="Calibri"/>
                <w:sz w:val="15"/>
                <w:szCs w:val="15"/>
                <w:color w:val="auto"/>
              </w:rPr>
              <w:t>42.0%</w:t>
            </w:r>
          </w:p>
        </w:tc>
        <w:tc>
          <w:tcPr>
            <w:tcW w:w="1180" w:type="dxa"/>
            <w:vAlign w:val="bottom"/>
          </w:tcPr>
          <w:p>
            <w:pPr>
              <w:jc w:val="right"/>
              <w:ind w:right="226"/>
              <w:spacing w:after="0" w:line="180" w:lineRule="exact"/>
              <w:rPr>
                <w:sz w:val="20"/>
                <w:szCs w:val="20"/>
                <w:color w:val="auto"/>
              </w:rPr>
            </w:pPr>
            <w:r>
              <w:rPr>
                <w:rFonts w:ascii="Calibri" w:cs="Calibri" w:eastAsia="Calibri" w:hAnsi="Calibri"/>
                <w:sz w:val="15"/>
                <w:szCs w:val="15"/>
                <w:color w:val="auto"/>
              </w:rPr>
              <w:t>21.2%</w:t>
            </w:r>
          </w:p>
        </w:tc>
        <w:tc>
          <w:tcPr>
            <w:tcW w:w="680" w:type="dxa"/>
            <w:vAlign w:val="bottom"/>
            <w:tcBorders>
              <w:right w:val="single" w:sz="8" w:color="auto"/>
            </w:tcBorders>
          </w:tcPr>
          <w:p>
            <w:pPr>
              <w:jc w:val="right"/>
              <w:ind w:right="5"/>
              <w:spacing w:after="0" w:line="180" w:lineRule="exact"/>
              <w:rPr>
                <w:sz w:val="20"/>
                <w:szCs w:val="20"/>
                <w:color w:val="auto"/>
              </w:rPr>
            </w:pPr>
            <w:r>
              <w:rPr>
                <w:rFonts w:ascii="Calibri" w:cs="Calibri" w:eastAsia="Calibri" w:hAnsi="Calibri"/>
                <w:sz w:val="15"/>
                <w:szCs w:val="15"/>
                <w:color w:val="auto"/>
              </w:rPr>
              <w:t>2.8%</w:t>
            </w:r>
          </w:p>
        </w:tc>
        <w:tc>
          <w:tcPr>
            <w:tcW w:w="1180" w:type="dxa"/>
            <w:vAlign w:val="bottom"/>
          </w:tcPr>
          <w:p>
            <w:pPr>
              <w:jc w:val="right"/>
              <w:ind w:right="66"/>
              <w:spacing w:after="0" w:line="180" w:lineRule="exact"/>
              <w:rPr>
                <w:sz w:val="20"/>
                <w:szCs w:val="20"/>
                <w:color w:val="auto"/>
              </w:rPr>
            </w:pPr>
            <w:r>
              <w:rPr>
                <w:rFonts w:ascii="Calibri" w:cs="Calibri" w:eastAsia="Calibri" w:hAnsi="Calibri"/>
                <w:sz w:val="15"/>
                <w:szCs w:val="15"/>
                <w:color w:val="auto"/>
              </w:rPr>
              <w:t>43.4%</w:t>
            </w:r>
          </w:p>
        </w:tc>
        <w:tc>
          <w:tcPr>
            <w:tcW w:w="1080" w:type="dxa"/>
            <w:vAlign w:val="bottom"/>
          </w:tcPr>
          <w:p>
            <w:pPr>
              <w:jc w:val="right"/>
              <w:ind w:right="246"/>
              <w:spacing w:after="0" w:line="180" w:lineRule="exact"/>
              <w:rPr>
                <w:sz w:val="20"/>
                <w:szCs w:val="20"/>
                <w:color w:val="auto"/>
              </w:rPr>
            </w:pPr>
            <w:r>
              <w:rPr>
                <w:rFonts w:ascii="Calibri" w:cs="Calibri" w:eastAsia="Calibri" w:hAnsi="Calibri"/>
                <w:sz w:val="15"/>
                <w:szCs w:val="15"/>
                <w:color w:val="auto"/>
              </w:rPr>
              <w:t>26.9%</w:t>
            </w:r>
          </w:p>
        </w:tc>
        <w:tc>
          <w:tcPr>
            <w:tcW w:w="60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4.8%</w:t>
            </w:r>
          </w:p>
        </w:tc>
        <w:tc>
          <w:tcPr>
            <w:tcW w:w="100" w:type="dxa"/>
            <w:vAlign w:val="bottom"/>
          </w:tcPr>
          <w:p>
            <w:pPr>
              <w:spacing w:after="0"/>
              <w:rPr>
                <w:sz w:val="15"/>
                <w:szCs w:val="15"/>
                <w:color w:val="auto"/>
              </w:rPr>
            </w:pPr>
          </w:p>
        </w:tc>
        <w:tc>
          <w:tcPr>
            <w:tcW w:w="1160" w:type="dxa"/>
            <w:vAlign w:val="bottom"/>
          </w:tcPr>
          <w:p>
            <w:pPr>
              <w:jc w:val="right"/>
              <w:ind w:right="86"/>
              <w:spacing w:after="0" w:line="180" w:lineRule="exact"/>
              <w:rPr>
                <w:sz w:val="20"/>
                <w:szCs w:val="20"/>
                <w:color w:val="auto"/>
              </w:rPr>
            </w:pPr>
            <w:r>
              <w:rPr>
                <w:rFonts w:ascii="Calibri" w:cs="Calibri" w:eastAsia="Calibri" w:hAnsi="Calibri"/>
                <w:sz w:val="15"/>
                <w:szCs w:val="15"/>
                <w:color w:val="auto"/>
              </w:rPr>
              <w:t>43.1%</w:t>
            </w:r>
          </w:p>
        </w:tc>
        <w:tc>
          <w:tcPr>
            <w:tcW w:w="1080" w:type="dxa"/>
            <w:vAlign w:val="bottom"/>
          </w:tcPr>
          <w:p>
            <w:pPr>
              <w:jc w:val="right"/>
              <w:ind w:right="266"/>
              <w:spacing w:after="0" w:line="180" w:lineRule="exact"/>
              <w:rPr>
                <w:sz w:val="20"/>
                <w:szCs w:val="20"/>
                <w:color w:val="auto"/>
              </w:rPr>
            </w:pPr>
            <w:r>
              <w:rPr>
                <w:rFonts w:ascii="Calibri" w:cs="Calibri" w:eastAsia="Calibri" w:hAnsi="Calibri"/>
                <w:sz w:val="15"/>
                <w:szCs w:val="15"/>
                <w:color w:val="auto"/>
              </w:rPr>
              <w:t>28.8%</w:t>
            </w:r>
          </w:p>
        </w:tc>
        <w:tc>
          <w:tcPr>
            <w:tcW w:w="5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5.3%</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r>
        <w:trPr>
          <w:trHeight w:val="207"/>
        </w:trPr>
        <w:tc>
          <w:tcPr>
            <w:tcW w:w="2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r>
      <w:tr>
        <w:trPr>
          <w:trHeight w:val="204"/>
        </w:trPr>
        <w:tc>
          <w:tcPr>
            <w:tcW w:w="2500" w:type="dxa"/>
            <w:vAlign w:val="bottom"/>
            <w:tcBorders>
              <w:left w:val="single" w:sz="8" w:color="auto"/>
              <w:right w:val="single" w:sz="8" w:color="auto"/>
            </w:tcBorders>
            <w:shd w:val="clear" w:color="auto" w:fill="2AD2C9"/>
          </w:tcPr>
          <w:p>
            <w:pPr>
              <w:ind w:left="20"/>
              <w:spacing w:after="0" w:line="204" w:lineRule="exact"/>
              <w:rPr>
                <w:sz w:val="20"/>
                <w:szCs w:val="20"/>
                <w:color w:val="auto"/>
              </w:rPr>
            </w:pPr>
            <w:r>
              <w:rPr>
                <w:rFonts w:ascii="Calibri" w:cs="Calibri" w:eastAsia="Calibri" w:hAnsi="Calibri"/>
                <w:sz w:val="14"/>
                <w:szCs w:val="14"/>
                <w:b w:val="1"/>
                <w:bCs w:val="1"/>
                <w:color w:val="FFFFFF"/>
              </w:rPr>
              <w:t>Interest Expense</w:t>
            </w:r>
            <w:r>
              <w:rPr>
                <w:rFonts w:ascii="Calibri" w:cs="Calibri" w:eastAsia="Calibri" w:hAnsi="Calibri"/>
                <w:sz w:val="22"/>
                <w:szCs w:val="22"/>
                <w:b w:val="1"/>
                <w:bCs w:val="1"/>
                <w:color w:val="FFFFFF"/>
                <w:vertAlign w:val="superscript"/>
              </w:rPr>
              <w:t>(1)</w:t>
            </w:r>
            <w:r>
              <w:rPr>
                <w:rFonts w:ascii="Calibri" w:cs="Calibri" w:eastAsia="Calibri" w:hAnsi="Calibri"/>
                <w:sz w:val="14"/>
                <w:szCs w:val="14"/>
                <w:b w:val="1"/>
                <w:bCs w:val="1"/>
                <w:color w:val="FFFFFF"/>
              </w:rPr>
              <w:t>/ Funding</w:t>
            </w:r>
          </w:p>
        </w:tc>
        <w:tc>
          <w:tcPr>
            <w:tcW w:w="1120" w:type="dxa"/>
            <w:vAlign w:val="bottom"/>
            <w:shd w:val="clear" w:color="auto" w:fill="2AD2C9"/>
          </w:tcPr>
          <w:p>
            <w:pPr>
              <w:spacing w:after="0"/>
              <w:rPr>
                <w:sz w:val="17"/>
                <w:szCs w:val="17"/>
                <w:color w:val="auto"/>
              </w:rPr>
            </w:pPr>
          </w:p>
        </w:tc>
        <w:tc>
          <w:tcPr>
            <w:tcW w:w="1180" w:type="dxa"/>
            <w:vAlign w:val="bottom"/>
            <w:shd w:val="clear" w:color="auto" w:fill="2AD2C9"/>
          </w:tcPr>
          <w:p>
            <w:pPr>
              <w:jc w:val="right"/>
              <w:ind w:right="586"/>
              <w:spacing w:after="0" w:line="180" w:lineRule="exact"/>
              <w:rPr>
                <w:sz w:val="20"/>
                <w:szCs w:val="20"/>
                <w:color w:val="auto"/>
              </w:rPr>
            </w:pPr>
            <w:r>
              <w:rPr>
                <w:rFonts w:ascii="Calibri" w:cs="Calibri" w:eastAsia="Calibri" w:hAnsi="Calibri"/>
                <w:sz w:val="15"/>
                <w:szCs w:val="15"/>
                <w:b w:val="1"/>
                <w:bCs w:val="1"/>
                <w:color w:val="FFFFFF"/>
              </w:rPr>
              <w:t>1Q22</w:t>
            </w:r>
          </w:p>
        </w:tc>
        <w:tc>
          <w:tcPr>
            <w:tcW w:w="680" w:type="dxa"/>
            <w:vAlign w:val="bottom"/>
            <w:tcBorders>
              <w:right w:val="single" w:sz="8" w:color="auto"/>
            </w:tcBorders>
            <w:shd w:val="clear" w:color="auto" w:fill="2AD2C9"/>
          </w:tcPr>
          <w:p>
            <w:pPr>
              <w:spacing w:after="0"/>
              <w:rPr>
                <w:sz w:val="17"/>
                <w:szCs w:val="17"/>
                <w:color w:val="auto"/>
              </w:rPr>
            </w:pPr>
          </w:p>
        </w:tc>
        <w:tc>
          <w:tcPr>
            <w:tcW w:w="1180" w:type="dxa"/>
            <w:vAlign w:val="bottom"/>
            <w:shd w:val="clear" w:color="auto" w:fill="2AD2C9"/>
          </w:tcPr>
          <w:p>
            <w:pPr>
              <w:spacing w:after="0"/>
              <w:rPr>
                <w:sz w:val="17"/>
                <w:szCs w:val="17"/>
                <w:color w:val="auto"/>
              </w:rPr>
            </w:pPr>
          </w:p>
        </w:tc>
        <w:tc>
          <w:tcPr>
            <w:tcW w:w="1080" w:type="dxa"/>
            <w:vAlign w:val="bottom"/>
            <w:shd w:val="clear" w:color="auto" w:fill="2AD2C9"/>
          </w:tcPr>
          <w:p>
            <w:pPr>
              <w:jc w:val="right"/>
              <w:ind w:right="546"/>
              <w:spacing w:after="0" w:line="180" w:lineRule="exact"/>
              <w:rPr>
                <w:sz w:val="20"/>
                <w:szCs w:val="20"/>
                <w:color w:val="auto"/>
              </w:rPr>
            </w:pPr>
            <w:r>
              <w:rPr>
                <w:rFonts w:ascii="Calibri" w:cs="Calibri" w:eastAsia="Calibri" w:hAnsi="Calibri"/>
                <w:sz w:val="15"/>
                <w:szCs w:val="15"/>
                <w:b w:val="1"/>
                <w:bCs w:val="1"/>
                <w:color w:val="FFFFFF"/>
              </w:rPr>
              <w:t>4Q22</w:t>
            </w:r>
          </w:p>
        </w:tc>
        <w:tc>
          <w:tcPr>
            <w:tcW w:w="600" w:type="dxa"/>
            <w:vAlign w:val="bottom"/>
            <w:tcBorders>
              <w:right w:val="single" w:sz="8" w:color="2AD2C9"/>
            </w:tcBorders>
            <w:shd w:val="clear" w:color="auto" w:fill="2AD2C9"/>
          </w:tcPr>
          <w:p>
            <w:pPr>
              <w:spacing w:after="0"/>
              <w:rPr>
                <w:sz w:val="17"/>
                <w:szCs w:val="17"/>
                <w:color w:val="auto"/>
              </w:rPr>
            </w:pPr>
          </w:p>
        </w:tc>
        <w:tc>
          <w:tcPr>
            <w:tcW w:w="100" w:type="dxa"/>
            <w:vAlign w:val="bottom"/>
            <w:tcBorders>
              <w:right w:val="single" w:sz="8" w:color="auto"/>
            </w:tcBorders>
            <w:shd w:val="clear" w:color="auto" w:fill="2AD2C9"/>
          </w:tcPr>
          <w:p>
            <w:pPr>
              <w:spacing w:after="0"/>
              <w:rPr>
                <w:sz w:val="17"/>
                <w:szCs w:val="17"/>
                <w:color w:val="auto"/>
              </w:rPr>
            </w:pPr>
          </w:p>
        </w:tc>
        <w:tc>
          <w:tcPr>
            <w:tcW w:w="1160" w:type="dxa"/>
            <w:vAlign w:val="bottom"/>
            <w:shd w:val="clear" w:color="auto" w:fill="2AD2C9"/>
          </w:tcPr>
          <w:p>
            <w:pPr>
              <w:spacing w:after="0"/>
              <w:rPr>
                <w:sz w:val="17"/>
                <w:szCs w:val="17"/>
                <w:color w:val="auto"/>
              </w:rPr>
            </w:pPr>
          </w:p>
        </w:tc>
        <w:tc>
          <w:tcPr>
            <w:tcW w:w="1080" w:type="dxa"/>
            <w:vAlign w:val="bottom"/>
            <w:shd w:val="clear" w:color="auto" w:fill="2AD2C9"/>
          </w:tcPr>
          <w:p>
            <w:pPr>
              <w:jc w:val="right"/>
              <w:ind w:right="606"/>
              <w:spacing w:after="0" w:line="180" w:lineRule="exact"/>
              <w:rPr>
                <w:sz w:val="20"/>
                <w:szCs w:val="20"/>
                <w:color w:val="auto"/>
              </w:rPr>
            </w:pPr>
            <w:r>
              <w:rPr>
                <w:rFonts w:ascii="Calibri" w:cs="Calibri" w:eastAsia="Calibri" w:hAnsi="Calibri"/>
                <w:sz w:val="15"/>
                <w:szCs w:val="15"/>
                <w:b w:val="1"/>
                <w:bCs w:val="1"/>
                <w:color w:val="FFFFFF"/>
              </w:rPr>
              <w:t>1Q23</w:t>
            </w:r>
          </w:p>
        </w:tc>
        <w:tc>
          <w:tcPr>
            <w:tcW w:w="580" w:type="dxa"/>
            <w:vAlign w:val="bottom"/>
            <w:tcBorders>
              <w:right w:val="single" w:sz="8" w:color="auto"/>
            </w:tcBorders>
            <w:shd w:val="clear" w:color="auto" w:fill="2AD2C9"/>
          </w:tcPr>
          <w:p>
            <w:pPr>
              <w:spacing w:after="0"/>
              <w:rPr>
                <w:sz w:val="17"/>
                <w:szCs w:val="17"/>
                <w:color w:val="auto"/>
              </w:rPr>
            </w:pPr>
          </w:p>
        </w:tc>
      </w:tr>
      <w:tr>
        <w:trPr>
          <w:trHeight w:val="179"/>
        </w:trPr>
        <w:tc>
          <w:tcPr>
            <w:tcW w:w="2500" w:type="dxa"/>
            <w:vAlign w:val="bottom"/>
            <w:tcBorders>
              <w:left w:val="single" w:sz="8" w:color="auto"/>
              <w:right w:val="single" w:sz="8" w:color="auto"/>
            </w:tcBorders>
            <w:shd w:val="clear" w:color="auto" w:fill="2AD2C9"/>
          </w:tcPr>
          <w:p>
            <w:pPr>
              <w:ind w:left="20"/>
              <w:spacing w:after="0" w:line="180" w:lineRule="exact"/>
              <w:rPr>
                <w:sz w:val="20"/>
                <w:szCs w:val="20"/>
                <w:color w:val="auto"/>
              </w:rPr>
            </w:pPr>
            <w:r>
              <w:rPr>
                <w:rFonts w:ascii="Calibri" w:cs="Calibri" w:eastAsia="Calibri" w:hAnsi="Calibri"/>
                <w:sz w:val="15"/>
                <w:szCs w:val="15"/>
                <w:b w:val="1"/>
                <w:bCs w:val="1"/>
                <w:color w:val="FFFFFF"/>
              </w:rPr>
              <w:t>S/ millions</w:t>
            </w:r>
          </w:p>
        </w:tc>
        <w:tc>
          <w:tcPr>
            <w:tcW w:w="1120" w:type="dxa"/>
            <w:vAlign w:val="bottom"/>
            <w:shd w:val="clear" w:color="auto" w:fill="2AD2C9"/>
          </w:tcPr>
          <w:p>
            <w:pPr>
              <w:jc w:val="right"/>
              <w:spacing w:after="0" w:line="180" w:lineRule="exact"/>
              <w:rPr>
                <w:sz w:val="20"/>
                <w:szCs w:val="20"/>
                <w:color w:val="auto"/>
              </w:rPr>
            </w:pPr>
            <w:r>
              <w:rPr>
                <w:rFonts w:ascii="Calibri" w:cs="Calibri" w:eastAsia="Calibri" w:hAnsi="Calibri"/>
                <w:sz w:val="15"/>
                <w:szCs w:val="15"/>
                <w:b w:val="1"/>
                <w:bCs w:val="1"/>
                <w:color w:val="FFFFFF"/>
              </w:rPr>
              <w:t>Average</w:t>
            </w:r>
          </w:p>
        </w:tc>
        <w:tc>
          <w:tcPr>
            <w:tcW w:w="1180" w:type="dxa"/>
            <w:vAlign w:val="bottom"/>
            <w:shd w:val="clear" w:color="auto" w:fill="2AD2C9"/>
          </w:tcPr>
          <w:p>
            <w:pPr>
              <w:spacing w:after="0"/>
              <w:rPr>
                <w:sz w:val="15"/>
                <w:szCs w:val="15"/>
                <w:color w:val="auto"/>
              </w:rPr>
            </w:pPr>
          </w:p>
        </w:tc>
        <w:tc>
          <w:tcPr>
            <w:tcW w:w="680" w:type="dxa"/>
            <w:vAlign w:val="bottom"/>
            <w:tcBorders>
              <w:right w:val="single" w:sz="8" w:color="auto"/>
            </w:tcBorders>
            <w:shd w:val="clear" w:color="auto" w:fill="2AD2C9"/>
          </w:tcPr>
          <w:p>
            <w:pPr>
              <w:spacing w:after="0"/>
              <w:rPr>
                <w:sz w:val="15"/>
                <w:szCs w:val="15"/>
                <w:color w:val="auto"/>
              </w:rPr>
            </w:pPr>
          </w:p>
        </w:tc>
        <w:tc>
          <w:tcPr>
            <w:tcW w:w="1180" w:type="dxa"/>
            <w:vAlign w:val="bottom"/>
            <w:shd w:val="clear" w:color="auto" w:fill="2AD2C9"/>
          </w:tcPr>
          <w:p>
            <w:pPr>
              <w:jc w:val="right"/>
              <w:ind w:right="6"/>
              <w:spacing w:after="0" w:line="180" w:lineRule="exact"/>
              <w:rPr>
                <w:sz w:val="20"/>
                <w:szCs w:val="20"/>
                <w:color w:val="auto"/>
              </w:rPr>
            </w:pPr>
            <w:r>
              <w:rPr>
                <w:rFonts w:ascii="Calibri" w:cs="Calibri" w:eastAsia="Calibri" w:hAnsi="Calibri"/>
                <w:sz w:val="15"/>
                <w:szCs w:val="15"/>
                <w:b w:val="1"/>
                <w:bCs w:val="1"/>
                <w:color w:val="FFFFFF"/>
              </w:rPr>
              <w:t>Average</w:t>
            </w:r>
          </w:p>
        </w:tc>
        <w:tc>
          <w:tcPr>
            <w:tcW w:w="1080" w:type="dxa"/>
            <w:vAlign w:val="bottom"/>
            <w:shd w:val="clear" w:color="auto" w:fill="2AD2C9"/>
          </w:tcPr>
          <w:p>
            <w:pPr>
              <w:spacing w:after="0"/>
              <w:rPr>
                <w:sz w:val="15"/>
                <w:szCs w:val="15"/>
                <w:color w:val="auto"/>
              </w:rPr>
            </w:pPr>
          </w:p>
        </w:tc>
        <w:tc>
          <w:tcPr>
            <w:tcW w:w="600" w:type="dxa"/>
            <w:vAlign w:val="bottom"/>
            <w:tcBorders>
              <w:right w:val="single" w:sz="8" w:color="2AD2C9"/>
            </w:tcBorders>
            <w:shd w:val="clear" w:color="auto" w:fill="2AD2C9"/>
          </w:tcPr>
          <w:p>
            <w:pPr>
              <w:spacing w:after="0"/>
              <w:rPr>
                <w:sz w:val="15"/>
                <w:szCs w:val="15"/>
                <w:color w:val="auto"/>
              </w:rPr>
            </w:pPr>
          </w:p>
        </w:tc>
        <w:tc>
          <w:tcPr>
            <w:tcW w:w="100" w:type="dxa"/>
            <w:vAlign w:val="bottom"/>
            <w:tcBorders>
              <w:right w:val="single" w:sz="8" w:color="auto"/>
            </w:tcBorders>
            <w:shd w:val="clear" w:color="auto" w:fill="2AD2C9"/>
          </w:tcPr>
          <w:p>
            <w:pPr>
              <w:spacing w:after="0"/>
              <w:rPr>
                <w:sz w:val="15"/>
                <w:szCs w:val="15"/>
                <w:color w:val="auto"/>
              </w:rPr>
            </w:pPr>
          </w:p>
        </w:tc>
        <w:tc>
          <w:tcPr>
            <w:tcW w:w="1160" w:type="dxa"/>
            <w:vAlign w:val="bottom"/>
            <w:shd w:val="clear" w:color="auto" w:fill="2AD2C9"/>
          </w:tcPr>
          <w:p>
            <w:pPr>
              <w:jc w:val="right"/>
              <w:spacing w:after="0" w:line="180" w:lineRule="exact"/>
              <w:rPr>
                <w:sz w:val="20"/>
                <w:szCs w:val="20"/>
                <w:color w:val="auto"/>
              </w:rPr>
            </w:pPr>
            <w:r>
              <w:rPr>
                <w:rFonts w:ascii="Calibri" w:cs="Calibri" w:eastAsia="Calibri" w:hAnsi="Calibri"/>
                <w:sz w:val="15"/>
                <w:szCs w:val="15"/>
                <w:b w:val="1"/>
                <w:bCs w:val="1"/>
                <w:color w:val="FFFFFF"/>
              </w:rPr>
              <w:t>Average</w:t>
            </w:r>
          </w:p>
        </w:tc>
        <w:tc>
          <w:tcPr>
            <w:tcW w:w="1080" w:type="dxa"/>
            <w:vAlign w:val="bottom"/>
            <w:shd w:val="clear" w:color="auto" w:fill="2AD2C9"/>
          </w:tcPr>
          <w:p>
            <w:pPr>
              <w:spacing w:after="0"/>
              <w:rPr>
                <w:sz w:val="15"/>
                <w:szCs w:val="15"/>
                <w:color w:val="auto"/>
              </w:rPr>
            </w:pPr>
          </w:p>
        </w:tc>
        <w:tc>
          <w:tcPr>
            <w:tcW w:w="580" w:type="dxa"/>
            <w:vAlign w:val="bottom"/>
            <w:tcBorders>
              <w:right w:val="single" w:sz="8" w:color="auto"/>
            </w:tcBorders>
            <w:shd w:val="clear" w:color="auto" w:fill="2AD2C9"/>
          </w:tcPr>
          <w:p>
            <w:pPr>
              <w:spacing w:after="0"/>
              <w:rPr>
                <w:sz w:val="15"/>
                <w:szCs w:val="15"/>
                <w:color w:val="auto"/>
              </w:rPr>
            </w:pPr>
          </w:p>
        </w:tc>
      </w:tr>
      <w:tr>
        <w:trPr>
          <w:trHeight w:val="209"/>
        </w:trPr>
        <w:tc>
          <w:tcPr>
            <w:tcW w:w="2500" w:type="dxa"/>
            <w:vAlign w:val="bottom"/>
            <w:tcBorders>
              <w:left w:val="single" w:sz="8" w:color="auto"/>
              <w:bottom w:val="single" w:sz="8" w:color="2AD2C9"/>
              <w:right w:val="single" w:sz="8" w:color="auto"/>
            </w:tcBorders>
            <w:shd w:val="clear" w:color="auto" w:fill="2AD2C9"/>
          </w:tcPr>
          <w:p>
            <w:pPr>
              <w:spacing w:after="0"/>
              <w:rPr>
                <w:sz w:val="18"/>
                <w:szCs w:val="18"/>
                <w:color w:val="auto"/>
              </w:rPr>
            </w:pPr>
          </w:p>
        </w:tc>
        <w:tc>
          <w:tcPr>
            <w:tcW w:w="1120" w:type="dxa"/>
            <w:vAlign w:val="bottom"/>
            <w:tcBorders>
              <w:bottom w:val="single" w:sz="8" w:color="2AD2C9"/>
            </w:tcBorders>
            <w:shd w:val="clear" w:color="auto" w:fill="2AD2C9"/>
          </w:tcPr>
          <w:p>
            <w:pPr>
              <w:jc w:val="right"/>
              <w:spacing w:after="0"/>
              <w:rPr>
                <w:sz w:val="20"/>
                <w:szCs w:val="20"/>
                <w:color w:val="auto"/>
              </w:rPr>
            </w:pPr>
            <w:r>
              <w:rPr>
                <w:rFonts w:ascii="Calibri" w:cs="Calibri" w:eastAsia="Calibri" w:hAnsi="Calibri"/>
                <w:sz w:val="15"/>
                <w:szCs w:val="15"/>
                <w:b w:val="1"/>
                <w:bCs w:val="1"/>
                <w:color w:val="FFFFFF"/>
              </w:rPr>
              <w:t>Balance</w:t>
            </w:r>
          </w:p>
        </w:tc>
        <w:tc>
          <w:tcPr>
            <w:tcW w:w="1180" w:type="dxa"/>
            <w:vAlign w:val="bottom"/>
            <w:tcBorders>
              <w:bottom w:val="single" w:sz="8" w:color="2AD2C9"/>
            </w:tcBorders>
            <w:shd w:val="clear" w:color="auto" w:fill="2AD2C9"/>
          </w:tcPr>
          <w:p>
            <w:pPr>
              <w:jc w:val="right"/>
              <w:ind w:right="166"/>
              <w:spacing w:after="0"/>
              <w:rPr>
                <w:sz w:val="20"/>
                <w:szCs w:val="20"/>
                <w:color w:val="auto"/>
              </w:rPr>
            </w:pPr>
            <w:r>
              <w:rPr>
                <w:rFonts w:ascii="Calibri" w:cs="Calibri" w:eastAsia="Calibri" w:hAnsi="Calibri"/>
                <w:sz w:val="15"/>
                <w:szCs w:val="15"/>
                <w:b w:val="1"/>
                <w:bCs w:val="1"/>
                <w:color w:val="FFFFFF"/>
              </w:rPr>
              <w:t>Expense</w:t>
            </w:r>
          </w:p>
        </w:tc>
        <w:tc>
          <w:tcPr>
            <w:tcW w:w="680" w:type="dxa"/>
            <w:vAlign w:val="bottom"/>
            <w:tcBorders>
              <w:bottom w:val="single" w:sz="8" w:color="2AD2C9"/>
              <w:right w:val="single" w:sz="8" w:color="auto"/>
            </w:tcBorders>
            <w:shd w:val="clear" w:color="auto" w:fill="2AD2C9"/>
          </w:tcPr>
          <w:p>
            <w:pPr>
              <w:jc w:val="right"/>
              <w:spacing w:after="0"/>
              <w:rPr>
                <w:sz w:val="20"/>
                <w:szCs w:val="20"/>
                <w:color w:val="auto"/>
              </w:rPr>
            </w:pPr>
            <w:r>
              <w:rPr>
                <w:rFonts w:ascii="Calibri" w:cs="Calibri" w:eastAsia="Calibri" w:hAnsi="Calibri"/>
                <w:sz w:val="15"/>
                <w:szCs w:val="15"/>
                <w:b w:val="1"/>
                <w:bCs w:val="1"/>
                <w:color w:val="FFFFFF"/>
              </w:rPr>
              <w:t>Yields</w:t>
            </w:r>
          </w:p>
        </w:tc>
        <w:tc>
          <w:tcPr>
            <w:tcW w:w="1180" w:type="dxa"/>
            <w:vAlign w:val="bottom"/>
            <w:tcBorders>
              <w:bottom w:val="single" w:sz="8" w:color="2AD2C9"/>
            </w:tcBorders>
            <w:shd w:val="clear" w:color="auto" w:fill="2AD2C9"/>
          </w:tcPr>
          <w:p>
            <w:pPr>
              <w:jc w:val="right"/>
              <w:ind w:right="6"/>
              <w:spacing w:after="0"/>
              <w:rPr>
                <w:sz w:val="20"/>
                <w:szCs w:val="20"/>
                <w:color w:val="auto"/>
              </w:rPr>
            </w:pPr>
            <w:r>
              <w:rPr>
                <w:rFonts w:ascii="Calibri" w:cs="Calibri" w:eastAsia="Calibri" w:hAnsi="Calibri"/>
                <w:sz w:val="15"/>
                <w:szCs w:val="15"/>
                <w:b w:val="1"/>
                <w:bCs w:val="1"/>
                <w:color w:val="FFFFFF"/>
              </w:rPr>
              <w:t>Balance</w:t>
            </w:r>
          </w:p>
        </w:tc>
        <w:tc>
          <w:tcPr>
            <w:tcW w:w="1080" w:type="dxa"/>
            <w:vAlign w:val="bottom"/>
            <w:tcBorders>
              <w:bottom w:val="single" w:sz="8" w:color="2AD2C9"/>
            </w:tcBorders>
            <w:shd w:val="clear" w:color="auto" w:fill="2AD2C9"/>
          </w:tcPr>
          <w:p>
            <w:pPr>
              <w:jc w:val="right"/>
              <w:ind w:right="146"/>
              <w:spacing w:after="0"/>
              <w:rPr>
                <w:sz w:val="20"/>
                <w:szCs w:val="20"/>
                <w:color w:val="auto"/>
              </w:rPr>
            </w:pPr>
            <w:r>
              <w:rPr>
                <w:rFonts w:ascii="Calibri" w:cs="Calibri" w:eastAsia="Calibri" w:hAnsi="Calibri"/>
                <w:sz w:val="15"/>
                <w:szCs w:val="15"/>
                <w:b w:val="1"/>
                <w:bCs w:val="1"/>
                <w:color w:val="FFFFFF"/>
              </w:rPr>
              <w:t>Expense</w:t>
            </w:r>
          </w:p>
        </w:tc>
        <w:tc>
          <w:tcPr>
            <w:tcW w:w="700" w:type="dxa"/>
            <w:vAlign w:val="bottom"/>
            <w:tcBorders>
              <w:bottom w:val="single" w:sz="8" w:color="2AD2C9"/>
              <w:right w:val="single" w:sz="8" w:color="auto"/>
            </w:tcBorders>
            <w:gridSpan w:val="2"/>
            <w:shd w:val="clear" w:color="auto" w:fill="2AD2C9"/>
          </w:tcPr>
          <w:p>
            <w:pPr>
              <w:jc w:val="right"/>
              <w:ind w:right="20"/>
              <w:spacing w:after="0"/>
              <w:rPr>
                <w:sz w:val="20"/>
                <w:szCs w:val="20"/>
                <w:color w:val="auto"/>
              </w:rPr>
            </w:pPr>
            <w:r>
              <w:rPr>
                <w:rFonts w:ascii="Calibri" w:cs="Calibri" w:eastAsia="Calibri" w:hAnsi="Calibri"/>
                <w:sz w:val="15"/>
                <w:szCs w:val="15"/>
                <w:b w:val="1"/>
                <w:bCs w:val="1"/>
                <w:color w:val="FFFFFF"/>
              </w:rPr>
              <w:t>Yields</w:t>
            </w:r>
          </w:p>
        </w:tc>
        <w:tc>
          <w:tcPr>
            <w:tcW w:w="1160" w:type="dxa"/>
            <w:vAlign w:val="bottom"/>
            <w:tcBorders>
              <w:bottom w:val="single" w:sz="8" w:color="2AD2C9"/>
            </w:tcBorders>
            <w:shd w:val="clear" w:color="auto" w:fill="2AD2C9"/>
          </w:tcPr>
          <w:p>
            <w:pPr>
              <w:jc w:val="right"/>
              <w:spacing w:after="0"/>
              <w:rPr>
                <w:sz w:val="20"/>
                <w:szCs w:val="20"/>
                <w:color w:val="auto"/>
              </w:rPr>
            </w:pPr>
            <w:r>
              <w:rPr>
                <w:rFonts w:ascii="Calibri" w:cs="Calibri" w:eastAsia="Calibri" w:hAnsi="Calibri"/>
                <w:sz w:val="15"/>
                <w:szCs w:val="15"/>
                <w:b w:val="1"/>
                <w:bCs w:val="1"/>
                <w:color w:val="FFFFFF"/>
              </w:rPr>
              <w:t>Balance</w:t>
            </w:r>
          </w:p>
        </w:tc>
        <w:tc>
          <w:tcPr>
            <w:tcW w:w="1080" w:type="dxa"/>
            <w:vAlign w:val="bottom"/>
            <w:tcBorders>
              <w:bottom w:val="single" w:sz="8" w:color="2AD2C9"/>
            </w:tcBorders>
            <w:shd w:val="clear" w:color="auto" w:fill="2AD2C9"/>
          </w:tcPr>
          <w:p>
            <w:pPr>
              <w:jc w:val="right"/>
              <w:ind w:right="126"/>
              <w:spacing w:after="0"/>
              <w:rPr>
                <w:sz w:val="20"/>
                <w:szCs w:val="20"/>
                <w:color w:val="auto"/>
              </w:rPr>
            </w:pPr>
            <w:r>
              <w:rPr>
                <w:rFonts w:ascii="Calibri" w:cs="Calibri" w:eastAsia="Calibri" w:hAnsi="Calibri"/>
                <w:sz w:val="15"/>
                <w:szCs w:val="15"/>
                <w:b w:val="1"/>
                <w:bCs w:val="1"/>
                <w:color w:val="FFFFFF"/>
              </w:rPr>
              <w:t>Expense</w:t>
            </w:r>
          </w:p>
        </w:tc>
        <w:tc>
          <w:tcPr>
            <w:tcW w:w="580" w:type="dxa"/>
            <w:vAlign w:val="bottom"/>
            <w:tcBorders>
              <w:bottom w:val="single" w:sz="8" w:color="2AD2C9"/>
              <w:right w:val="single" w:sz="8" w:color="auto"/>
            </w:tcBorders>
            <w:shd w:val="clear" w:color="auto" w:fill="2AD2C9"/>
          </w:tcPr>
          <w:p>
            <w:pPr>
              <w:jc w:val="right"/>
              <w:spacing w:after="0"/>
              <w:rPr>
                <w:sz w:val="20"/>
                <w:szCs w:val="20"/>
                <w:color w:val="auto"/>
              </w:rPr>
            </w:pPr>
            <w:r>
              <w:rPr>
                <w:rFonts w:ascii="Calibri" w:cs="Calibri" w:eastAsia="Calibri" w:hAnsi="Calibri"/>
                <w:sz w:val="15"/>
                <w:szCs w:val="15"/>
                <w:b w:val="1"/>
                <w:bCs w:val="1"/>
                <w:color w:val="FFFFFF"/>
              </w:rPr>
              <w:t>Yields</w:t>
            </w:r>
          </w:p>
        </w:tc>
      </w:tr>
      <w:tr>
        <w:trPr>
          <w:trHeight w:val="179"/>
        </w:trPr>
        <w:tc>
          <w:tcPr>
            <w:tcW w:w="25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Deposits</w:t>
            </w:r>
          </w:p>
        </w:tc>
        <w:tc>
          <w:tcPr>
            <w:tcW w:w="1120" w:type="dxa"/>
            <w:vAlign w:val="bottom"/>
          </w:tcPr>
          <w:p>
            <w:pPr>
              <w:jc w:val="right"/>
              <w:spacing w:after="0" w:line="180" w:lineRule="exact"/>
              <w:rPr>
                <w:sz w:val="20"/>
                <w:szCs w:val="20"/>
                <w:color w:val="auto"/>
              </w:rPr>
            </w:pPr>
            <w:r>
              <w:rPr>
                <w:rFonts w:ascii="Calibri" w:cs="Calibri" w:eastAsia="Calibri" w:hAnsi="Calibri"/>
                <w:sz w:val="15"/>
                <w:szCs w:val="15"/>
                <w:color w:val="auto"/>
              </w:rPr>
              <w:t>148,756</w:t>
            </w:r>
          </w:p>
        </w:tc>
        <w:tc>
          <w:tcPr>
            <w:tcW w:w="1180" w:type="dxa"/>
            <w:vAlign w:val="bottom"/>
          </w:tcPr>
          <w:p>
            <w:pPr>
              <w:jc w:val="right"/>
              <w:ind w:right="166"/>
              <w:spacing w:after="0" w:line="180" w:lineRule="exact"/>
              <w:rPr>
                <w:sz w:val="20"/>
                <w:szCs w:val="20"/>
                <w:color w:val="auto"/>
              </w:rPr>
            </w:pPr>
            <w:r>
              <w:rPr>
                <w:rFonts w:ascii="Calibri" w:cs="Calibri" w:eastAsia="Calibri" w:hAnsi="Calibri"/>
                <w:sz w:val="15"/>
                <w:szCs w:val="15"/>
                <w:color w:val="auto"/>
              </w:rPr>
              <w:t>259</w:t>
            </w:r>
          </w:p>
        </w:tc>
        <w:tc>
          <w:tcPr>
            <w:tcW w:w="6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0.7%</w:t>
            </w:r>
          </w:p>
        </w:tc>
        <w:tc>
          <w:tcPr>
            <w:tcW w:w="1180" w:type="dxa"/>
            <w:vAlign w:val="bottom"/>
          </w:tcPr>
          <w:p>
            <w:pPr>
              <w:jc w:val="right"/>
              <w:ind w:right="6"/>
              <w:spacing w:after="0" w:line="180" w:lineRule="exact"/>
              <w:rPr>
                <w:sz w:val="20"/>
                <w:szCs w:val="20"/>
                <w:color w:val="auto"/>
              </w:rPr>
            </w:pPr>
            <w:r>
              <w:rPr>
                <w:rFonts w:ascii="Calibri" w:cs="Calibri" w:eastAsia="Calibri" w:hAnsi="Calibri"/>
                <w:sz w:val="15"/>
                <w:szCs w:val="15"/>
                <w:color w:val="auto"/>
              </w:rPr>
              <w:t>149,489</w:t>
            </w:r>
          </w:p>
        </w:tc>
        <w:tc>
          <w:tcPr>
            <w:tcW w:w="1080" w:type="dxa"/>
            <w:vAlign w:val="bottom"/>
          </w:tcPr>
          <w:p>
            <w:pPr>
              <w:jc w:val="right"/>
              <w:ind w:right="146"/>
              <w:spacing w:after="0" w:line="180" w:lineRule="exact"/>
              <w:rPr>
                <w:sz w:val="20"/>
                <w:szCs w:val="20"/>
                <w:color w:val="auto"/>
              </w:rPr>
            </w:pPr>
            <w:r>
              <w:rPr>
                <w:rFonts w:ascii="Calibri" w:cs="Calibri" w:eastAsia="Calibri" w:hAnsi="Calibri"/>
                <w:sz w:val="15"/>
                <w:szCs w:val="15"/>
                <w:color w:val="auto"/>
              </w:rPr>
              <w:t>582</w:t>
            </w:r>
          </w:p>
        </w:tc>
        <w:tc>
          <w:tcPr>
            <w:tcW w:w="700" w:type="dxa"/>
            <w:vAlign w:val="bottom"/>
            <w:tcBorders>
              <w:right w:val="single" w:sz="8" w:color="auto"/>
            </w:tcBorders>
            <w:gridSpan w:val="2"/>
          </w:tcPr>
          <w:p>
            <w:pPr>
              <w:jc w:val="right"/>
              <w:ind w:right="20"/>
              <w:spacing w:after="0" w:line="180" w:lineRule="exact"/>
              <w:rPr>
                <w:sz w:val="20"/>
                <w:szCs w:val="20"/>
                <w:color w:val="auto"/>
              </w:rPr>
            </w:pPr>
            <w:r>
              <w:rPr>
                <w:rFonts w:ascii="Calibri" w:cs="Calibri" w:eastAsia="Calibri" w:hAnsi="Calibri"/>
                <w:sz w:val="15"/>
                <w:szCs w:val="15"/>
                <w:color w:val="auto"/>
              </w:rPr>
              <w:t>1.6%</w:t>
            </w:r>
          </w:p>
        </w:tc>
        <w:tc>
          <w:tcPr>
            <w:tcW w:w="1160" w:type="dxa"/>
            <w:vAlign w:val="bottom"/>
          </w:tcPr>
          <w:p>
            <w:pPr>
              <w:jc w:val="right"/>
              <w:spacing w:after="0" w:line="180" w:lineRule="exact"/>
              <w:rPr>
                <w:sz w:val="20"/>
                <w:szCs w:val="20"/>
                <w:color w:val="auto"/>
              </w:rPr>
            </w:pPr>
            <w:r>
              <w:rPr>
                <w:rFonts w:ascii="Calibri" w:cs="Calibri" w:eastAsia="Calibri" w:hAnsi="Calibri"/>
                <w:sz w:val="15"/>
                <w:szCs w:val="15"/>
                <w:color w:val="auto"/>
              </w:rPr>
              <w:t>147,822</w:t>
            </w:r>
          </w:p>
        </w:tc>
        <w:tc>
          <w:tcPr>
            <w:tcW w:w="1080" w:type="dxa"/>
            <w:vAlign w:val="bottom"/>
          </w:tcPr>
          <w:p>
            <w:pPr>
              <w:jc w:val="right"/>
              <w:ind w:right="126"/>
              <w:spacing w:after="0" w:line="180" w:lineRule="exact"/>
              <w:rPr>
                <w:sz w:val="20"/>
                <w:szCs w:val="20"/>
                <w:color w:val="auto"/>
              </w:rPr>
            </w:pPr>
            <w:r>
              <w:rPr>
                <w:rFonts w:ascii="Calibri" w:cs="Calibri" w:eastAsia="Calibri" w:hAnsi="Calibri"/>
                <w:sz w:val="15"/>
                <w:szCs w:val="15"/>
                <w:color w:val="auto"/>
              </w:rPr>
              <w:t>677</w:t>
            </w:r>
          </w:p>
        </w:tc>
        <w:tc>
          <w:tcPr>
            <w:tcW w:w="5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1.8%</w:t>
            </w:r>
          </w:p>
        </w:tc>
      </w:tr>
      <w:tr>
        <w:trPr>
          <w:trHeight w:val="197"/>
        </w:trPr>
        <w:tc>
          <w:tcPr>
            <w:tcW w:w="25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BCRP + Due to Banks</w:t>
            </w:r>
          </w:p>
        </w:tc>
        <w:tc>
          <w:tcPr>
            <w:tcW w:w="1120" w:type="dxa"/>
            <w:vAlign w:val="bottom"/>
          </w:tcPr>
          <w:p>
            <w:pPr>
              <w:jc w:val="right"/>
              <w:spacing w:after="0"/>
              <w:rPr>
                <w:sz w:val="20"/>
                <w:szCs w:val="20"/>
                <w:color w:val="auto"/>
              </w:rPr>
            </w:pPr>
            <w:r>
              <w:rPr>
                <w:rFonts w:ascii="Calibri" w:cs="Calibri" w:eastAsia="Calibri" w:hAnsi="Calibri"/>
                <w:sz w:val="15"/>
                <w:szCs w:val="15"/>
                <w:color w:val="auto"/>
              </w:rPr>
              <w:t>25,400</w:t>
            </w:r>
          </w:p>
        </w:tc>
        <w:tc>
          <w:tcPr>
            <w:tcW w:w="1180" w:type="dxa"/>
            <w:vAlign w:val="bottom"/>
          </w:tcPr>
          <w:p>
            <w:pPr>
              <w:jc w:val="right"/>
              <w:ind w:right="166"/>
              <w:spacing w:after="0"/>
              <w:rPr>
                <w:sz w:val="20"/>
                <w:szCs w:val="20"/>
                <w:color w:val="auto"/>
              </w:rPr>
            </w:pPr>
            <w:r>
              <w:rPr>
                <w:rFonts w:ascii="Calibri" w:cs="Calibri" w:eastAsia="Calibri" w:hAnsi="Calibri"/>
                <w:sz w:val="15"/>
                <w:szCs w:val="15"/>
                <w:color w:val="auto"/>
              </w:rPr>
              <w:t>116</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1.8%</w:t>
            </w:r>
          </w:p>
        </w:tc>
        <w:tc>
          <w:tcPr>
            <w:tcW w:w="1180" w:type="dxa"/>
            <w:vAlign w:val="bottom"/>
          </w:tcPr>
          <w:p>
            <w:pPr>
              <w:jc w:val="right"/>
              <w:ind w:right="6"/>
              <w:spacing w:after="0"/>
              <w:rPr>
                <w:sz w:val="20"/>
                <w:szCs w:val="20"/>
                <w:color w:val="auto"/>
              </w:rPr>
            </w:pPr>
            <w:r>
              <w:rPr>
                <w:rFonts w:ascii="Calibri" w:cs="Calibri" w:eastAsia="Calibri" w:hAnsi="Calibri"/>
                <w:sz w:val="15"/>
                <w:szCs w:val="15"/>
                <w:color w:val="auto"/>
              </w:rPr>
              <w:t>21,843</w:t>
            </w:r>
          </w:p>
        </w:tc>
        <w:tc>
          <w:tcPr>
            <w:tcW w:w="1080" w:type="dxa"/>
            <w:vAlign w:val="bottom"/>
          </w:tcPr>
          <w:p>
            <w:pPr>
              <w:jc w:val="right"/>
              <w:ind w:right="146"/>
              <w:spacing w:after="0"/>
              <w:rPr>
                <w:sz w:val="20"/>
                <w:szCs w:val="20"/>
                <w:color w:val="auto"/>
              </w:rPr>
            </w:pPr>
            <w:r>
              <w:rPr>
                <w:rFonts w:ascii="Calibri" w:cs="Calibri" w:eastAsia="Calibri" w:hAnsi="Calibri"/>
                <w:sz w:val="15"/>
                <w:szCs w:val="15"/>
                <w:color w:val="auto"/>
              </w:rPr>
              <w:t>240</w:t>
            </w:r>
          </w:p>
        </w:tc>
        <w:tc>
          <w:tcPr>
            <w:tcW w:w="700" w:type="dxa"/>
            <w:vAlign w:val="bottom"/>
            <w:tcBorders>
              <w:right w:val="single" w:sz="8" w:color="auto"/>
            </w:tcBorders>
            <w:gridSpan w:val="2"/>
          </w:tcPr>
          <w:p>
            <w:pPr>
              <w:jc w:val="right"/>
              <w:ind w:right="20"/>
              <w:spacing w:after="0"/>
              <w:rPr>
                <w:sz w:val="20"/>
                <w:szCs w:val="20"/>
                <w:color w:val="auto"/>
              </w:rPr>
            </w:pPr>
            <w:r>
              <w:rPr>
                <w:rFonts w:ascii="Calibri" w:cs="Calibri" w:eastAsia="Calibri" w:hAnsi="Calibri"/>
                <w:sz w:val="15"/>
                <w:szCs w:val="15"/>
                <w:color w:val="auto"/>
              </w:rPr>
              <w:t>4.4%</w:t>
            </w:r>
          </w:p>
        </w:tc>
        <w:tc>
          <w:tcPr>
            <w:tcW w:w="1160" w:type="dxa"/>
            <w:vAlign w:val="bottom"/>
          </w:tcPr>
          <w:p>
            <w:pPr>
              <w:jc w:val="right"/>
              <w:spacing w:after="0"/>
              <w:rPr>
                <w:sz w:val="20"/>
                <w:szCs w:val="20"/>
                <w:color w:val="auto"/>
              </w:rPr>
            </w:pPr>
            <w:r>
              <w:rPr>
                <w:rFonts w:ascii="Calibri" w:cs="Calibri" w:eastAsia="Calibri" w:hAnsi="Calibri"/>
                <w:sz w:val="15"/>
                <w:szCs w:val="15"/>
                <w:color w:val="auto"/>
              </w:rPr>
              <w:t>20,108</w:t>
            </w:r>
          </w:p>
        </w:tc>
        <w:tc>
          <w:tcPr>
            <w:tcW w:w="1080" w:type="dxa"/>
            <w:vAlign w:val="bottom"/>
          </w:tcPr>
          <w:p>
            <w:pPr>
              <w:jc w:val="right"/>
              <w:ind w:right="126"/>
              <w:spacing w:after="0"/>
              <w:rPr>
                <w:sz w:val="20"/>
                <w:szCs w:val="20"/>
                <w:color w:val="auto"/>
              </w:rPr>
            </w:pPr>
            <w:r>
              <w:rPr>
                <w:rFonts w:ascii="Calibri" w:cs="Calibri" w:eastAsia="Calibri" w:hAnsi="Calibri"/>
                <w:sz w:val="15"/>
                <w:szCs w:val="15"/>
                <w:color w:val="auto"/>
              </w:rPr>
              <w:t>239</w:t>
            </w:r>
          </w:p>
        </w:tc>
        <w:tc>
          <w:tcPr>
            <w:tcW w:w="5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4.8%</w:t>
            </w:r>
          </w:p>
        </w:tc>
      </w:tr>
      <w:tr>
        <w:trPr>
          <w:trHeight w:val="204"/>
        </w:trPr>
        <w:tc>
          <w:tcPr>
            <w:tcW w:w="25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Bonds and Notes</w:t>
            </w:r>
          </w:p>
        </w:tc>
        <w:tc>
          <w:tcPr>
            <w:tcW w:w="1120" w:type="dxa"/>
            <w:vAlign w:val="bottom"/>
          </w:tcPr>
          <w:p>
            <w:pPr>
              <w:jc w:val="right"/>
              <w:spacing w:after="0"/>
              <w:rPr>
                <w:sz w:val="20"/>
                <w:szCs w:val="20"/>
                <w:color w:val="auto"/>
              </w:rPr>
            </w:pPr>
            <w:r>
              <w:rPr>
                <w:rFonts w:ascii="Calibri" w:cs="Calibri" w:eastAsia="Calibri" w:hAnsi="Calibri"/>
                <w:sz w:val="15"/>
                <w:szCs w:val="15"/>
                <w:color w:val="auto"/>
              </w:rPr>
              <w:t>16,934</w:t>
            </w:r>
          </w:p>
        </w:tc>
        <w:tc>
          <w:tcPr>
            <w:tcW w:w="1180" w:type="dxa"/>
            <w:vAlign w:val="bottom"/>
          </w:tcPr>
          <w:p>
            <w:pPr>
              <w:jc w:val="right"/>
              <w:ind w:right="166"/>
              <w:spacing w:after="0"/>
              <w:rPr>
                <w:sz w:val="20"/>
                <w:szCs w:val="20"/>
                <w:color w:val="auto"/>
              </w:rPr>
            </w:pPr>
            <w:r>
              <w:rPr>
                <w:rFonts w:ascii="Calibri" w:cs="Calibri" w:eastAsia="Calibri" w:hAnsi="Calibri"/>
                <w:sz w:val="15"/>
                <w:szCs w:val="15"/>
                <w:color w:val="auto"/>
              </w:rPr>
              <w:t>174</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4.1%</w:t>
            </w:r>
          </w:p>
        </w:tc>
        <w:tc>
          <w:tcPr>
            <w:tcW w:w="1180" w:type="dxa"/>
            <w:vAlign w:val="bottom"/>
          </w:tcPr>
          <w:p>
            <w:pPr>
              <w:jc w:val="right"/>
              <w:ind w:right="6"/>
              <w:spacing w:after="0"/>
              <w:rPr>
                <w:sz w:val="20"/>
                <w:szCs w:val="20"/>
                <w:color w:val="auto"/>
              </w:rPr>
            </w:pPr>
            <w:r>
              <w:rPr>
                <w:rFonts w:ascii="Calibri" w:cs="Calibri" w:eastAsia="Calibri" w:hAnsi="Calibri"/>
                <w:sz w:val="15"/>
                <w:szCs w:val="15"/>
                <w:color w:val="auto"/>
              </w:rPr>
              <w:t>17,430</w:t>
            </w:r>
          </w:p>
        </w:tc>
        <w:tc>
          <w:tcPr>
            <w:tcW w:w="1080" w:type="dxa"/>
            <w:vAlign w:val="bottom"/>
          </w:tcPr>
          <w:p>
            <w:pPr>
              <w:jc w:val="right"/>
              <w:ind w:right="146"/>
              <w:spacing w:after="0"/>
              <w:rPr>
                <w:sz w:val="20"/>
                <w:szCs w:val="20"/>
                <w:color w:val="auto"/>
              </w:rPr>
            </w:pPr>
            <w:r>
              <w:rPr>
                <w:rFonts w:ascii="Calibri" w:cs="Calibri" w:eastAsia="Calibri" w:hAnsi="Calibri"/>
                <w:sz w:val="15"/>
                <w:szCs w:val="15"/>
                <w:color w:val="auto"/>
              </w:rPr>
              <w:t>189</w:t>
            </w:r>
          </w:p>
        </w:tc>
        <w:tc>
          <w:tcPr>
            <w:tcW w:w="700" w:type="dxa"/>
            <w:vAlign w:val="bottom"/>
            <w:tcBorders>
              <w:right w:val="single" w:sz="8" w:color="auto"/>
            </w:tcBorders>
            <w:gridSpan w:val="2"/>
          </w:tcPr>
          <w:p>
            <w:pPr>
              <w:jc w:val="right"/>
              <w:ind w:right="20"/>
              <w:spacing w:after="0"/>
              <w:rPr>
                <w:sz w:val="20"/>
                <w:szCs w:val="20"/>
                <w:color w:val="auto"/>
              </w:rPr>
            </w:pPr>
            <w:r>
              <w:rPr>
                <w:rFonts w:ascii="Calibri" w:cs="Calibri" w:eastAsia="Calibri" w:hAnsi="Calibri"/>
                <w:sz w:val="15"/>
                <w:szCs w:val="15"/>
                <w:color w:val="auto"/>
              </w:rPr>
              <w:t>4.3%</w:t>
            </w:r>
          </w:p>
        </w:tc>
        <w:tc>
          <w:tcPr>
            <w:tcW w:w="1160" w:type="dxa"/>
            <w:vAlign w:val="bottom"/>
          </w:tcPr>
          <w:p>
            <w:pPr>
              <w:jc w:val="right"/>
              <w:spacing w:after="0"/>
              <w:rPr>
                <w:sz w:val="20"/>
                <w:szCs w:val="20"/>
                <w:color w:val="auto"/>
              </w:rPr>
            </w:pPr>
            <w:r>
              <w:rPr>
                <w:rFonts w:ascii="Calibri" w:cs="Calibri" w:eastAsia="Calibri" w:hAnsi="Calibri"/>
                <w:sz w:val="15"/>
                <w:szCs w:val="15"/>
                <w:color w:val="auto"/>
              </w:rPr>
              <w:t>15,660</w:t>
            </w:r>
          </w:p>
        </w:tc>
        <w:tc>
          <w:tcPr>
            <w:tcW w:w="1080" w:type="dxa"/>
            <w:vAlign w:val="bottom"/>
          </w:tcPr>
          <w:p>
            <w:pPr>
              <w:jc w:val="right"/>
              <w:ind w:right="126"/>
              <w:spacing w:after="0"/>
              <w:rPr>
                <w:sz w:val="20"/>
                <w:szCs w:val="20"/>
                <w:color w:val="auto"/>
              </w:rPr>
            </w:pPr>
            <w:r>
              <w:rPr>
                <w:rFonts w:ascii="Calibri" w:cs="Calibri" w:eastAsia="Calibri" w:hAnsi="Calibri"/>
                <w:sz w:val="15"/>
                <w:szCs w:val="15"/>
                <w:color w:val="auto"/>
              </w:rPr>
              <w:t>183</w:t>
            </w:r>
          </w:p>
        </w:tc>
        <w:tc>
          <w:tcPr>
            <w:tcW w:w="5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4.7%</w:t>
            </w:r>
          </w:p>
        </w:tc>
      </w:tr>
      <w:tr>
        <w:trPr>
          <w:trHeight w:val="204"/>
        </w:trPr>
        <w:tc>
          <w:tcPr>
            <w:tcW w:w="25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Others</w:t>
            </w:r>
          </w:p>
        </w:tc>
        <w:tc>
          <w:tcPr>
            <w:tcW w:w="1120" w:type="dxa"/>
            <w:vAlign w:val="bottom"/>
          </w:tcPr>
          <w:p>
            <w:pPr>
              <w:jc w:val="right"/>
              <w:spacing w:after="0"/>
              <w:rPr>
                <w:sz w:val="20"/>
                <w:szCs w:val="20"/>
                <w:color w:val="auto"/>
              </w:rPr>
            </w:pPr>
            <w:r>
              <w:rPr>
                <w:rFonts w:ascii="Calibri" w:cs="Calibri" w:eastAsia="Calibri" w:hAnsi="Calibri"/>
                <w:sz w:val="15"/>
                <w:szCs w:val="15"/>
                <w:color w:val="auto"/>
              </w:rPr>
              <w:t>1,257</w:t>
            </w:r>
          </w:p>
        </w:tc>
        <w:tc>
          <w:tcPr>
            <w:tcW w:w="1180" w:type="dxa"/>
            <w:vAlign w:val="bottom"/>
          </w:tcPr>
          <w:p>
            <w:pPr>
              <w:jc w:val="right"/>
              <w:ind w:right="166"/>
              <w:spacing w:after="0"/>
              <w:rPr>
                <w:sz w:val="20"/>
                <w:szCs w:val="20"/>
                <w:color w:val="auto"/>
              </w:rPr>
            </w:pPr>
            <w:r>
              <w:rPr>
                <w:rFonts w:ascii="Calibri" w:cs="Calibri" w:eastAsia="Calibri" w:hAnsi="Calibri"/>
                <w:sz w:val="15"/>
                <w:szCs w:val="15"/>
                <w:color w:val="auto"/>
              </w:rPr>
              <w:t>90</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28.6%</w:t>
            </w:r>
          </w:p>
        </w:tc>
        <w:tc>
          <w:tcPr>
            <w:tcW w:w="1180" w:type="dxa"/>
            <w:vAlign w:val="bottom"/>
          </w:tcPr>
          <w:p>
            <w:pPr>
              <w:jc w:val="right"/>
              <w:ind w:right="6"/>
              <w:spacing w:after="0"/>
              <w:rPr>
                <w:sz w:val="20"/>
                <w:szCs w:val="20"/>
                <w:color w:val="auto"/>
              </w:rPr>
            </w:pPr>
            <w:r>
              <w:rPr>
                <w:rFonts w:ascii="Calibri" w:cs="Calibri" w:eastAsia="Calibri" w:hAnsi="Calibri"/>
                <w:sz w:val="15"/>
                <w:szCs w:val="15"/>
                <w:color w:val="auto"/>
              </w:rPr>
              <w:t>1,079</w:t>
            </w:r>
          </w:p>
        </w:tc>
        <w:tc>
          <w:tcPr>
            <w:tcW w:w="1080" w:type="dxa"/>
            <w:vAlign w:val="bottom"/>
          </w:tcPr>
          <w:p>
            <w:pPr>
              <w:jc w:val="right"/>
              <w:ind w:right="146"/>
              <w:spacing w:after="0"/>
              <w:rPr>
                <w:sz w:val="20"/>
                <w:szCs w:val="20"/>
                <w:color w:val="auto"/>
              </w:rPr>
            </w:pPr>
            <w:r>
              <w:rPr>
                <w:rFonts w:ascii="Calibri" w:cs="Calibri" w:eastAsia="Calibri" w:hAnsi="Calibri"/>
                <w:sz w:val="15"/>
                <w:szCs w:val="15"/>
                <w:color w:val="auto"/>
              </w:rPr>
              <w:t>108</w:t>
            </w:r>
          </w:p>
        </w:tc>
        <w:tc>
          <w:tcPr>
            <w:tcW w:w="700" w:type="dxa"/>
            <w:vAlign w:val="bottom"/>
            <w:tcBorders>
              <w:right w:val="single" w:sz="8" w:color="auto"/>
            </w:tcBorders>
            <w:gridSpan w:val="2"/>
          </w:tcPr>
          <w:p>
            <w:pPr>
              <w:jc w:val="right"/>
              <w:ind w:right="20"/>
              <w:spacing w:after="0"/>
              <w:rPr>
                <w:sz w:val="20"/>
                <w:szCs w:val="20"/>
                <w:color w:val="auto"/>
              </w:rPr>
            </w:pPr>
            <w:r>
              <w:rPr>
                <w:rFonts w:ascii="Calibri" w:cs="Calibri" w:eastAsia="Calibri" w:hAnsi="Calibri"/>
                <w:sz w:val="15"/>
                <w:szCs w:val="15"/>
                <w:color w:val="auto"/>
              </w:rPr>
              <w:t>40.1%</w:t>
            </w:r>
          </w:p>
        </w:tc>
        <w:tc>
          <w:tcPr>
            <w:tcW w:w="1160" w:type="dxa"/>
            <w:vAlign w:val="bottom"/>
          </w:tcPr>
          <w:p>
            <w:pPr>
              <w:jc w:val="right"/>
              <w:spacing w:after="0"/>
              <w:rPr>
                <w:sz w:val="20"/>
                <w:szCs w:val="20"/>
                <w:color w:val="auto"/>
              </w:rPr>
            </w:pPr>
            <w:r>
              <w:rPr>
                <w:rFonts w:ascii="Calibri" w:cs="Calibri" w:eastAsia="Calibri" w:hAnsi="Calibri"/>
                <w:sz w:val="15"/>
                <w:szCs w:val="15"/>
                <w:color w:val="auto"/>
              </w:rPr>
              <w:t>1,091</w:t>
            </w:r>
          </w:p>
        </w:tc>
        <w:tc>
          <w:tcPr>
            <w:tcW w:w="1080" w:type="dxa"/>
            <w:vAlign w:val="bottom"/>
          </w:tcPr>
          <w:p>
            <w:pPr>
              <w:jc w:val="right"/>
              <w:ind w:right="126"/>
              <w:spacing w:after="0"/>
              <w:rPr>
                <w:sz w:val="20"/>
                <w:szCs w:val="20"/>
                <w:color w:val="auto"/>
              </w:rPr>
            </w:pPr>
            <w:r>
              <w:rPr>
                <w:rFonts w:ascii="Calibri" w:cs="Calibri" w:eastAsia="Calibri" w:hAnsi="Calibri"/>
                <w:sz w:val="15"/>
                <w:szCs w:val="15"/>
                <w:color w:val="auto"/>
              </w:rPr>
              <w:t>109</w:t>
            </w:r>
          </w:p>
        </w:tc>
        <w:tc>
          <w:tcPr>
            <w:tcW w:w="5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40.1%</w:t>
            </w:r>
          </w:p>
        </w:tc>
      </w:tr>
      <w:tr>
        <w:trPr>
          <w:trHeight w:val="35"/>
        </w:trPr>
        <w:tc>
          <w:tcPr>
            <w:tcW w:w="2500" w:type="dxa"/>
            <w:vAlign w:val="bottom"/>
            <w:tcBorders>
              <w:left w:val="single" w:sz="8" w:color="auto"/>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r>
      <w:tr>
        <w:trPr>
          <w:trHeight w:val="179"/>
        </w:trPr>
        <w:tc>
          <w:tcPr>
            <w:tcW w:w="25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Total Funding</w:t>
            </w:r>
          </w:p>
        </w:tc>
        <w:tc>
          <w:tcPr>
            <w:tcW w:w="1120" w:type="dxa"/>
            <w:vAlign w:val="bottom"/>
          </w:tcPr>
          <w:p>
            <w:pPr>
              <w:jc w:val="right"/>
              <w:spacing w:after="0" w:line="180" w:lineRule="exact"/>
              <w:rPr>
                <w:sz w:val="20"/>
                <w:szCs w:val="20"/>
                <w:color w:val="auto"/>
              </w:rPr>
            </w:pPr>
            <w:r>
              <w:rPr>
                <w:rFonts w:ascii="Calibri" w:cs="Calibri" w:eastAsia="Calibri" w:hAnsi="Calibri"/>
                <w:sz w:val="15"/>
                <w:szCs w:val="15"/>
                <w:b w:val="1"/>
                <w:bCs w:val="1"/>
                <w:color w:val="auto"/>
              </w:rPr>
              <w:t>193,180</w:t>
            </w:r>
          </w:p>
        </w:tc>
        <w:tc>
          <w:tcPr>
            <w:tcW w:w="1180" w:type="dxa"/>
            <w:vAlign w:val="bottom"/>
          </w:tcPr>
          <w:p>
            <w:pPr>
              <w:jc w:val="right"/>
              <w:ind w:right="166"/>
              <w:spacing w:after="0" w:line="180" w:lineRule="exact"/>
              <w:rPr>
                <w:sz w:val="20"/>
                <w:szCs w:val="20"/>
                <w:color w:val="auto"/>
              </w:rPr>
            </w:pPr>
            <w:r>
              <w:rPr>
                <w:rFonts w:ascii="Calibri" w:cs="Calibri" w:eastAsia="Calibri" w:hAnsi="Calibri"/>
                <w:sz w:val="15"/>
                <w:szCs w:val="15"/>
                <w:b w:val="1"/>
                <w:bCs w:val="1"/>
                <w:color w:val="auto"/>
              </w:rPr>
              <w:t>639</w:t>
            </w:r>
          </w:p>
        </w:tc>
        <w:tc>
          <w:tcPr>
            <w:tcW w:w="6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1.3%</w:t>
            </w:r>
          </w:p>
        </w:tc>
        <w:tc>
          <w:tcPr>
            <w:tcW w:w="1180" w:type="dxa"/>
            <w:vAlign w:val="bottom"/>
          </w:tcPr>
          <w:p>
            <w:pPr>
              <w:jc w:val="right"/>
              <w:ind w:right="6"/>
              <w:spacing w:after="0" w:line="180" w:lineRule="exact"/>
              <w:rPr>
                <w:sz w:val="20"/>
                <w:szCs w:val="20"/>
                <w:color w:val="auto"/>
              </w:rPr>
            </w:pPr>
            <w:r>
              <w:rPr>
                <w:rFonts w:ascii="Calibri" w:cs="Calibri" w:eastAsia="Calibri" w:hAnsi="Calibri"/>
                <w:sz w:val="15"/>
                <w:szCs w:val="15"/>
                <w:b w:val="1"/>
                <w:bCs w:val="1"/>
                <w:color w:val="auto"/>
              </w:rPr>
              <w:t>190,661</w:t>
            </w:r>
          </w:p>
        </w:tc>
        <w:tc>
          <w:tcPr>
            <w:tcW w:w="1080" w:type="dxa"/>
            <w:vAlign w:val="bottom"/>
          </w:tcPr>
          <w:p>
            <w:pPr>
              <w:jc w:val="right"/>
              <w:ind w:right="146"/>
              <w:spacing w:after="0" w:line="180" w:lineRule="exact"/>
              <w:rPr>
                <w:sz w:val="20"/>
                <w:szCs w:val="20"/>
                <w:color w:val="auto"/>
              </w:rPr>
            </w:pPr>
            <w:r>
              <w:rPr>
                <w:rFonts w:ascii="Calibri" w:cs="Calibri" w:eastAsia="Calibri" w:hAnsi="Calibri"/>
                <w:sz w:val="15"/>
                <w:szCs w:val="15"/>
                <w:b w:val="1"/>
                <w:bCs w:val="1"/>
                <w:color w:val="auto"/>
              </w:rPr>
              <w:t>1,119</w:t>
            </w:r>
          </w:p>
        </w:tc>
        <w:tc>
          <w:tcPr>
            <w:tcW w:w="700" w:type="dxa"/>
            <w:vAlign w:val="bottom"/>
            <w:tcBorders>
              <w:right w:val="single" w:sz="8" w:color="auto"/>
            </w:tcBorders>
            <w:gridSpan w:val="2"/>
          </w:tcPr>
          <w:p>
            <w:pPr>
              <w:jc w:val="right"/>
              <w:ind w:right="20"/>
              <w:spacing w:after="0" w:line="180" w:lineRule="exact"/>
              <w:rPr>
                <w:sz w:val="20"/>
                <w:szCs w:val="20"/>
                <w:color w:val="auto"/>
              </w:rPr>
            </w:pPr>
            <w:r>
              <w:rPr>
                <w:rFonts w:ascii="Calibri" w:cs="Calibri" w:eastAsia="Calibri" w:hAnsi="Calibri"/>
                <w:sz w:val="15"/>
                <w:szCs w:val="15"/>
                <w:b w:val="1"/>
                <w:bCs w:val="1"/>
                <w:color w:val="auto"/>
              </w:rPr>
              <w:t>2.3%</w:t>
            </w:r>
          </w:p>
        </w:tc>
        <w:tc>
          <w:tcPr>
            <w:tcW w:w="1160" w:type="dxa"/>
            <w:vAlign w:val="bottom"/>
          </w:tcPr>
          <w:p>
            <w:pPr>
              <w:jc w:val="right"/>
              <w:spacing w:after="0" w:line="180" w:lineRule="exact"/>
              <w:rPr>
                <w:sz w:val="20"/>
                <w:szCs w:val="20"/>
                <w:color w:val="auto"/>
              </w:rPr>
            </w:pPr>
            <w:r>
              <w:rPr>
                <w:rFonts w:ascii="Calibri" w:cs="Calibri" w:eastAsia="Calibri" w:hAnsi="Calibri"/>
                <w:sz w:val="15"/>
                <w:szCs w:val="15"/>
                <w:b w:val="1"/>
                <w:bCs w:val="1"/>
                <w:color w:val="auto"/>
              </w:rPr>
              <w:t>185,377</w:t>
            </w:r>
          </w:p>
        </w:tc>
        <w:tc>
          <w:tcPr>
            <w:tcW w:w="1080" w:type="dxa"/>
            <w:vAlign w:val="bottom"/>
          </w:tcPr>
          <w:p>
            <w:pPr>
              <w:jc w:val="right"/>
              <w:ind w:right="126"/>
              <w:spacing w:after="0" w:line="180" w:lineRule="exact"/>
              <w:rPr>
                <w:sz w:val="20"/>
                <w:szCs w:val="20"/>
                <w:color w:val="auto"/>
              </w:rPr>
            </w:pPr>
            <w:r>
              <w:rPr>
                <w:rFonts w:ascii="Calibri" w:cs="Calibri" w:eastAsia="Calibri" w:hAnsi="Calibri"/>
                <w:sz w:val="15"/>
                <w:szCs w:val="15"/>
                <w:b w:val="1"/>
                <w:bCs w:val="1"/>
                <w:color w:val="auto"/>
              </w:rPr>
              <w:t>1,208</w:t>
            </w:r>
          </w:p>
        </w:tc>
        <w:tc>
          <w:tcPr>
            <w:tcW w:w="5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2.6%</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r>
        <w:trPr>
          <w:trHeight w:val="179"/>
        </w:trPr>
        <w:tc>
          <w:tcPr>
            <w:tcW w:w="25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Funding (LC)</w:t>
            </w:r>
          </w:p>
        </w:tc>
        <w:tc>
          <w:tcPr>
            <w:tcW w:w="1120" w:type="dxa"/>
            <w:vAlign w:val="bottom"/>
          </w:tcPr>
          <w:p>
            <w:pPr>
              <w:jc w:val="right"/>
              <w:spacing w:after="0" w:line="180" w:lineRule="exact"/>
              <w:rPr>
                <w:sz w:val="20"/>
                <w:szCs w:val="20"/>
                <w:color w:val="auto"/>
              </w:rPr>
            </w:pPr>
            <w:r>
              <w:rPr>
                <w:rFonts w:ascii="Calibri" w:cs="Calibri" w:eastAsia="Calibri" w:hAnsi="Calibri"/>
                <w:sz w:val="15"/>
                <w:szCs w:val="15"/>
                <w:color w:val="auto"/>
              </w:rPr>
              <w:t>51.2%</w:t>
            </w:r>
          </w:p>
        </w:tc>
        <w:tc>
          <w:tcPr>
            <w:tcW w:w="1180" w:type="dxa"/>
            <w:vAlign w:val="bottom"/>
          </w:tcPr>
          <w:p>
            <w:pPr>
              <w:jc w:val="right"/>
              <w:ind w:right="166"/>
              <w:spacing w:after="0" w:line="180" w:lineRule="exact"/>
              <w:rPr>
                <w:sz w:val="20"/>
                <w:szCs w:val="20"/>
                <w:color w:val="auto"/>
              </w:rPr>
            </w:pPr>
            <w:r>
              <w:rPr>
                <w:rFonts w:ascii="Calibri" w:cs="Calibri" w:eastAsia="Calibri" w:hAnsi="Calibri"/>
                <w:sz w:val="15"/>
                <w:szCs w:val="15"/>
                <w:color w:val="auto"/>
              </w:rPr>
              <w:t>53.6%</w:t>
            </w:r>
          </w:p>
        </w:tc>
        <w:tc>
          <w:tcPr>
            <w:tcW w:w="6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1.4%</w:t>
            </w:r>
          </w:p>
        </w:tc>
        <w:tc>
          <w:tcPr>
            <w:tcW w:w="1180" w:type="dxa"/>
            <w:vAlign w:val="bottom"/>
          </w:tcPr>
          <w:p>
            <w:pPr>
              <w:jc w:val="right"/>
              <w:ind w:right="6"/>
              <w:spacing w:after="0" w:line="180" w:lineRule="exact"/>
              <w:rPr>
                <w:sz w:val="20"/>
                <w:szCs w:val="20"/>
                <w:color w:val="auto"/>
              </w:rPr>
            </w:pPr>
            <w:r>
              <w:rPr>
                <w:rFonts w:ascii="Calibri" w:cs="Calibri" w:eastAsia="Calibri" w:hAnsi="Calibri"/>
                <w:sz w:val="15"/>
                <w:szCs w:val="15"/>
                <w:color w:val="auto"/>
              </w:rPr>
              <w:t>50.8%</w:t>
            </w:r>
          </w:p>
        </w:tc>
        <w:tc>
          <w:tcPr>
            <w:tcW w:w="1080" w:type="dxa"/>
            <w:vAlign w:val="bottom"/>
          </w:tcPr>
          <w:p>
            <w:pPr>
              <w:jc w:val="right"/>
              <w:ind w:right="146"/>
              <w:spacing w:after="0" w:line="180" w:lineRule="exact"/>
              <w:rPr>
                <w:sz w:val="20"/>
                <w:szCs w:val="20"/>
                <w:color w:val="auto"/>
              </w:rPr>
            </w:pPr>
            <w:r>
              <w:rPr>
                <w:rFonts w:ascii="Calibri" w:cs="Calibri" w:eastAsia="Calibri" w:hAnsi="Calibri"/>
                <w:sz w:val="15"/>
                <w:szCs w:val="15"/>
                <w:color w:val="auto"/>
              </w:rPr>
              <w:t>59.0%</w:t>
            </w:r>
          </w:p>
        </w:tc>
        <w:tc>
          <w:tcPr>
            <w:tcW w:w="700" w:type="dxa"/>
            <w:vAlign w:val="bottom"/>
            <w:tcBorders>
              <w:right w:val="single" w:sz="8" w:color="auto"/>
            </w:tcBorders>
            <w:gridSpan w:val="2"/>
          </w:tcPr>
          <w:p>
            <w:pPr>
              <w:jc w:val="right"/>
              <w:ind w:right="20"/>
              <w:spacing w:after="0" w:line="180" w:lineRule="exact"/>
              <w:rPr>
                <w:sz w:val="20"/>
                <w:szCs w:val="20"/>
                <w:color w:val="auto"/>
              </w:rPr>
            </w:pPr>
            <w:r>
              <w:rPr>
                <w:rFonts w:ascii="Calibri" w:cs="Calibri" w:eastAsia="Calibri" w:hAnsi="Calibri"/>
                <w:sz w:val="15"/>
                <w:szCs w:val="15"/>
                <w:color w:val="auto"/>
              </w:rPr>
              <w:t>2.7%</w:t>
            </w:r>
          </w:p>
        </w:tc>
        <w:tc>
          <w:tcPr>
            <w:tcW w:w="1160" w:type="dxa"/>
            <w:vAlign w:val="bottom"/>
          </w:tcPr>
          <w:p>
            <w:pPr>
              <w:jc w:val="right"/>
              <w:spacing w:after="0" w:line="180" w:lineRule="exact"/>
              <w:rPr>
                <w:sz w:val="20"/>
                <w:szCs w:val="20"/>
                <w:color w:val="auto"/>
              </w:rPr>
            </w:pPr>
            <w:r>
              <w:rPr>
                <w:rFonts w:ascii="Calibri" w:cs="Calibri" w:eastAsia="Calibri" w:hAnsi="Calibri"/>
                <w:sz w:val="15"/>
                <w:szCs w:val="15"/>
                <w:color w:val="auto"/>
              </w:rPr>
              <w:t>50.5%</w:t>
            </w:r>
          </w:p>
        </w:tc>
        <w:tc>
          <w:tcPr>
            <w:tcW w:w="1080" w:type="dxa"/>
            <w:vAlign w:val="bottom"/>
          </w:tcPr>
          <w:p>
            <w:pPr>
              <w:jc w:val="right"/>
              <w:ind w:right="126"/>
              <w:spacing w:after="0" w:line="180" w:lineRule="exact"/>
              <w:rPr>
                <w:sz w:val="20"/>
                <w:szCs w:val="20"/>
                <w:color w:val="auto"/>
              </w:rPr>
            </w:pPr>
            <w:r>
              <w:rPr>
                <w:rFonts w:ascii="Calibri" w:cs="Calibri" w:eastAsia="Calibri" w:hAnsi="Calibri"/>
                <w:sz w:val="15"/>
                <w:szCs w:val="15"/>
                <w:color w:val="auto"/>
              </w:rPr>
              <w:t>55.7%</w:t>
            </w:r>
          </w:p>
        </w:tc>
        <w:tc>
          <w:tcPr>
            <w:tcW w:w="5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2.9%</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r>
        <w:trPr>
          <w:trHeight w:val="179"/>
        </w:trPr>
        <w:tc>
          <w:tcPr>
            <w:tcW w:w="25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Funding (FC)</w:t>
            </w:r>
          </w:p>
        </w:tc>
        <w:tc>
          <w:tcPr>
            <w:tcW w:w="1120" w:type="dxa"/>
            <w:vAlign w:val="bottom"/>
          </w:tcPr>
          <w:p>
            <w:pPr>
              <w:jc w:val="right"/>
              <w:spacing w:after="0" w:line="180" w:lineRule="exact"/>
              <w:rPr>
                <w:sz w:val="20"/>
                <w:szCs w:val="20"/>
                <w:color w:val="auto"/>
              </w:rPr>
            </w:pPr>
            <w:r>
              <w:rPr>
                <w:rFonts w:ascii="Calibri" w:cs="Calibri" w:eastAsia="Calibri" w:hAnsi="Calibri"/>
                <w:sz w:val="15"/>
                <w:szCs w:val="15"/>
                <w:color w:val="auto"/>
              </w:rPr>
              <w:t>48.8%</w:t>
            </w:r>
          </w:p>
        </w:tc>
        <w:tc>
          <w:tcPr>
            <w:tcW w:w="1180" w:type="dxa"/>
            <w:vAlign w:val="bottom"/>
          </w:tcPr>
          <w:p>
            <w:pPr>
              <w:jc w:val="right"/>
              <w:ind w:right="166"/>
              <w:spacing w:after="0" w:line="180" w:lineRule="exact"/>
              <w:rPr>
                <w:sz w:val="20"/>
                <w:szCs w:val="20"/>
                <w:color w:val="auto"/>
              </w:rPr>
            </w:pPr>
            <w:r>
              <w:rPr>
                <w:rFonts w:ascii="Calibri" w:cs="Calibri" w:eastAsia="Calibri" w:hAnsi="Calibri"/>
                <w:sz w:val="15"/>
                <w:szCs w:val="15"/>
                <w:color w:val="auto"/>
              </w:rPr>
              <w:t>46.4%</w:t>
            </w:r>
          </w:p>
        </w:tc>
        <w:tc>
          <w:tcPr>
            <w:tcW w:w="6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1.3%</w:t>
            </w:r>
          </w:p>
        </w:tc>
        <w:tc>
          <w:tcPr>
            <w:tcW w:w="1180" w:type="dxa"/>
            <w:vAlign w:val="bottom"/>
          </w:tcPr>
          <w:p>
            <w:pPr>
              <w:jc w:val="right"/>
              <w:ind w:right="6"/>
              <w:spacing w:after="0" w:line="180" w:lineRule="exact"/>
              <w:rPr>
                <w:sz w:val="20"/>
                <w:szCs w:val="20"/>
                <w:color w:val="auto"/>
              </w:rPr>
            </w:pPr>
            <w:r>
              <w:rPr>
                <w:rFonts w:ascii="Calibri" w:cs="Calibri" w:eastAsia="Calibri" w:hAnsi="Calibri"/>
                <w:sz w:val="15"/>
                <w:szCs w:val="15"/>
                <w:color w:val="auto"/>
              </w:rPr>
              <w:t>49.2%</w:t>
            </w:r>
          </w:p>
        </w:tc>
        <w:tc>
          <w:tcPr>
            <w:tcW w:w="1080" w:type="dxa"/>
            <w:vAlign w:val="bottom"/>
          </w:tcPr>
          <w:p>
            <w:pPr>
              <w:jc w:val="right"/>
              <w:ind w:right="146"/>
              <w:spacing w:after="0" w:line="180" w:lineRule="exact"/>
              <w:rPr>
                <w:sz w:val="20"/>
                <w:szCs w:val="20"/>
                <w:color w:val="auto"/>
              </w:rPr>
            </w:pPr>
            <w:r>
              <w:rPr>
                <w:rFonts w:ascii="Calibri" w:cs="Calibri" w:eastAsia="Calibri" w:hAnsi="Calibri"/>
                <w:sz w:val="15"/>
                <w:szCs w:val="15"/>
                <w:color w:val="auto"/>
              </w:rPr>
              <w:t>41.0%</w:t>
            </w:r>
          </w:p>
        </w:tc>
        <w:tc>
          <w:tcPr>
            <w:tcW w:w="700" w:type="dxa"/>
            <w:vAlign w:val="bottom"/>
            <w:tcBorders>
              <w:right w:val="single" w:sz="8" w:color="auto"/>
            </w:tcBorders>
            <w:gridSpan w:val="2"/>
          </w:tcPr>
          <w:p>
            <w:pPr>
              <w:jc w:val="right"/>
              <w:ind w:right="20"/>
              <w:spacing w:after="0" w:line="180" w:lineRule="exact"/>
              <w:rPr>
                <w:sz w:val="20"/>
                <w:szCs w:val="20"/>
                <w:color w:val="auto"/>
              </w:rPr>
            </w:pPr>
            <w:r>
              <w:rPr>
                <w:rFonts w:ascii="Calibri" w:cs="Calibri" w:eastAsia="Calibri" w:hAnsi="Calibri"/>
                <w:sz w:val="15"/>
                <w:szCs w:val="15"/>
                <w:color w:val="auto"/>
              </w:rPr>
              <w:t>2.0%</w:t>
            </w:r>
          </w:p>
        </w:tc>
        <w:tc>
          <w:tcPr>
            <w:tcW w:w="1160" w:type="dxa"/>
            <w:vAlign w:val="bottom"/>
          </w:tcPr>
          <w:p>
            <w:pPr>
              <w:jc w:val="right"/>
              <w:spacing w:after="0" w:line="180" w:lineRule="exact"/>
              <w:rPr>
                <w:sz w:val="20"/>
                <w:szCs w:val="20"/>
                <w:color w:val="auto"/>
              </w:rPr>
            </w:pPr>
            <w:r>
              <w:rPr>
                <w:rFonts w:ascii="Calibri" w:cs="Calibri" w:eastAsia="Calibri" w:hAnsi="Calibri"/>
                <w:sz w:val="15"/>
                <w:szCs w:val="15"/>
                <w:color w:val="auto"/>
              </w:rPr>
              <w:t>49.5%</w:t>
            </w:r>
          </w:p>
        </w:tc>
        <w:tc>
          <w:tcPr>
            <w:tcW w:w="1080" w:type="dxa"/>
            <w:vAlign w:val="bottom"/>
          </w:tcPr>
          <w:p>
            <w:pPr>
              <w:jc w:val="right"/>
              <w:ind w:right="126"/>
              <w:spacing w:after="0" w:line="180" w:lineRule="exact"/>
              <w:rPr>
                <w:sz w:val="20"/>
                <w:szCs w:val="20"/>
                <w:color w:val="auto"/>
              </w:rPr>
            </w:pPr>
            <w:r>
              <w:rPr>
                <w:rFonts w:ascii="Calibri" w:cs="Calibri" w:eastAsia="Calibri" w:hAnsi="Calibri"/>
                <w:sz w:val="15"/>
                <w:szCs w:val="15"/>
                <w:color w:val="auto"/>
              </w:rPr>
              <w:t>44.3%</w:t>
            </w:r>
          </w:p>
        </w:tc>
        <w:tc>
          <w:tcPr>
            <w:tcW w:w="5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2.3%</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r>
        <w:trPr>
          <w:trHeight w:val="184"/>
        </w:trPr>
        <w:tc>
          <w:tcPr>
            <w:tcW w:w="2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79"/>
        </w:trPr>
        <w:tc>
          <w:tcPr>
            <w:tcW w:w="25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NIM</w:t>
            </w:r>
          </w:p>
        </w:tc>
        <w:tc>
          <w:tcPr>
            <w:tcW w:w="1120" w:type="dxa"/>
            <w:vAlign w:val="bottom"/>
          </w:tcPr>
          <w:p>
            <w:pPr>
              <w:jc w:val="right"/>
              <w:spacing w:after="0" w:line="180" w:lineRule="exact"/>
              <w:rPr>
                <w:sz w:val="20"/>
                <w:szCs w:val="20"/>
                <w:color w:val="auto"/>
              </w:rPr>
            </w:pPr>
            <w:r>
              <w:rPr>
                <w:rFonts w:ascii="Calibri" w:cs="Calibri" w:eastAsia="Calibri" w:hAnsi="Calibri"/>
                <w:sz w:val="15"/>
                <w:szCs w:val="15"/>
                <w:b w:val="1"/>
                <w:bCs w:val="1"/>
                <w:color w:val="auto"/>
              </w:rPr>
              <w:t>227,280</w:t>
            </w:r>
          </w:p>
        </w:tc>
        <w:tc>
          <w:tcPr>
            <w:tcW w:w="1180" w:type="dxa"/>
            <w:vAlign w:val="bottom"/>
          </w:tcPr>
          <w:p>
            <w:pPr>
              <w:jc w:val="right"/>
              <w:ind w:right="166"/>
              <w:spacing w:after="0" w:line="180" w:lineRule="exact"/>
              <w:rPr>
                <w:sz w:val="20"/>
                <w:szCs w:val="20"/>
                <w:color w:val="auto"/>
              </w:rPr>
            </w:pPr>
            <w:r>
              <w:rPr>
                <w:rFonts w:ascii="Calibri" w:cs="Calibri" w:eastAsia="Calibri" w:hAnsi="Calibri"/>
                <w:sz w:val="15"/>
                <w:szCs w:val="15"/>
                <w:b w:val="1"/>
                <w:bCs w:val="1"/>
                <w:color w:val="auto"/>
              </w:rPr>
              <w:t>2,533</w:t>
            </w:r>
          </w:p>
        </w:tc>
        <w:tc>
          <w:tcPr>
            <w:tcW w:w="6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4.5%</w:t>
            </w:r>
          </w:p>
        </w:tc>
        <w:tc>
          <w:tcPr>
            <w:tcW w:w="1180" w:type="dxa"/>
            <w:vAlign w:val="bottom"/>
          </w:tcPr>
          <w:p>
            <w:pPr>
              <w:jc w:val="right"/>
              <w:ind w:right="6"/>
              <w:spacing w:after="0" w:line="180" w:lineRule="exact"/>
              <w:rPr>
                <w:sz w:val="20"/>
                <w:szCs w:val="20"/>
                <w:color w:val="auto"/>
              </w:rPr>
            </w:pPr>
            <w:r>
              <w:rPr>
                <w:rFonts w:ascii="Calibri" w:cs="Calibri" w:eastAsia="Calibri" w:hAnsi="Calibri"/>
                <w:sz w:val="15"/>
                <w:szCs w:val="15"/>
                <w:b w:val="1"/>
                <w:bCs w:val="1"/>
                <w:color w:val="auto"/>
              </w:rPr>
              <w:t>225,605</w:t>
            </w:r>
          </w:p>
        </w:tc>
        <w:tc>
          <w:tcPr>
            <w:tcW w:w="1080" w:type="dxa"/>
            <w:vAlign w:val="bottom"/>
          </w:tcPr>
          <w:p>
            <w:pPr>
              <w:jc w:val="right"/>
              <w:ind w:right="146"/>
              <w:spacing w:after="0" w:line="180" w:lineRule="exact"/>
              <w:rPr>
                <w:sz w:val="20"/>
                <w:szCs w:val="20"/>
                <w:color w:val="auto"/>
              </w:rPr>
            </w:pPr>
            <w:r>
              <w:rPr>
                <w:rFonts w:ascii="Calibri" w:cs="Calibri" w:eastAsia="Calibri" w:hAnsi="Calibri"/>
                <w:sz w:val="15"/>
                <w:szCs w:val="15"/>
                <w:b w:val="1"/>
                <w:bCs w:val="1"/>
                <w:color w:val="auto"/>
              </w:rPr>
              <w:t>3,243</w:t>
            </w:r>
          </w:p>
        </w:tc>
        <w:tc>
          <w:tcPr>
            <w:tcW w:w="700" w:type="dxa"/>
            <w:vAlign w:val="bottom"/>
            <w:tcBorders>
              <w:right w:val="single" w:sz="8" w:color="auto"/>
            </w:tcBorders>
            <w:gridSpan w:val="2"/>
          </w:tcPr>
          <w:p>
            <w:pPr>
              <w:jc w:val="right"/>
              <w:ind w:right="20"/>
              <w:spacing w:after="0" w:line="180" w:lineRule="exact"/>
              <w:rPr>
                <w:sz w:val="20"/>
                <w:szCs w:val="20"/>
                <w:color w:val="auto"/>
              </w:rPr>
            </w:pPr>
            <w:r>
              <w:rPr>
                <w:rFonts w:ascii="Calibri" w:cs="Calibri" w:eastAsia="Calibri" w:hAnsi="Calibri"/>
                <w:sz w:val="15"/>
                <w:szCs w:val="15"/>
                <w:b w:val="1"/>
                <w:bCs w:val="1"/>
                <w:color w:val="auto"/>
              </w:rPr>
              <w:t>5.7%</w:t>
            </w:r>
          </w:p>
        </w:tc>
        <w:tc>
          <w:tcPr>
            <w:tcW w:w="1160" w:type="dxa"/>
            <w:vAlign w:val="bottom"/>
          </w:tcPr>
          <w:p>
            <w:pPr>
              <w:jc w:val="right"/>
              <w:spacing w:after="0" w:line="180" w:lineRule="exact"/>
              <w:rPr>
                <w:sz w:val="20"/>
                <w:szCs w:val="20"/>
                <w:color w:val="auto"/>
              </w:rPr>
            </w:pPr>
            <w:r>
              <w:rPr>
                <w:rFonts w:ascii="Calibri" w:cs="Calibri" w:eastAsia="Calibri" w:hAnsi="Calibri"/>
                <w:sz w:val="15"/>
                <w:szCs w:val="15"/>
                <w:b w:val="1"/>
                <w:bCs w:val="1"/>
                <w:color w:val="auto"/>
              </w:rPr>
              <w:t>222,290</w:t>
            </w:r>
          </w:p>
        </w:tc>
        <w:tc>
          <w:tcPr>
            <w:tcW w:w="1080" w:type="dxa"/>
            <w:vAlign w:val="bottom"/>
          </w:tcPr>
          <w:p>
            <w:pPr>
              <w:jc w:val="right"/>
              <w:ind w:right="126"/>
              <w:spacing w:after="0" w:line="180" w:lineRule="exact"/>
              <w:rPr>
                <w:sz w:val="20"/>
                <w:szCs w:val="20"/>
                <w:color w:val="auto"/>
              </w:rPr>
            </w:pPr>
            <w:r>
              <w:rPr>
                <w:rFonts w:ascii="Calibri" w:cs="Calibri" w:eastAsia="Calibri" w:hAnsi="Calibri"/>
                <w:sz w:val="15"/>
                <w:szCs w:val="15"/>
                <w:b w:val="1"/>
                <w:bCs w:val="1"/>
                <w:color w:val="auto"/>
              </w:rPr>
              <w:t>3,248</w:t>
            </w:r>
          </w:p>
        </w:tc>
        <w:tc>
          <w:tcPr>
            <w:tcW w:w="5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5.8%</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r>
        <w:trPr>
          <w:trHeight w:val="179"/>
        </w:trPr>
        <w:tc>
          <w:tcPr>
            <w:tcW w:w="25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NIM (LC)</w:t>
            </w:r>
          </w:p>
        </w:tc>
        <w:tc>
          <w:tcPr>
            <w:tcW w:w="1120" w:type="dxa"/>
            <w:vAlign w:val="bottom"/>
          </w:tcPr>
          <w:p>
            <w:pPr>
              <w:jc w:val="right"/>
              <w:spacing w:after="0" w:line="180" w:lineRule="exact"/>
              <w:rPr>
                <w:sz w:val="20"/>
                <w:szCs w:val="20"/>
                <w:color w:val="auto"/>
              </w:rPr>
            </w:pPr>
            <w:r>
              <w:rPr>
                <w:rFonts w:ascii="Calibri" w:cs="Calibri" w:eastAsia="Calibri" w:hAnsi="Calibri"/>
                <w:sz w:val="15"/>
                <w:szCs w:val="15"/>
                <w:color w:val="auto"/>
              </w:rPr>
              <w:t>58.0%</w:t>
            </w:r>
          </w:p>
        </w:tc>
        <w:tc>
          <w:tcPr>
            <w:tcW w:w="1180" w:type="dxa"/>
            <w:vAlign w:val="bottom"/>
          </w:tcPr>
          <w:p>
            <w:pPr>
              <w:jc w:val="right"/>
              <w:ind w:right="166"/>
              <w:spacing w:after="0" w:line="180" w:lineRule="exact"/>
              <w:rPr>
                <w:sz w:val="20"/>
                <w:szCs w:val="20"/>
                <w:color w:val="auto"/>
              </w:rPr>
            </w:pPr>
            <w:r>
              <w:rPr>
                <w:rFonts w:ascii="Calibri" w:cs="Calibri" w:eastAsia="Calibri" w:hAnsi="Calibri"/>
                <w:sz w:val="15"/>
                <w:szCs w:val="15"/>
                <w:color w:val="auto"/>
              </w:rPr>
              <w:t>85.2%</w:t>
            </w:r>
          </w:p>
        </w:tc>
        <w:tc>
          <w:tcPr>
            <w:tcW w:w="6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6.5%</w:t>
            </w:r>
          </w:p>
        </w:tc>
        <w:tc>
          <w:tcPr>
            <w:tcW w:w="1180" w:type="dxa"/>
            <w:vAlign w:val="bottom"/>
          </w:tcPr>
          <w:p>
            <w:pPr>
              <w:jc w:val="right"/>
              <w:ind w:right="6"/>
              <w:spacing w:after="0" w:line="180" w:lineRule="exact"/>
              <w:rPr>
                <w:sz w:val="20"/>
                <w:szCs w:val="20"/>
                <w:color w:val="auto"/>
              </w:rPr>
            </w:pPr>
            <w:r>
              <w:rPr>
                <w:rFonts w:ascii="Calibri" w:cs="Calibri" w:eastAsia="Calibri" w:hAnsi="Calibri"/>
                <w:sz w:val="15"/>
                <w:szCs w:val="15"/>
                <w:color w:val="auto"/>
              </w:rPr>
              <w:t>56.6%</w:t>
            </w:r>
          </w:p>
        </w:tc>
        <w:tc>
          <w:tcPr>
            <w:tcW w:w="1080" w:type="dxa"/>
            <w:vAlign w:val="bottom"/>
          </w:tcPr>
          <w:p>
            <w:pPr>
              <w:jc w:val="right"/>
              <w:ind w:right="146"/>
              <w:spacing w:after="0" w:line="180" w:lineRule="exact"/>
              <w:rPr>
                <w:sz w:val="20"/>
                <w:szCs w:val="20"/>
                <w:color w:val="auto"/>
              </w:rPr>
            </w:pPr>
            <w:r>
              <w:rPr>
                <w:rFonts w:ascii="Calibri" w:cs="Calibri" w:eastAsia="Calibri" w:hAnsi="Calibri"/>
                <w:sz w:val="15"/>
                <w:szCs w:val="15"/>
                <w:color w:val="auto"/>
              </w:rPr>
              <w:t>78.0%</w:t>
            </w:r>
          </w:p>
        </w:tc>
        <w:tc>
          <w:tcPr>
            <w:tcW w:w="700" w:type="dxa"/>
            <w:vAlign w:val="bottom"/>
            <w:tcBorders>
              <w:right w:val="single" w:sz="8" w:color="auto"/>
            </w:tcBorders>
            <w:gridSpan w:val="2"/>
          </w:tcPr>
          <w:p>
            <w:pPr>
              <w:jc w:val="right"/>
              <w:ind w:right="20"/>
              <w:spacing w:after="0" w:line="180" w:lineRule="exact"/>
              <w:rPr>
                <w:sz w:val="20"/>
                <w:szCs w:val="20"/>
                <w:color w:val="auto"/>
              </w:rPr>
            </w:pPr>
            <w:r>
              <w:rPr>
                <w:rFonts w:ascii="Calibri" w:cs="Calibri" w:eastAsia="Calibri" w:hAnsi="Calibri"/>
                <w:sz w:val="15"/>
                <w:szCs w:val="15"/>
                <w:color w:val="auto"/>
              </w:rPr>
              <w:t>7.9%</w:t>
            </w:r>
          </w:p>
        </w:tc>
        <w:tc>
          <w:tcPr>
            <w:tcW w:w="1160" w:type="dxa"/>
            <w:vAlign w:val="bottom"/>
          </w:tcPr>
          <w:p>
            <w:pPr>
              <w:jc w:val="right"/>
              <w:spacing w:after="0" w:line="180" w:lineRule="exact"/>
              <w:rPr>
                <w:sz w:val="20"/>
                <w:szCs w:val="20"/>
                <w:color w:val="auto"/>
              </w:rPr>
            </w:pPr>
            <w:r>
              <w:rPr>
                <w:rFonts w:ascii="Calibri" w:cs="Calibri" w:eastAsia="Calibri" w:hAnsi="Calibri"/>
                <w:sz w:val="15"/>
                <w:szCs w:val="15"/>
                <w:color w:val="auto"/>
              </w:rPr>
              <w:t>56.9%</w:t>
            </w:r>
          </w:p>
        </w:tc>
        <w:tc>
          <w:tcPr>
            <w:tcW w:w="1080" w:type="dxa"/>
            <w:vAlign w:val="bottom"/>
          </w:tcPr>
          <w:p>
            <w:pPr>
              <w:jc w:val="right"/>
              <w:ind w:right="126"/>
              <w:spacing w:after="0" w:line="180" w:lineRule="exact"/>
              <w:rPr>
                <w:sz w:val="20"/>
                <w:szCs w:val="20"/>
                <w:color w:val="auto"/>
              </w:rPr>
            </w:pPr>
            <w:r>
              <w:rPr>
                <w:rFonts w:ascii="Calibri" w:cs="Calibri" w:eastAsia="Calibri" w:hAnsi="Calibri"/>
                <w:sz w:val="15"/>
                <w:szCs w:val="15"/>
                <w:color w:val="auto"/>
              </w:rPr>
              <w:t>77.0%</w:t>
            </w:r>
          </w:p>
        </w:tc>
        <w:tc>
          <w:tcPr>
            <w:tcW w:w="5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7.9%</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r>
        <w:trPr>
          <w:trHeight w:val="179"/>
        </w:trPr>
        <w:tc>
          <w:tcPr>
            <w:tcW w:w="25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NIM (FC)</w:t>
            </w:r>
          </w:p>
        </w:tc>
        <w:tc>
          <w:tcPr>
            <w:tcW w:w="1120" w:type="dxa"/>
            <w:vAlign w:val="bottom"/>
          </w:tcPr>
          <w:p>
            <w:pPr>
              <w:jc w:val="right"/>
              <w:spacing w:after="0" w:line="180" w:lineRule="exact"/>
              <w:rPr>
                <w:sz w:val="20"/>
                <w:szCs w:val="20"/>
                <w:color w:val="auto"/>
              </w:rPr>
            </w:pPr>
            <w:r>
              <w:rPr>
                <w:rFonts w:ascii="Calibri" w:cs="Calibri" w:eastAsia="Calibri" w:hAnsi="Calibri"/>
                <w:sz w:val="15"/>
                <w:szCs w:val="15"/>
                <w:color w:val="auto"/>
              </w:rPr>
              <w:t>42.0%</w:t>
            </w:r>
          </w:p>
        </w:tc>
        <w:tc>
          <w:tcPr>
            <w:tcW w:w="1180" w:type="dxa"/>
            <w:vAlign w:val="bottom"/>
          </w:tcPr>
          <w:p>
            <w:pPr>
              <w:jc w:val="right"/>
              <w:ind w:right="166"/>
              <w:spacing w:after="0" w:line="180" w:lineRule="exact"/>
              <w:rPr>
                <w:sz w:val="20"/>
                <w:szCs w:val="20"/>
                <w:color w:val="auto"/>
              </w:rPr>
            </w:pPr>
            <w:r>
              <w:rPr>
                <w:rFonts w:ascii="Calibri" w:cs="Calibri" w:eastAsia="Calibri" w:hAnsi="Calibri"/>
                <w:sz w:val="15"/>
                <w:szCs w:val="15"/>
                <w:color w:val="auto"/>
              </w:rPr>
              <w:t>14.8%</w:t>
            </w:r>
          </w:p>
        </w:tc>
        <w:tc>
          <w:tcPr>
            <w:tcW w:w="6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1.6%</w:t>
            </w:r>
          </w:p>
        </w:tc>
        <w:tc>
          <w:tcPr>
            <w:tcW w:w="1180" w:type="dxa"/>
            <w:vAlign w:val="bottom"/>
          </w:tcPr>
          <w:p>
            <w:pPr>
              <w:jc w:val="right"/>
              <w:ind w:right="6"/>
              <w:spacing w:after="0" w:line="180" w:lineRule="exact"/>
              <w:rPr>
                <w:sz w:val="20"/>
                <w:szCs w:val="20"/>
                <w:color w:val="auto"/>
              </w:rPr>
            </w:pPr>
            <w:r>
              <w:rPr>
                <w:rFonts w:ascii="Calibri" w:cs="Calibri" w:eastAsia="Calibri" w:hAnsi="Calibri"/>
                <w:sz w:val="15"/>
                <w:szCs w:val="15"/>
                <w:color w:val="auto"/>
              </w:rPr>
              <w:t>43.4%</w:t>
            </w:r>
          </w:p>
        </w:tc>
        <w:tc>
          <w:tcPr>
            <w:tcW w:w="1080" w:type="dxa"/>
            <w:vAlign w:val="bottom"/>
          </w:tcPr>
          <w:p>
            <w:pPr>
              <w:jc w:val="right"/>
              <w:ind w:right="146"/>
              <w:spacing w:after="0" w:line="180" w:lineRule="exact"/>
              <w:rPr>
                <w:sz w:val="20"/>
                <w:szCs w:val="20"/>
                <w:color w:val="auto"/>
              </w:rPr>
            </w:pPr>
            <w:r>
              <w:rPr>
                <w:rFonts w:ascii="Calibri" w:cs="Calibri" w:eastAsia="Calibri" w:hAnsi="Calibri"/>
                <w:sz w:val="15"/>
                <w:szCs w:val="15"/>
                <w:color w:val="auto"/>
              </w:rPr>
              <w:t>22.0%</w:t>
            </w:r>
          </w:p>
        </w:tc>
        <w:tc>
          <w:tcPr>
            <w:tcW w:w="700" w:type="dxa"/>
            <w:vAlign w:val="bottom"/>
            <w:tcBorders>
              <w:right w:val="single" w:sz="8" w:color="auto"/>
            </w:tcBorders>
            <w:gridSpan w:val="2"/>
          </w:tcPr>
          <w:p>
            <w:pPr>
              <w:jc w:val="right"/>
              <w:ind w:right="20"/>
              <w:spacing w:after="0" w:line="180" w:lineRule="exact"/>
              <w:rPr>
                <w:sz w:val="20"/>
                <w:szCs w:val="20"/>
                <w:color w:val="auto"/>
              </w:rPr>
            </w:pPr>
            <w:r>
              <w:rPr>
                <w:rFonts w:ascii="Calibri" w:cs="Calibri" w:eastAsia="Calibri" w:hAnsi="Calibri"/>
                <w:sz w:val="15"/>
                <w:szCs w:val="15"/>
                <w:color w:val="auto"/>
              </w:rPr>
              <w:t>2.9%</w:t>
            </w:r>
          </w:p>
        </w:tc>
        <w:tc>
          <w:tcPr>
            <w:tcW w:w="1160" w:type="dxa"/>
            <w:vAlign w:val="bottom"/>
          </w:tcPr>
          <w:p>
            <w:pPr>
              <w:jc w:val="right"/>
              <w:spacing w:after="0" w:line="180" w:lineRule="exact"/>
              <w:rPr>
                <w:sz w:val="20"/>
                <w:szCs w:val="20"/>
                <w:color w:val="auto"/>
              </w:rPr>
            </w:pPr>
            <w:r>
              <w:rPr>
                <w:rFonts w:ascii="Calibri" w:cs="Calibri" w:eastAsia="Calibri" w:hAnsi="Calibri"/>
                <w:sz w:val="15"/>
                <w:szCs w:val="15"/>
                <w:color w:val="auto"/>
              </w:rPr>
              <w:t>43.1%</w:t>
            </w:r>
          </w:p>
        </w:tc>
        <w:tc>
          <w:tcPr>
            <w:tcW w:w="1080" w:type="dxa"/>
            <w:vAlign w:val="bottom"/>
          </w:tcPr>
          <w:p>
            <w:pPr>
              <w:jc w:val="right"/>
              <w:ind w:right="126"/>
              <w:spacing w:after="0" w:line="180" w:lineRule="exact"/>
              <w:rPr>
                <w:sz w:val="20"/>
                <w:szCs w:val="20"/>
                <w:color w:val="auto"/>
              </w:rPr>
            </w:pPr>
            <w:r>
              <w:rPr>
                <w:rFonts w:ascii="Calibri" w:cs="Calibri" w:eastAsia="Calibri" w:hAnsi="Calibri"/>
                <w:sz w:val="15"/>
                <w:szCs w:val="15"/>
                <w:color w:val="auto"/>
              </w:rPr>
              <w:t>23.0%</w:t>
            </w:r>
          </w:p>
        </w:tc>
        <w:tc>
          <w:tcPr>
            <w:tcW w:w="5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3.1%</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r>
        <w:trPr>
          <w:trHeight w:val="116"/>
        </w:trPr>
        <w:tc>
          <w:tcPr>
            <w:tcW w:w="2500" w:type="dxa"/>
            <w:vAlign w:val="bottom"/>
          </w:tcPr>
          <w:p>
            <w:pPr>
              <w:spacing w:after="0" w:line="116" w:lineRule="exact"/>
              <w:rPr>
                <w:sz w:val="20"/>
                <w:szCs w:val="20"/>
                <w:color w:val="auto"/>
              </w:rPr>
            </w:pPr>
            <w:r>
              <w:rPr>
                <w:rFonts w:ascii="Calibri" w:cs="Calibri" w:eastAsia="Calibri" w:hAnsi="Calibri"/>
                <w:sz w:val="10"/>
                <w:szCs w:val="10"/>
                <w:color w:val="auto"/>
              </w:rPr>
              <w:t>(1) Excluding Net Insurance Financial Expenses.</w:t>
            </w:r>
          </w:p>
        </w:tc>
        <w:tc>
          <w:tcPr>
            <w:tcW w:w="1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r>
    </w:tbl>
    <w:p>
      <w:pPr>
        <w:spacing w:after="0" w:line="180" w:lineRule="exact"/>
        <w:rPr>
          <w:sz w:val="20"/>
          <w:szCs w:val="20"/>
          <w:color w:val="auto"/>
        </w:rPr>
      </w:pPr>
    </w:p>
    <w:p>
      <w:pPr>
        <w:spacing w:after="0"/>
        <w:rPr>
          <w:sz w:val="20"/>
          <w:szCs w:val="20"/>
          <w:color w:val="auto"/>
        </w:rPr>
      </w:pPr>
      <w:r>
        <w:rPr>
          <w:rFonts w:ascii="Calibri" w:cs="Calibri" w:eastAsia="Calibri" w:hAnsi="Calibri"/>
          <w:sz w:val="15"/>
          <w:szCs w:val="15"/>
          <w:b w:val="1"/>
          <w:bCs w:val="1"/>
          <w:u w:val="single" w:color="auto"/>
          <w:color w:val="auto"/>
        </w:rPr>
        <w:t>QoQ analysis</w:t>
      </w:r>
    </w:p>
    <w:p>
      <w:pPr>
        <w:spacing w:after="0" w:line="127" w:lineRule="exact"/>
        <w:rPr>
          <w:sz w:val="20"/>
          <w:szCs w:val="20"/>
          <w:color w:val="auto"/>
        </w:rPr>
      </w:pPr>
    </w:p>
    <w:p>
      <w:pPr>
        <w:jc w:val="both"/>
        <w:spacing w:after="0" w:line="236" w:lineRule="auto"/>
        <w:rPr>
          <w:sz w:val="20"/>
          <w:szCs w:val="20"/>
          <w:color w:val="auto"/>
        </w:rPr>
      </w:pPr>
      <w:r>
        <w:rPr>
          <w:rFonts w:ascii="Calibri" w:cs="Calibri" w:eastAsia="Calibri" w:hAnsi="Calibri"/>
          <w:sz w:val="15"/>
          <w:szCs w:val="15"/>
          <w:b w:val="1"/>
          <w:bCs w:val="1"/>
          <w:color w:val="auto"/>
        </w:rPr>
        <w:t xml:space="preserve">QoQ, Net interest income </w:t>
      </w:r>
      <w:r>
        <w:rPr>
          <w:rFonts w:ascii="Calibri" w:cs="Calibri" w:eastAsia="Calibri" w:hAnsi="Calibri"/>
          <w:sz w:val="15"/>
          <w:szCs w:val="15"/>
          <w:color w:val="auto"/>
        </w:rPr>
        <w:t>remained relatvely stable given that the dynamics in LC and FC ofset one another. IEAs in LC represented 56.9% of total IEA and accounted for 77% of Net</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interest income generated in 1Q23.</w:t>
      </w:r>
    </w:p>
    <w:p>
      <w:pPr>
        <w:spacing w:after="0" w:line="204"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Dynamics in Local Currency (LC)</w:t>
      </w:r>
    </w:p>
    <w:p>
      <w:pPr>
        <w:spacing w:after="0" w:line="112"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 xml:space="preserve">Net interest income </w:t>
      </w:r>
      <w:r>
        <w:rPr>
          <w:rFonts w:ascii="Calibri" w:cs="Calibri" w:eastAsia="Calibri" w:hAnsi="Calibri"/>
          <w:sz w:val="15"/>
          <w:szCs w:val="15"/>
          <w:color w:val="auto"/>
        </w:rPr>
        <w:t>in LC fell 1.2%, which was atributable to the following dynamics:</w:t>
      </w:r>
    </w:p>
    <w:p>
      <w:pPr>
        <w:spacing w:after="0" w:line="206"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Average IEA in LC dropped 1.0%, driven by amortzatons of Government Program loans (-23.5%). The aforementoned was partally ofset by growth in Investments (+4.0%) and Structural Loans (+0.5%). The implicit rates of the main components of IEA in LC remained stable. In 1Q23, the yield on IEA in LC stood at 10.0%. The aforementoned contracton in IEAs led to a consequent drop in Interest income in LC (-0.4%).</w:t>
      </w:r>
    </w:p>
    <w:p>
      <w:pPr>
        <w:spacing w:after="0" w:line="206"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Average funding in LC fell 3.3%, which was atributable to a decrease in balances for Reactva funding and Deposits. The funding cost in LC rose from 2.7% in 4Q22 to 2.9% in 1Q23, which refected fund migraton from low-cost deposits to Time Deposits. Interest expenses (excluding Net Insurance Financial Expenses) in LC rose 1.9%, driven primarily by an increase in the funding cost.</w:t>
      </w:r>
    </w:p>
    <w:p>
      <w:pPr>
        <w:spacing w:after="0" w:line="203"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Foreign Currency Dynamics (FC)</w:t>
      </w:r>
    </w:p>
    <w:p>
      <w:pPr>
        <w:spacing w:after="0" w:line="123"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 xml:space="preserve">Net interest Income </w:t>
      </w:r>
      <w:r>
        <w:rPr>
          <w:rFonts w:ascii="Calibri" w:cs="Calibri" w:eastAsia="Calibri" w:hAnsi="Calibri"/>
          <w:sz w:val="15"/>
          <w:szCs w:val="15"/>
          <w:color w:val="auto"/>
        </w:rPr>
        <w:t>in FC rose 3.8% due to the following dynamics:</w:t>
      </w:r>
    </w:p>
    <w:p>
      <w:pPr>
        <w:spacing w:after="0" w:line="206" w:lineRule="exact"/>
        <w:rPr>
          <w:sz w:val="20"/>
          <w:szCs w:val="20"/>
          <w:color w:val="auto"/>
        </w:rPr>
      </w:pPr>
    </w:p>
    <w:p>
      <w:pPr>
        <w:jc w:val="both"/>
        <w:spacing w:after="0" w:line="236" w:lineRule="auto"/>
        <w:rPr>
          <w:sz w:val="20"/>
          <w:szCs w:val="20"/>
          <w:color w:val="auto"/>
        </w:rPr>
      </w:pPr>
      <w:r>
        <w:rPr>
          <w:rFonts w:ascii="Calibri" w:cs="Calibri" w:eastAsia="Calibri" w:hAnsi="Calibri"/>
          <w:sz w:val="15"/>
          <w:szCs w:val="15"/>
          <w:color w:val="auto"/>
        </w:rPr>
        <w:t>Average IEA in FC dropped 2.1%, in line with a decrease in the exchange rate and a drop in Total loans (controlling for the exchange rate). Nonetheless, interest rate hikes led the Yield on IEAs in FC to increase from 4.8% to 5.3%. This price efect drove expansion in Interest income in FC (+9.2%).</w:t>
      </w:r>
    </w:p>
    <w:p>
      <w:pPr>
        <w:spacing w:after="0" w:line="207"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Average funding in FC fell 2.2%. This evoluton was primarily atributable to an exchange rate efect and to a drop in the balance of Bonds and Issued Notes, which refected the impact of a bond expiraton at BCP in March. Despite the aforementoned, the Funding cost rose this quarter, primarily due to an increase in rates in FC and secondarily, to the negatve mix efect generated by fund migraton from Low-cost deposits to Time deposits. In this context, Interest expenses (excluding Net Insurance Financial Expenses) in FC rose 16.6%.</w:t>
      </w:r>
    </w:p>
    <w:p>
      <w:pPr>
        <w:spacing w:after="0" w:line="341"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54" w:right="319" w:bottom="1440" w:gutter="0" w:footer="0" w:header="0"/>
        </w:sectPr>
      </w:pPr>
    </w:p>
    <w:bookmarkStart w:id="30" w:name="page31"/>
    <w:bookmarkEnd w:id="30"/>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53910" cy="2305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04. Net Interest Income (NII)</w:t>
      </w:r>
    </w:p>
    <w:p>
      <w:pPr>
        <w:spacing w:after="0" w:line="274" w:lineRule="exact"/>
        <w:rPr>
          <w:sz w:val="20"/>
          <w:szCs w:val="20"/>
          <w:color w:val="auto"/>
        </w:rPr>
      </w:pPr>
    </w:p>
    <w:p>
      <w:pPr>
        <w:spacing w:after="0"/>
        <w:rPr>
          <w:sz w:val="20"/>
          <w:szCs w:val="20"/>
          <w:color w:val="auto"/>
        </w:rPr>
      </w:pPr>
      <w:r>
        <w:rPr>
          <w:rFonts w:ascii="Calibri" w:cs="Calibri" w:eastAsia="Calibri" w:hAnsi="Calibri"/>
          <w:sz w:val="15"/>
          <w:szCs w:val="15"/>
          <w:b w:val="1"/>
          <w:bCs w:val="1"/>
          <w:u w:val="single" w:color="auto"/>
          <w:color w:val="auto"/>
        </w:rPr>
        <w:t>YoY Analysis</w:t>
      </w:r>
    </w:p>
    <w:p>
      <w:pPr>
        <w:spacing w:after="0" w:line="203" w:lineRule="exact"/>
        <w:rPr>
          <w:sz w:val="20"/>
          <w:szCs w:val="20"/>
          <w:color w:val="auto"/>
        </w:rPr>
      </w:pPr>
    </w:p>
    <w:p>
      <w:pPr>
        <w:spacing w:after="0"/>
        <w:rPr>
          <w:sz w:val="20"/>
          <w:szCs w:val="20"/>
          <w:color w:val="auto"/>
        </w:rPr>
      </w:pPr>
      <w:r>
        <w:rPr>
          <w:rFonts w:ascii="Calibri" w:cs="Calibri" w:eastAsia="Calibri" w:hAnsi="Calibri"/>
          <w:sz w:val="15"/>
          <w:szCs w:val="15"/>
          <w:color w:val="auto"/>
        </w:rPr>
        <w:t xml:space="preserve">YoY, </w:t>
      </w:r>
      <w:r>
        <w:rPr>
          <w:rFonts w:ascii="Calibri" w:cs="Calibri" w:eastAsia="Calibri" w:hAnsi="Calibri"/>
          <w:sz w:val="15"/>
          <w:szCs w:val="15"/>
          <w:b w:val="1"/>
          <w:bCs w:val="1"/>
          <w:color w:val="auto"/>
        </w:rPr>
        <w:t>Net interest income</w:t>
      </w:r>
      <w:r>
        <w:rPr>
          <w:rFonts w:ascii="Calibri" w:cs="Calibri" w:eastAsia="Calibri" w:hAnsi="Calibri"/>
          <w:sz w:val="15"/>
          <w:szCs w:val="15"/>
          <w:color w:val="auto"/>
        </w:rPr>
        <w:t xml:space="preserve"> rose 28.8% mainly infuenced by the evoluton of interest rates and volumes in FC, as well as by the interest rate dynamics in LC:</w:t>
      </w:r>
    </w:p>
    <w:p>
      <w:pPr>
        <w:spacing w:after="0" w:line="203"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Local Currency Dynamics (LC)</w:t>
      </w:r>
    </w:p>
    <w:p>
      <w:pPr>
        <w:spacing w:after="0" w:line="237" w:lineRule="auto"/>
        <w:rPr>
          <w:sz w:val="20"/>
          <w:szCs w:val="20"/>
          <w:color w:val="auto"/>
        </w:rPr>
      </w:pPr>
      <w:r>
        <w:rPr>
          <w:rFonts w:ascii="Calibri" w:cs="Calibri" w:eastAsia="Calibri" w:hAnsi="Calibri"/>
          <w:sz w:val="15"/>
          <w:szCs w:val="15"/>
          <w:b w:val="1"/>
          <w:bCs w:val="1"/>
          <w:color w:val="auto"/>
        </w:rPr>
        <w:t xml:space="preserve">Net interest income </w:t>
      </w:r>
      <w:r>
        <w:rPr>
          <w:rFonts w:ascii="Calibri" w:cs="Calibri" w:eastAsia="Calibri" w:hAnsi="Calibri"/>
          <w:sz w:val="15"/>
          <w:szCs w:val="15"/>
          <w:color w:val="auto"/>
        </w:rPr>
        <w:t>in LC rose 15.9% YoY due to the following dynamics:</w:t>
      </w:r>
    </w:p>
    <w:p>
      <w:pPr>
        <w:spacing w:after="0" w:line="207" w:lineRule="exact"/>
        <w:rPr>
          <w:sz w:val="20"/>
          <w:szCs w:val="20"/>
          <w:color w:val="auto"/>
        </w:rPr>
      </w:pPr>
    </w:p>
    <w:p>
      <w:pPr>
        <w:jc w:val="both"/>
        <w:spacing w:after="0" w:line="236" w:lineRule="auto"/>
        <w:rPr>
          <w:sz w:val="20"/>
          <w:szCs w:val="20"/>
          <w:color w:val="auto"/>
        </w:rPr>
      </w:pPr>
      <w:r>
        <w:rPr>
          <w:rFonts w:ascii="Calibri" w:cs="Calibri" w:eastAsia="Calibri" w:hAnsi="Calibri"/>
          <w:sz w:val="15"/>
          <w:szCs w:val="15"/>
          <w:color w:val="auto"/>
        </w:rPr>
        <w:t>Average IEA in LC dropped 4.2% YoY, which refected the impact of amortzatons of Government Program loans and a drop in Available funds. The Yield on IEAs stood at 10.0% in 1Q23. In this context, LC income increased 27.0%, driven by a positve price efect across the IEAs and by growth in the Structural loan volume.</w:t>
      </w:r>
    </w:p>
    <w:p>
      <w:pPr>
        <w:spacing w:after="0" w:line="207"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Average funding in LC declined 5.4%, which was atributable to a decrease in repo balances with BCRP, in line with amortzatons of Reactva loans. This reducton was ofset by an increase in Time deposits as clients sought to take advantage of higher rates. Nonetheless, the rates of the main components of funding in LC rose, in partcular for interest-bearing deposits and bank fnancing, in line with an increase in reference rate. The funding cost in LC increased from 1.4% in 1Q22 to 2.9% in 1Q23. Interest expenses (excluding Net Insurance Financial Expenses) rose 96.6% this quarter, driven by a price efect and by an increase in the cost of the funding structure.</w:t>
      </w:r>
    </w:p>
    <w:p>
      <w:pPr>
        <w:spacing w:after="0" w:line="203"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Dynamics in Foreign Currency (FC)</w:t>
      </w:r>
    </w:p>
    <w:p>
      <w:pPr>
        <w:spacing w:after="0" w:line="123"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 xml:space="preserve">Net interest income </w:t>
      </w:r>
      <w:r>
        <w:rPr>
          <w:rFonts w:ascii="Calibri" w:cs="Calibri" w:eastAsia="Calibri" w:hAnsi="Calibri"/>
          <w:sz w:val="15"/>
          <w:szCs w:val="15"/>
          <w:color w:val="auto"/>
        </w:rPr>
        <w:t>in FC expanded 107.9% due to the following dynamics:</w:t>
      </w:r>
    </w:p>
    <w:p>
      <w:pPr>
        <w:spacing w:after="0" w:line="206"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Average IEA in FC increased 0.6%, driven by Loan growth and partally ofset by a drop in the balances of Investments and Available funds. This dynamic generated a positve mix efect on IEAs in FC. In this context, the yield on IEA in FC rose from 2.8% in 1Q22 to 5.3% in 1Q23, fueled by interest rate hikes and the aforementoned mix efect. In net terms, positve price and mix efects led Interest income in FC to increase 90.6%.</w:t>
      </w:r>
    </w:p>
    <w:p>
      <w:pPr>
        <w:spacing w:after="0" w:line="206"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Average funding in FC dropped 2.6%, which was atributable to a reducton in balances of Deposits, and Bonds and Issued Notes. Notwithstanding, the funding cost in FC rose from 1.3% in 1Q22 to 2.3% in 1Q23, which refected the positve impact of higher rates in FC. This quarter, Interest rate expenses (excluding Net Insurance Financial Expenses) in FC expanded 80.5% due to a price efect.</w:t>
      </w:r>
    </w:p>
    <w:p>
      <w:pPr>
        <w:spacing w:after="0" w:line="341"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53" w:right="319" w:bottom="1440" w:gutter="0" w:footer="0" w:header="0"/>
        </w:sectPr>
      </w:pPr>
    </w:p>
    <w:bookmarkStart w:id="31" w:name="page32"/>
    <w:bookmarkEnd w:id="31"/>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13" w:lineRule="exact"/>
        <w:rPr>
          <w:sz w:val="20"/>
          <w:szCs w:val="20"/>
          <w:color w:val="auto"/>
        </w:rPr>
      </w:pPr>
    </w:p>
    <w:p>
      <w:pPr>
        <w:ind w:left="9"/>
        <w:spacing w:after="0"/>
        <w:rPr>
          <w:sz w:val="20"/>
          <w:szCs w:val="20"/>
          <w:color w:val="auto"/>
        </w:rPr>
      </w:pPr>
      <w:r>
        <w:rPr>
          <w:rFonts w:ascii="Calibri" w:cs="Calibri" w:eastAsia="Calibri" w:hAnsi="Calibri"/>
          <w:sz w:val="44"/>
          <w:szCs w:val="44"/>
          <w:b w:val="1"/>
          <w:bCs w:val="1"/>
          <w:color w:val="E93CAC"/>
        </w:rPr>
        <w:t xml:space="preserve">05 </w:t>
      </w:r>
      <w:r>
        <w:rPr>
          <w:rFonts w:ascii="Calibri" w:cs="Calibri" w:eastAsia="Calibri" w:hAnsi="Calibri"/>
          <w:sz w:val="27"/>
          <w:szCs w:val="27"/>
          <w:b w:val="1"/>
          <w:bCs w:val="1"/>
          <w:color w:val="E93CAC"/>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153910" cy="1059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910" cy="1059180"/>
                    </a:xfrm>
                    <a:prstGeom prst="rect">
                      <a:avLst/>
                    </a:prstGeom>
                    <a:noFill/>
                  </pic:spPr>
                </pic:pic>
              </a:graphicData>
            </a:graphic>
          </wp:anchor>
        </w:drawing>
      </w:r>
    </w:p>
    <w:p>
      <w:pPr>
        <w:spacing w:after="0" w:line="228" w:lineRule="exact"/>
        <w:rPr>
          <w:sz w:val="20"/>
          <w:szCs w:val="20"/>
          <w:color w:val="auto"/>
        </w:rPr>
      </w:pPr>
    </w:p>
    <w:p>
      <w:pPr>
        <w:jc w:val="both"/>
        <w:ind w:left="109" w:right="100"/>
        <w:spacing w:after="0" w:line="237" w:lineRule="auto"/>
        <w:rPr>
          <w:sz w:val="20"/>
          <w:szCs w:val="20"/>
          <w:color w:val="auto"/>
        </w:rPr>
      </w:pPr>
      <w:r>
        <w:rPr>
          <w:rFonts w:ascii="Calibri" w:cs="Calibri" w:eastAsia="Calibri" w:hAnsi="Calibri"/>
          <w:sz w:val="15"/>
          <w:szCs w:val="15"/>
          <w:color w:val="FFFFFF"/>
        </w:rPr>
        <w:t>QoQ, the provisions expense rose due to (i) deterioraton in payment behavior in Retail Banking, which was concentrated in disbursements made in 2022 in segments with higher risk profles and in SME-Pyme, Consumer and Credit Cards in partcular; and (ii) the impact in Mibanco in the context marked by social protests, intense rains and deterioraton in macroeconomic factors. This growth was ofset by a drop in expenses in Wholesale Banking, which was driven by a decrease in exposure this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-332105</wp:posOffset>
            </wp:positionV>
            <wp:extent cx="7082155" cy="10083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82155" cy="1008380"/>
                    </a:xfrm>
                    <a:prstGeom prst="rect">
                      <a:avLst/>
                    </a:prstGeom>
                    <a:noFill/>
                  </pic:spPr>
                </pic:pic>
              </a:graphicData>
            </a:graphic>
          </wp:anchor>
        </w:drawing>
      </w:r>
    </w:p>
    <w:p>
      <w:pPr>
        <w:spacing w:after="0" w:line="96" w:lineRule="exact"/>
        <w:rPr>
          <w:sz w:val="20"/>
          <w:szCs w:val="20"/>
          <w:color w:val="auto"/>
        </w:rPr>
      </w:pPr>
    </w:p>
    <w:p>
      <w:pPr>
        <w:jc w:val="both"/>
        <w:ind w:left="109" w:right="100"/>
        <w:spacing w:after="0" w:line="237" w:lineRule="auto"/>
        <w:rPr>
          <w:sz w:val="20"/>
          <w:szCs w:val="20"/>
          <w:color w:val="auto"/>
        </w:rPr>
      </w:pPr>
      <w:r>
        <w:rPr>
          <w:rFonts w:ascii="Calibri" w:cs="Calibri" w:eastAsia="Calibri" w:hAnsi="Calibri"/>
          <w:sz w:val="15"/>
          <w:szCs w:val="15"/>
          <w:color w:val="FFFFFF"/>
        </w:rPr>
        <w:t>Provisions rose YoY, triggered by deterioraton in the payment behavior in Consumer and Credit Cards and by Mibanco, which have been impacted by the current environment in Peru and macroeconomic factors. SME-Pyme provisions levels remain high in line with its portolio deterioraton. This uptck was partally ofset by an improvement in payment behavior in Wholesale Banking.</w:t>
      </w:r>
    </w:p>
    <w:p>
      <w:pPr>
        <w:spacing w:after="0" w:line="123" w:lineRule="exact"/>
        <w:rPr>
          <w:sz w:val="20"/>
          <w:szCs w:val="20"/>
          <w:color w:val="auto"/>
        </w:rPr>
      </w:pPr>
    </w:p>
    <w:p>
      <w:pPr>
        <w:ind w:left="109"/>
        <w:spacing w:after="0"/>
        <w:rPr>
          <w:sz w:val="20"/>
          <w:szCs w:val="20"/>
          <w:color w:val="auto"/>
        </w:rPr>
      </w:pPr>
      <w:r>
        <w:rPr>
          <w:rFonts w:ascii="Calibri" w:cs="Calibri" w:eastAsia="Calibri" w:hAnsi="Calibri"/>
          <w:sz w:val="15"/>
          <w:szCs w:val="15"/>
          <w:color w:val="FFFFFF"/>
        </w:rPr>
        <w:t>In the aforementoned context, the Structural Cost of Risk (CofR) stood at 2.10% in 1Q23.</w:t>
      </w:r>
    </w:p>
    <w:p>
      <w:pPr>
        <w:spacing w:after="0" w:line="273"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 xml:space="preserve">Provisions and Cost of Risk (CoR) </w:t>
      </w:r>
      <w:r>
        <w:rPr>
          <w:rFonts w:ascii="Calibri" w:cs="Calibri" w:eastAsia="Calibri" w:hAnsi="Calibri"/>
          <w:sz w:val="25"/>
          <w:szCs w:val="25"/>
          <w:b w:val="1"/>
          <w:bCs w:val="1"/>
          <w:color w:val="auto"/>
          <w:vertAlign w:val="superscript"/>
        </w:rPr>
        <w:t>(1)</w:t>
      </w:r>
      <w:r>
        <w:rPr>
          <w:rFonts w:ascii="Calibri" w:cs="Calibri" w:eastAsia="Calibri" w:hAnsi="Calibri"/>
          <w:sz w:val="15"/>
          <w:szCs w:val="15"/>
          <w:b w:val="1"/>
          <w:bCs w:val="1"/>
          <w:color w:val="auto"/>
        </w:rPr>
        <w:t xml:space="preserve"> of the Structural Portolio</w:t>
      </w:r>
    </w:p>
    <w:p>
      <w:pPr>
        <w:spacing w:after="0" w:line="92" w:lineRule="exact"/>
        <w:rPr>
          <w:sz w:val="20"/>
          <w:szCs w:val="20"/>
          <w:color w:val="auto"/>
        </w:rPr>
      </w:pPr>
    </w:p>
    <w:tbl>
      <w:tblPr>
        <w:tblLayout w:type="fixed"/>
        <w:tblInd w:w="19" w:type="dxa"/>
        <w:tblCellMar>
          <w:top w:w="0" w:type="dxa"/>
          <w:left w:w="0" w:type="dxa"/>
          <w:bottom w:w="0" w:type="dxa"/>
          <w:right w:w="0" w:type="dxa"/>
        </w:tblCellMar>
      </w:tblPr>
      <w:tr>
        <w:trPr>
          <w:trHeight w:val="167"/>
        </w:trPr>
        <w:tc>
          <w:tcPr>
            <w:tcW w:w="520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2"/>
                <w:szCs w:val="12"/>
                <w:b w:val="1"/>
                <w:bCs w:val="1"/>
                <w:color w:val="FFFFFF"/>
              </w:rPr>
              <w:t>Structural Loan Portolio Provisions</w:t>
            </w:r>
          </w:p>
        </w:tc>
        <w:tc>
          <w:tcPr>
            <w:tcW w:w="1560" w:type="dxa"/>
            <w:vAlign w:val="bottom"/>
            <w:tcBorders>
              <w:top w:val="single" w:sz="8" w:color="auto"/>
            </w:tcBorders>
            <w:shd w:val="clear" w:color="auto" w:fill="2AD2C9"/>
          </w:tcPr>
          <w:p>
            <w:pPr>
              <w:spacing w:after="0"/>
              <w:rPr>
                <w:sz w:val="14"/>
                <w:szCs w:val="14"/>
                <w:color w:val="auto"/>
              </w:rPr>
            </w:pPr>
          </w:p>
        </w:tc>
        <w:tc>
          <w:tcPr>
            <w:tcW w:w="1360" w:type="dxa"/>
            <w:vAlign w:val="bottom"/>
            <w:tcBorders>
              <w:top w:val="single" w:sz="8" w:color="auto"/>
            </w:tcBorders>
            <w:shd w:val="clear" w:color="auto" w:fill="2AD2C9"/>
          </w:tcPr>
          <w:p>
            <w:pPr>
              <w:jc w:val="right"/>
              <w:ind w:right="660"/>
              <w:spacing w:after="0"/>
              <w:rPr>
                <w:sz w:val="20"/>
                <w:szCs w:val="20"/>
                <w:color w:val="auto"/>
              </w:rPr>
            </w:pPr>
            <w:r>
              <w:rPr>
                <w:rFonts w:ascii="Calibri" w:cs="Calibri" w:eastAsia="Calibri" w:hAnsi="Calibri"/>
                <w:sz w:val="12"/>
                <w:szCs w:val="12"/>
                <w:b w:val="1"/>
                <w:bCs w:val="1"/>
                <w:color w:val="FFFFFF"/>
              </w:rPr>
              <w:t>Quarter</w:t>
            </w:r>
          </w:p>
        </w:tc>
        <w:tc>
          <w:tcPr>
            <w:tcW w:w="1100" w:type="dxa"/>
            <w:vAlign w:val="bottom"/>
            <w:tcBorders>
              <w:top w:val="single" w:sz="8" w:color="auto"/>
              <w:right w:val="single" w:sz="8" w:color="auto"/>
            </w:tcBorders>
            <w:shd w:val="clear" w:color="auto" w:fill="2AD2C9"/>
          </w:tcPr>
          <w:p>
            <w:pPr>
              <w:spacing w:after="0"/>
              <w:rPr>
                <w:sz w:val="14"/>
                <w:szCs w:val="14"/>
                <w:color w:val="auto"/>
              </w:rPr>
            </w:pPr>
          </w:p>
        </w:tc>
        <w:tc>
          <w:tcPr>
            <w:tcW w:w="720" w:type="dxa"/>
            <w:vAlign w:val="bottom"/>
            <w:tcBorders>
              <w:top w:val="single" w:sz="8" w:color="auto"/>
            </w:tcBorders>
            <w:shd w:val="clear" w:color="auto" w:fill="2AD2C9"/>
          </w:tcPr>
          <w:p>
            <w:pPr>
              <w:spacing w:after="0"/>
              <w:rPr>
                <w:sz w:val="14"/>
                <w:szCs w:val="14"/>
                <w:color w:val="auto"/>
              </w:rPr>
            </w:pPr>
          </w:p>
        </w:tc>
        <w:tc>
          <w:tcPr>
            <w:tcW w:w="1320" w:type="dxa"/>
            <w:vAlign w:val="bottom"/>
            <w:tcBorders>
              <w:top w:val="single" w:sz="8" w:color="auto"/>
              <w:right w:val="single" w:sz="8" w:color="auto"/>
            </w:tcBorders>
            <w:shd w:val="clear" w:color="auto" w:fill="2AD2C9"/>
          </w:tcPr>
          <w:p>
            <w:pPr>
              <w:ind w:left="40"/>
              <w:spacing w:after="0"/>
              <w:rPr>
                <w:sz w:val="20"/>
                <w:szCs w:val="20"/>
                <w:color w:val="auto"/>
              </w:rPr>
            </w:pPr>
            <w:r>
              <w:rPr>
                <w:rFonts w:ascii="Calibri" w:cs="Calibri" w:eastAsia="Calibri" w:hAnsi="Calibri"/>
                <w:sz w:val="12"/>
                <w:szCs w:val="12"/>
                <w:b w:val="1"/>
                <w:bCs w:val="1"/>
                <w:color w:val="FFFFFF"/>
              </w:rPr>
              <w:t>% change</w:t>
            </w:r>
          </w:p>
        </w:tc>
      </w:tr>
      <w:tr>
        <w:trPr>
          <w:trHeight w:val="203"/>
        </w:trPr>
        <w:tc>
          <w:tcPr>
            <w:tcW w:w="5200" w:type="dxa"/>
            <w:vAlign w:val="bottom"/>
            <w:tcBorders>
              <w:left w:val="single" w:sz="8" w:color="auto"/>
              <w:bottom w:val="single" w:sz="8" w:color="2AD2C9"/>
              <w:right w:val="single" w:sz="8" w:color="auto"/>
            </w:tcBorders>
            <w:shd w:val="clear" w:color="auto" w:fill="2AD2C9"/>
          </w:tcPr>
          <w:p>
            <w:pPr>
              <w:ind w:left="20"/>
              <w:spacing w:after="0"/>
              <w:rPr>
                <w:sz w:val="20"/>
                <w:szCs w:val="20"/>
                <w:color w:val="auto"/>
              </w:rPr>
            </w:pPr>
            <w:r>
              <w:rPr>
                <w:rFonts w:ascii="Calibri" w:cs="Calibri" w:eastAsia="Calibri" w:hAnsi="Calibri"/>
                <w:sz w:val="12"/>
                <w:szCs w:val="12"/>
                <w:b w:val="1"/>
                <w:bCs w:val="1"/>
                <w:color w:val="FFFFFF"/>
              </w:rPr>
              <w:t>S/ 000</w:t>
            </w:r>
          </w:p>
        </w:tc>
        <w:tc>
          <w:tcPr>
            <w:tcW w:w="1560" w:type="dxa"/>
            <w:vAlign w:val="bottom"/>
            <w:tcBorders>
              <w:bottom w:val="single" w:sz="8" w:color="2AD2C9"/>
            </w:tcBorders>
            <w:shd w:val="clear" w:color="auto" w:fill="2AD2C9"/>
          </w:tcPr>
          <w:p>
            <w:pPr>
              <w:jc w:val="right"/>
              <w:ind w:right="700"/>
              <w:spacing w:after="0"/>
              <w:rPr>
                <w:sz w:val="20"/>
                <w:szCs w:val="20"/>
                <w:color w:val="auto"/>
              </w:rPr>
            </w:pPr>
            <w:r>
              <w:rPr>
                <w:rFonts w:ascii="Calibri" w:cs="Calibri" w:eastAsia="Calibri" w:hAnsi="Calibri"/>
                <w:sz w:val="12"/>
                <w:szCs w:val="12"/>
                <w:b w:val="1"/>
                <w:bCs w:val="1"/>
                <w:color w:val="FFFFFF"/>
              </w:rPr>
              <w:t>1Q22</w:t>
            </w:r>
          </w:p>
        </w:tc>
        <w:tc>
          <w:tcPr>
            <w:tcW w:w="1360" w:type="dxa"/>
            <w:vAlign w:val="bottom"/>
            <w:tcBorders>
              <w:bottom w:val="single" w:sz="8" w:color="2AD2C9"/>
            </w:tcBorders>
            <w:shd w:val="clear" w:color="auto" w:fill="2AD2C9"/>
          </w:tcPr>
          <w:p>
            <w:pPr>
              <w:jc w:val="right"/>
              <w:ind w:right="740"/>
              <w:spacing w:after="0"/>
              <w:rPr>
                <w:sz w:val="20"/>
                <w:szCs w:val="20"/>
                <w:color w:val="auto"/>
              </w:rPr>
            </w:pPr>
            <w:r>
              <w:rPr>
                <w:rFonts w:ascii="Calibri" w:cs="Calibri" w:eastAsia="Calibri" w:hAnsi="Calibri"/>
                <w:sz w:val="12"/>
                <w:szCs w:val="12"/>
                <w:b w:val="1"/>
                <w:bCs w:val="1"/>
                <w:color w:val="FFFFFF"/>
              </w:rPr>
              <w:t>4Q22</w:t>
            </w:r>
          </w:p>
        </w:tc>
        <w:tc>
          <w:tcPr>
            <w:tcW w:w="1100" w:type="dxa"/>
            <w:vAlign w:val="bottom"/>
            <w:tcBorders>
              <w:bottom w:val="single" w:sz="8" w:color="2AD2C9"/>
              <w:right w:val="single" w:sz="8" w:color="auto"/>
            </w:tcBorders>
            <w:shd w:val="clear" w:color="auto" w:fill="2AD2C9"/>
          </w:tcPr>
          <w:p>
            <w:pPr>
              <w:jc w:val="right"/>
              <w:ind w:right="500"/>
              <w:spacing w:after="0"/>
              <w:rPr>
                <w:sz w:val="20"/>
                <w:szCs w:val="20"/>
                <w:color w:val="auto"/>
              </w:rPr>
            </w:pPr>
            <w:r>
              <w:rPr>
                <w:rFonts w:ascii="Calibri" w:cs="Calibri" w:eastAsia="Calibri" w:hAnsi="Calibri"/>
                <w:sz w:val="12"/>
                <w:szCs w:val="12"/>
                <w:b w:val="1"/>
                <w:bCs w:val="1"/>
                <w:color w:val="FFFFFF"/>
              </w:rPr>
              <w:t>1Q23</w:t>
            </w:r>
          </w:p>
        </w:tc>
        <w:tc>
          <w:tcPr>
            <w:tcW w:w="720" w:type="dxa"/>
            <w:vAlign w:val="bottom"/>
            <w:tcBorders>
              <w:bottom w:val="single" w:sz="8" w:color="2AD2C9"/>
            </w:tcBorders>
            <w:shd w:val="clear" w:color="auto" w:fill="2AD2C9"/>
          </w:tcPr>
          <w:p>
            <w:pPr>
              <w:jc w:val="center"/>
              <w:ind w:left="220"/>
              <w:spacing w:after="0"/>
              <w:rPr>
                <w:sz w:val="20"/>
                <w:szCs w:val="20"/>
                <w:color w:val="auto"/>
              </w:rPr>
            </w:pPr>
            <w:r>
              <w:rPr>
                <w:rFonts w:ascii="Calibri" w:cs="Calibri" w:eastAsia="Calibri" w:hAnsi="Calibri"/>
                <w:sz w:val="12"/>
                <w:szCs w:val="12"/>
                <w:b w:val="1"/>
                <w:bCs w:val="1"/>
                <w:color w:val="FFFFFF"/>
              </w:rPr>
              <w:t>QoQ</w:t>
            </w:r>
          </w:p>
        </w:tc>
        <w:tc>
          <w:tcPr>
            <w:tcW w:w="1320" w:type="dxa"/>
            <w:vAlign w:val="bottom"/>
            <w:tcBorders>
              <w:bottom w:val="single" w:sz="8" w:color="2AD2C9"/>
              <w:right w:val="single" w:sz="8" w:color="auto"/>
            </w:tcBorders>
            <w:shd w:val="clear" w:color="auto" w:fill="2AD2C9"/>
          </w:tcPr>
          <w:p>
            <w:pPr>
              <w:jc w:val="center"/>
              <w:ind w:left="200"/>
              <w:spacing w:after="0"/>
              <w:rPr>
                <w:sz w:val="20"/>
                <w:szCs w:val="20"/>
                <w:color w:val="auto"/>
              </w:rPr>
            </w:pPr>
            <w:r>
              <w:rPr>
                <w:rFonts w:ascii="Calibri" w:cs="Calibri" w:eastAsia="Calibri" w:hAnsi="Calibri"/>
                <w:sz w:val="12"/>
                <w:szCs w:val="12"/>
                <w:b w:val="1"/>
                <w:bCs w:val="1"/>
                <w:color w:val="FFFFFF"/>
                <w:w w:val="94"/>
              </w:rPr>
              <w:t>YoY</w:t>
            </w:r>
          </w:p>
        </w:tc>
      </w:tr>
      <w:tr>
        <w:trPr>
          <w:trHeight w:val="145"/>
        </w:trPr>
        <w:tc>
          <w:tcPr>
            <w:tcW w:w="5200" w:type="dxa"/>
            <w:vAlign w:val="bottom"/>
            <w:tcBorders>
              <w:top w:val="single" w:sz="8" w:color="auto"/>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Gross provision for credit losses on loan portolio</w:t>
            </w:r>
          </w:p>
        </w:tc>
        <w:tc>
          <w:tcPr>
            <w:tcW w:w="1560" w:type="dxa"/>
            <w:vAlign w:val="bottom"/>
            <w:tcBorders>
              <w:top w:val="single" w:sz="8" w:color="auto"/>
            </w:tcBorders>
          </w:tcPr>
          <w:p>
            <w:pPr>
              <w:jc w:val="right"/>
              <w:ind w:right="180"/>
              <w:spacing w:after="0" w:line="145" w:lineRule="exact"/>
              <w:rPr>
                <w:sz w:val="20"/>
                <w:szCs w:val="20"/>
                <w:color w:val="auto"/>
              </w:rPr>
            </w:pPr>
            <w:r>
              <w:rPr>
                <w:rFonts w:ascii="Calibri" w:cs="Calibri" w:eastAsia="Calibri" w:hAnsi="Calibri"/>
                <w:sz w:val="12"/>
                <w:szCs w:val="12"/>
                <w:color w:val="auto"/>
              </w:rPr>
              <w:t>(354,553)</w:t>
            </w:r>
          </w:p>
        </w:tc>
        <w:tc>
          <w:tcPr>
            <w:tcW w:w="1360" w:type="dxa"/>
            <w:vAlign w:val="bottom"/>
            <w:tcBorders>
              <w:top w:val="single" w:sz="8" w:color="auto"/>
            </w:tcBorders>
          </w:tcPr>
          <w:p>
            <w:pPr>
              <w:jc w:val="right"/>
              <w:ind w:right="200"/>
              <w:spacing w:after="0" w:line="145" w:lineRule="exact"/>
              <w:rPr>
                <w:sz w:val="20"/>
                <w:szCs w:val="20"/>
                <w:color w:val="auto"/>
              </w:rPr>
            </w:pPr>
            <w:r>
              <w:rPr>
                <w:rFonts w:ascii="Calibri" w:cs="Calibri" w:eastAsia="Calibri" w:hAnsi="Calibri"/>
                <w:sz w:val="12"/>
                <w:szCs w:val="12"/>
                <w:color w:val="auto"/>
              </w:rPr>
              <w:t>(799,864)</w:t>
            </w:r>
          </w:p>
        </w:tc>
        <w:tc>
          <w:tcPr>
            <w:tcW w:w="1100" w:type="dxa"/>
            <w:vAlign w:val="bottom"/>
            <w:tcBorders>
              <w:top w:val="single" w:sz="8" w:color="auto"/>
              <w:right w:val="single" w:sz="8" w:color="auto"/>
            </w:tcBorders>
          </w:tcPr>
          <w:p>
            <w:pPr>
              <w:jc w:val="right"/>
              <w:spacing w:after="0" w:line="145" w:lineRule="exact"/>
              <w:rPr>
                <w:sz w:val="20"/>
                <w:szCs w:val="20"/>
                <w:color w:val="auto"/>
              </w:rPr>
            </w:pPr>
            <w:r>
              <w:rPr>
                <w:rFonts w:ascii="Calibri" w:cs="Calibri" w:eastAsia="Calibri" w:hAnsi="Calibri"/>
                <w:sz w:val="12"/>
                <w:szCs w:val="12"/>
                <w:color w:val="auto"/>
              </w:rPr>
              <w:t>(799,129)</w:t>
            </w:r>
          </w:p>
        </w:tc>
        <w:tc>
          <w:tcPr>
            <w:tcW w:w="720" w:type="dxa"/>
            <w:vAlign w:val="bottom"/>
            <w:tcBorders>
              <w:top w:val="single" w:sz="8" w:color="auto"/>
            </w:tcBorders>
          </w:tcPr>
          <w:p>
            <w:pPr>
              <w:jc w:val="center"/>
              <w:ind w:left="220"/>
              <w:spacing w:after="0" w:line="145" w:lineRule="exact"/>
              <w:rPr>
                <w:sz w:val="20"/>
                <w:szCs w:val="20"/>
                <w:color w:val="auto"/>
              </w:rPr>
            </w:pPr>
            <w:r>
              <w:rPr>
                <w:rFonts w:ascii="Calibri" w:cs="Calibri" w:eastAsia="Calibri" w:hAnsi="Calibri"/>
                <w:sz w:val="12"/>
                <w:szCs w:val="12"/>
                <w:color w:val="auto"/>
              </w:rPr>
              <w:t>-0.1%</w:t>
            </w:r>
          </w:p>
        </w:tc>
        <w:tc>
          <w:tcPr>
            <w:tcW w:w="1320" w:type="dxa"/>
            <w:vAlign w:val="bottom"/>
            <w:tcBorders>
              <w:top w:val="single" w:sz="8" w:color="auto"/>
              <w:right w:val="single" w:sz="8" w:color="auto"/>
            </w:tcBorders>
          </w:tcPr>
          <w:p>
            <w:pPr>
              <w:jc w:val="center"/>
              <w:ind w:left="200"/>
              <w:spacing w:after="0" w:line="145" w:lineRule="exact"/>
              <w:rPr>
                <w:sz w:val="20"/>
                <w:szCs w:val="20"/>
                <w:color w:val="auto"/>
              </w:rPr>
            </w:pPr>
            <w:r>
              <w:rPr>
                <w:rFonts w:ascii="Calibri" w:cs="Calibri" w:eastAsia="Calibri" w:hAnsi="Calibri"/>
                <w:sz w:val="12"/>
                <w:szCs w:val="12"/>
                <w:color w:val="auto"/>
              </w:rPr>
              <w:t>125.4%</w:t>
            </w:r>
          </w:p>
        </w:tc>
      </w:tr>
      <w:tr>
        <w:trPr>
          <w:trHeight w:val="169"/>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Recoveries of writen-of loans</w:t>
            </w:r>
          </w:p>
        </w:tc>
        <w:tc>
          <w:tcPr>
            <w:tcW w:w="1560" w:type="dxa"/>
            <w:vAlign w:val="bottom"/>
          </w:tcPr>
          <w:p>
            <w:pPr>
              <w:jc w:val="right"/>
              <w:ind w:right="180"/>
              <w:spacing w:after="0"/>
              <w:rPr>
                <w:sz w:val="20"/>
                <w:szCs w:val="20"/>
                <w:color w:val="auto"/>
              </w:rPr>
            </w:pPr>
            <w:r>
              <w:rPr>
                <w:rFonts w:ascii="Calibri" w:cs="Calibri" w:eastAsia="Calibri" w:hAnsi="Calibri"/>
                <w:sz w:val="12"/>
                <w:szCs w:val="12"/>
                <w:color w:val="auto"/>
              </w:rPr>
              <w:t>93,091</w:t>
            </w:r>
          </w:p>
        </w:tc>
        <w:tc>
          <w:tcPr>
            <w:tcW w:w="1360" w:type="dxa"/>
            <w:vAlign w:val="bottom"/>
          </w:tcPr>
          <w:p>
            <w:pPr>
              <w:jc w:val="right"/>
              <w:ind w:right="200"/>
              <w:spacing w:after="0"/>
              <w:rPr>
                <w:sz w:val="20"/>
                <w:szCs w:val="20"/>
                <w:color w:val="auto"/>
              </w:rPr>
            </w:pPr>
            <w:r>
              <w:rPr>
                <w:rFonts w:ascii="Calibri" w:cs="Calibri" w:eastAsia="Calibri" w:hAnsi="Calibri"/>
                <w:sz w:val="12"/>
                <w:szCs w:val="12"/>
                <w:color w:val="auto"/>
              </w:rPr>
              <w:t>84,908</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75,109</w:t>
            </w:r>
          </w:p>
        </w:tc>
        <w:tc>
          <w:tcPr>
            <w:tcW w:w="720" w:type="dxa"/>
            <w:vAlign w:val="bottom"/>
          </w:tcPr>
          <w:p>
            <w:pPr>
              <w:jc w:val="center"/>
              <w:ind w:left="220"/>
              <w:spacing w:after="0"/>
              <w:rPr>
                <w:sz w:val="20"/>
                <w:szCs w:val="20"/>
                <w:color w:val="auto"/>
              </w:rPr>
            </w:pPr>
            <w:r>
              <w:rPr>
                <w:rFonts w:ascii="Calibri" w:cs="Calibri" w:eastAsia="Calibri" w:hAnsi="Calibri"/>
                <w:sz w:val="12"/>
                <w:szCs w:val="12"/>
                <w:color w:val="auto"/>
                <w:w w:val="95"/>
              </w:rPr>
              <w:t>-11.5%</w:t>
            </w:r>
          </w:p>
        </w:tc>
        <w:tc>
          <w:tcPr>
            <w:tcW w:w="1320" w:type="dxa"/>
            <w:vAlign w:val="bottom"/>
            <w:tcBorders>
              <w:right w:val="single" w:sz="8" w:color="auto"/>
            </w:tcBorders>
          </w:tcPr>
          <w:p>
            <w:pPr>
              <w:jc w:val="center"/>
              <w:ind w:left="200"/>
              <w:spacing w:after="0"/>
              <w:rPr>
                <w:sz w:val="20"/>
                <w:szCs w:val="20"/>
                <w:color w:val="auto"/>
              </w:rPr>
            </w:pPr>
            <w:r>
              <w:rPr>
                <w:rFonts w:ascii="Calibri" w:cs="Calibri" w:eastAsia="Calibri" w:hAnsi="Calibri"/>
                <w:sz w:val="12"/>
                <w:szCs w:val="12"/>
                <w:color w:val="auto"/>
              </w:rPr>
              <w:t>-19.3%</w:t>
            </w:r>
          </w:p>
        </w:tc>
      </w:tr>
      <w:tr>
        <w:trPr>
          <w:trHeight w:val="170"/>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Provision for credit losses on loan portolio, net of recoveries</w:t>
            </w:r>
          </w:p>
        </w:tc>
        <w:tc>
          <w:tcPr>
            <w:tcW w:w="1560" w:type="dxa"/>
            <w:vAlign w:val="bottom"/>
          </w:tcPr>
          <w:p>
            <w:pPr>
              <w:jc w:val="right"/>
              <w:ind w:right="180"/>
              <w:spacing w:after="0"/>
              <w:rPr>
                <w:sz w:val="20"/>
                <w:szCs w:val="20"/>
                <w:color w:val="auto"/>
              </w:rPr>
            </w:pPr>
            <w:r>
              <w:rPr>
                <w:rFonts w:ascii="Calibri" w:cs="Calibri" w:eastAsia="Calibri" w:hAnsi="Calibri"/>
                <w:sz w:val="12"/>
                <w:szCs w:val="12"/>
                <w:b w:val="1"/>
                <w:bCs w:val="1"/>
                <w:color w:val="auto"/>
              </w:rPr>
              <w:t>(261,462)</w:t>
            </w:r>
          </w:p>
        </w:tc>
        <w:tc>
          <w:tcPr>
            <w:tcW w:w="1360" w:type="dxa"/>
            <w:vAlign w:val="bottom"/>
          </w:tcPr>
          <w:p>
            <w:pPr>
              <w:jc w:val="right"/>
              <w:ind w:right="200"/>
              <w:spacing w:after="0"/>
              <w:rPr>
                <w:sz w:val="20"/>
                <w:szCs w:val="20"/>
                <w:color w:val="auto"/>
              </w:rPr>
            </w:pPr>
            <w:r>
              <w:rPr>
                <w:rFonts w:ascii="Calibri" w:cs="Calibri" w:eastAsia="Calibri" w:hAnsi="Calibri"/>
                <w:sz w:val="12"/>
                <w:szCs w:val="12"/>
                <w:b w:val="1"/>
                <w:bCs w:val="1"/>
                <w:color w:val="auto"/>
              </w:rPr>
              <w:t>(714,956)</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b w:val="1"/>
                <w:bCs w:val="1"/>
                <w:color w:val="auto"/>
              </w:rPr>
              <w:t>(724,020)</w:t>
            </w:r>
          </w:p>
        </w:tc>
        <w:tc>
          <w:tcPr>
            <w:tcW w:w="720" w:type="dxa"/>
            <w:vAlign w:val="bottom"/>
          </w:tcPr>
          <w:p>
            <w:pPr>
              <w:jc w:val="center"/>
              <w:ind w:left="220"/>
              <w:spacing w:after="0"/>
              <w:rPr>
                <w:sz w:val="20"/>
                <w:szCs w:val="20"/>
                <w:color w:val="auto"/>
              </w:rPr>
            </w:pPr>
            <w:r>
              <w:rPr>
                <w:rFonts w:ascii="Calibri" w:cs="Calibri" w:eastAsia="Calibri" w:hAnsi="Calibri"/>
                <w:sz w:val="12"/>
                <w:szCs w:val="12"/>
                <w:b w:val="1"/>
                <w:bCs w:val="1"/>
                <w:color w:val="auto"/>
                <w:w w:val="99"/>
              </w:rPr>
              <w:t>1.3%</w:t>
            </w:r>
          </w:p>
        </w:tc>
        <w:tc>
          <w:tcPr>
            <w:tcW w:w="1320" w:type="dxa"/>
            <w:vAlign w:val="bottom"/>
            <w:tcBorders>
              <w:right w:val="single" w:sz="8" w:color="auto"/>
            </w:tcBorders>
          </w:tcPr>
          <w:p>
            <w:pPr>
              <w:jc w:val="center"/>
              <w:ind w:left="200"/>
              <w:spacing w:after="0"/>
              <w:rPr>
                <w:sz w:val="20"/>
                <w:szCs w:val="20"/>
                <w:color w:val="auto"/>
              </w:rPr>
            </w:pPr>
            <w:r>
              <w:rPr>
                <w:rFonts w:ascii="Calibri" w:cs="Calibri" w:eastAsia="Calibri" w:hAnsi="Calibri"/>
                <w:sz w:val="12"/>
                <w:szCs w:val="12"/>
                <w:b w:val="1"/>
                <w:bCs w:val="1"/>
                <w:color w:val="auto"/>
              </w:rPr>
              <w:t>176.9%</w:t>
            </w:r>
          </w:p>
        </w:tc>
      </w:tr>
      <w:tr>
        <w:trPr>
          <w:trHeight w:val="29"/>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173"/>
        </w:trPr>
        <w:tc>
          <w:tcPr>
            <w:tcW w:w="5200" w:type="dxa"/>
            <w:vAlign w:val="bottom"/>
            <w:tcBorders>
              <w:left w:val="single" w:sz="8" w:color="auto"/>
              <w:bottom w:val="single" w:sz="8" w:color="auto"/>
              <w:right w:val="single" w:sz="8" w:color="auto"/>
            </w:tcBorders>
          </w:tcPr>
          <w:p>
            <w:pPr>
              <w:ind w:left="20"/>
              <w:spacing w:after="0" w:line="170" w:lineRule="exact"/>
              <w:rPr>
                <w:sz w:val="20"/>
                <w:szCs w:val="20"/>
                <w:color w:val="auto"/>
              </w:rPr>
            </w:pPr>
            <w:r>
              <w:rPr>
                <w:rFonts w:ascii="Calibri" w:cs="Calibri" w:eastAsia="Calibri" w:hAnsi="Calibri"/>
                <w:sz w:val="11"/>
                <w:szCs w:val="11"/>
                <w:color w:val="auto"/>
              </w:rPr>
              <w:t xml:space="preserve">Structural Cost of risk </w:t>
            </w:r>
            <w:r>
              <w:rPr>
                <w:rFonts w:ascii="Calibri" w:cs="Calibri" w:eastAsia="Calibri" w:hAnsi="Calibri"/>
                <w:sz w:val="18"/>
                <w:szCs w:val="18"/>
                <w:color w:val="auto"/>
                <w:vertAlign w:val="superscript"/>
              </w:rPr>
              <w:t>(2)</w:t>
            </w:r>
          </w:p>
        </w:tc>
        <w:tc>
          <w:tcPr>
            <w:tcW w:w="1560" w:type="dxa"/>
            <w:vAlign w:val="bottom"/>
            <w:tcBorders>
              <w:bottom w:val="single" w:sz="8" w:color="auto"/>
            </w:tcBorders>
          </w:tcPr>
          <w:p>
            <w:pPr>
              <w:jc w:val="right"/>
              <w:ind w:right="180"/>
              <w:spacing w:after="0" w:line="145" w:lineRule="exact"/>
              <w:rPr>
                <w:sz w:val="20"/>
                <w:szCs w:val="20"/>
                <w:color w:val="auto"/>
              </w:rPr>
            </w:pPr>
            <w:r>
              <w:rPr>
                <w:rFonts w:ascii="Calibri" w:cs="Calibri" w:eastAsia="Calibri" w:hAnsi="Calibri"/>
                <w:sz w:val="12"/>
                <w:szCs w:val="12"/>
                <w:color w:val="auto"/>
              </w:rPr>
              <w:t>0.82%</w:t>
            </w:r>
          </w:p>
        </w:tc>
        <w:tc>
          <w:tcPr>
            <w:tcW w:w="1360" w:type="dxa"/>
            <w:vAlign w:val="bottom"/>
            <w:tcBorders>
              <w:bottom w:val="single" w:sz="8" w:color="auto"/>
            </w:tcBorders>
          </w:tcPr>
          <w:p>
            <w:pPr>
              <w:jc w:val="right"/>
              <w:ind w:right="200"/>
              <w:spacing w:after="0" w:line="145" w:lineRule="exact"/>
              <w:rPr>
                <w:sz w:val="20"/>
                <w:szCs w:val="20"/>
                <w:color w:val="auto"/>
              </w:rPr>
            </w:pPr>
            <w:r>
              <w:rPr>
                <w:rFonts w:ascii="Calibri" w:cs="Calibri" w:eastAsia="Calibri" w:hAnsi="Calibri"/>
                <w:sz w:val="12"/>
                <w:szCs w:val="12"/>
                <w:color w:val="auto"/>
              </w:rPr>
              <w:t>2.06%</w:t>
            </w:r>
          </w:p>
        </w:tc>
        <w:tc>
          <w:tcPr>
            <w:tcW w:w="1100" w:type="dxa"/>
            <w:vAlign w:val="bottom"/>
            <w:tcBorders>
              <w:bottom w:val="single" w:sz="8" w:color="auto"/>
              <w:right w:val="single" w:sz="8" w:color="auto"/>
            </w:tcBorders>
          </w:tcPr>
          <w:p>
            <w:pPr>
              <w:jc w:val="right"/>
              <w:spacing w:after="0" w:line="145" w:lineRule="exact"/>
              <w:rPr>
                <w:sz w:val="20"/>
                <w:szCs w:val="20"/>
                <w:color w:val="auto"/>
              </w:rPr>
            </w:pPr>
            <w:r>
              <w:rPr>
                <w:rFonts w:ascii="Calibri" w:cs="Calibri" w:eastAsia="Calibri" w:hAnsi="Calibri"/>
                <w:sz w:val="12"/>
                <w:szCs w:val="12"/>
                <w:color w:val="auto"/>
              </w:rPr>
              <w:t>2.10%</w:t>
            </w:r>
          </w:p>
        </w:tc>
        <w:tc>
          <w:tcPr>
            <w:tcW w:w="720" w:type="dxa"/>
            <w:vAlign w:val="bottom"/>
            <w:tcBorders>
              <w:bottom w:val="single" w:sz="8" w:color="auto"/>
            </w:tcBorders>
          </w:tcPr>
          <w:p>
            <w:pPr>
              <w:jc w:val="center"/>
              <w:ind w:left="220"/>
              <w:spacing w:after="0" w:line="145" w:lineRule="exact"/>
              <w:rPr>
                <w:sz w:val="20"/>
                <w:szCs w:val="20"/>
                <w:color w:val="auto"/>
              </w:rPr>
            </w:pPr>
            <w:r>
              <w:rPr>
                <w:rFonts w:ascii="Calibri" w:cs="Calibri" w:eastAsia="Calibri" w:hAnsi="Calibri"/>
                <w:sz w:val="12"/>
                <w:szCs w:val="12"/>
                <w:color w:val="auto"/>
              </w:rPr>
              <w:t>4 bps</w:t>
            </w:r>
          </w:p>
        </w:tc>
        <w:tc>
          <w:tcPr>
            <w:tcW w:w="1320" w:type="dxa"/>
            <w:vAlign w:val="bottom"/>
            <w:tcBorders>
              <w:bottom w:val="single" w:sz="8" w:color="auto"/>
              <w:right w:val="single" w:sz="8" w:color="auto"/>
            </w:tcBorders>
          </w:tcPr>
          <w:p>
            <w:pPr>
              <w:jc w:val="center"/>
              <w:ind w:left="200"/>
              <w:spacing w:after="0" w:line="145" w:lineRule="exact"/>
              <w:rPr>
                <w:sz w:val="20"/>
                <w:szCs w:val="20"/>
                <w:color w:val="auto"/>
              </w:rPr>
            </w:pPr>
            <w:r>
              <w:rPr>
                <w:rFonts w:ascii="Calibri" w:cs="Calibri" w:eastAsia="Calibri" w:hAnsi="Calibri"/>
                <w:sz w:val="12"/>
                <w:szCs w:val="12"/>
                <w:color w:val="auto"/>
                <w:w w:val="99"/>
              </w:rPr>
              <w:t>128 bps</w:t>
            </w:r>
          </w:p>
        </w:tc>
      </w:tr>
    </w:tbl>
    <w:p>
      <w:pPr>
        <w:spacing w:after="0" w:line="186" w:lineRule="exact"/>
        <w:rPr>
          <w:sz w:val="20"/>
          <w:szCs w:val="20"/>
          <w:color w:val="auto"/>
        </w:rPr>
      </w:pPr>
    </w:p>
    <w:p>
      <w:pPr>
        <w:ind w:left="129" w:hanging="129"/>
        <w:spacing w:after="0"/>
        <w:tabs>
          <w:tab w:leader="none" w:pos="129" w:val="left"/>
        </w:tabs>
        <w:numPr>
          <w:ilvl w:val="0"/>
          <w:numId w:val="29"/>
        </w:numPr>
        <w:rPr>
          <w:rFonts w:ascii="Calibri" w:cs="Calibri" w:eastAsia="Calibri" w:hAnsi="Calibri"/>
          <w:sz w:val="10"/>
          <w:szCs w:val="10"/>
          <w:color w:val="auto"/>
        </w:rPr>
      </w:pPr>
      <w:r>
        <w:rPr>
          <w:rFonts w:ascii="Calibri" w:cs="Calibri" w:eastAsia="Calibri" w:hAnsi="Calibri"/>
          <w:sz w:val="10"/>
          <w:szCs w:val="10"/>
          <w:color w:val="auto"/>
        </w:rPr>
        <w:t>Annualized Provision for credit losses on loan portolio, net of recoveries.</w:t>
      </w:r>
    </w:p>
    <w:p>
      <w:pPr>
        <w:ind w:left="129" w:hanging="129"/>
        <w:spacing w:after="0" w:line="223" w:lineRule="auto"/>
        <w:tabs>
          <w:tab w:leader="none" w:pos="129" w:val="left"/>
        </w:tabs>
        <w:numPr>
          <w:ilvl w:val="0"/>
          <w:numId w:val="29"/>
        </w:numPr>
        <w:rPr>
          <w:rFonts w:ascii="Calibri" w:cs="Calibri" w:eastAsia="Calibri" w:hAnsi="Calibri"/>
          <w:sz w:val="10"/>
          <w:szCs w:val="10"/>
          <w:color w:val="auto"/>
        </w:rPr>
      </w:pPr>
      <w:r>
        <w:rPr>
          <w:rFonts w:ascii="Calibri" w:cs="Calibri" w:eastAsia="Calibri" w:hAnsi="Calibri"/>
          <w:sz w:val="10"/>
          <w:szCs w:val="10"/>
          <w:color w:val="auto"/>
        </w:rPr>
        <w:t>The Structural Cost of risk excludes the Provisions for credit losses on loan portolio, net of recoveries and Total Loans from the Reactva Peru and FAE Government Programs.</w:t>
      </w:r>
    </w:p>
    <w:p>
      <w:pPr>
        <w:spacing w:after="0" w:line="169"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QoQ</w:t>
      </w:r>
      <w:r>
        <w:rPr>
          <w:rFonts w:ascii="Calibri" w:cs="Calibri" w:eastAsia="Calibri" w:hAnsi="Calibri"/>
          <w:sz w:val="15"/>
          <w:szCs w:val="15"/>
          <w:color w:val="auto"/>
        </w:rPr>
        <w:t>, structural provisions rose slightly. This led to a 4 bps increase in the</w:t>
      </w:r>
      <w:r>
        <w:rPr>
          <w:rFonts w:ascii="Calibri" w:cs="Calibri" w:eastAsia="Calibri" w:hAnsi="Calibri"/>
          <w:sz w:val="15"/>
          <w:szCs w:val="15"/>
          <w:b w:val="1"/>
          <w:bCs w:val="1"/>
          <w:color w:val="auto"/>
        </w:rPr>
        <w:t xml:space="preserve"> structural CofR</w:t>
      </w:r>
      <w:r>
        <w:rPr>
          <w:rFonts w:ascii="Calibri" w:cs="Calibri" w:eastAsia="Calibri" w:hAnsi="Calibri"/>
          <w:sz w:val="15"/>
          <w:szCs w:val="15"/>
          <w:color w:val="auto"/>
        </w:rPr>
        <w:t>. The segments that drove the rato upward were:</w:t>
      </w:r>
    </w:p>
    <w:p>
      <w:pPr>
        <w:spacing w:after="0" w:line="203" w:lineRule="exact"/>
        <w:rPr>
          <w:sz w:val="20"/>
          <w:szCs w:val="20"/>
          <w:color w:val="auto"/>
        </w:rPr>
      </w:pPr>
    </w:p>
    <w:p>
      <w:pPr>
        <w:ind w:left="269" w:hanging="269"/>
        <w:spacing w:after="0"/>
        <w:tabs>
          <w:tab w:leader="none" w:pos="269" w:val="left"/>
        </w:tabs>
        <w:numPr>
          <w:ilvl w:val="0"/>
          <w:numId w:val="30"/>
        </w:numPr>
        <w:rPr>
          <w:rFonts w:ascii="Arial" w:cs="Arial" w:eastAsia="Arial" w:hAnsi="Arial"/>
          <w:sz w:val="15"/>
          <w:szCs w:val="15"/>
          <w:color w:val="auto"/>
        </w:rPr>
      </w:pPr>
      <w:r>
        <w:rPr>
          <w:rFonts w:ascii="Calibri" w:cs="Calibri" w:eastAsia="Calibri" w:hAnsi="Calibri"/>
          <w:sz w:val="15"/>
          <w:szCs w:val="15"/>
          <w:b w:val="1"/>
          <w:bCs w:val="1"/>
          <w:color w:val="auto"/>
        </w:rPr>
        <w:t xml:space="preserve">SME-Pyme, </w:t>
      </w:r>
      <w:r>
        <w:rPr>
          <w:rFonts w:ascii="Calibri" w:cs="Calibri" w:eastAsia="Calibri" w:hAnsi="Calibri"/>
          <w:sz w:val="15"/>
          <w:szCs w:val="15"/>
          <w:color w:val="auto"/>
        </w:rPr>
        <w:t>spurred by a deterioraton in payment behavior afer the bank incurred in higher-risk segments in 2022.</w:t>
      </w:r>
    </w:p>
    <w:p>
      <w:pPr>
        <w:spacing w:after="0" w:line="23" w:lineRule="exact"/>
        <w:rPr>
          <w:rFonts w:ascii="Arial" w:cs="Arial" w:eastAsia="Arial" w:hAnsi="Arial"/>
          <w:sz w:val="15"/>
          <w:szCs w:val="15"/>
          <w:color w:val="auto"/>
        </w:rPr>
      </w:pPr>
    </w:p>
    <w:p>
      <w:pPr>
        <w:ind w:left="269" w:right="20" w:hanging="269"/>
        <w:spacing w:after="0" w:line="222" w:lineRule="auto"/>
        <w:tabs>
          <w:tab w:leader="none" w:pos="269" w:val="left"/>
        </w:tabs>
        <w:numPr>
          <w:ilvl w:val="0"/>
          <w:numId w:val="30"/>
        </w:numPr>
        <w:rPr>
          <w:rFonts w:ascii="Arial" w:cs="Arial" w:eastAsia="Arial" w:hAnsi="Arial"/>
          <w:sz w:val="15"/>
          <w:szCs w:val="15"/>
          <w:color w:val="auto"/>
        </w:rPr>
      </w:pPr>
      <w:r>
        <w:rPr>
          <w:rFonts w:ascii="Calibri" w:cs="Calibri" w:eastAsia="Calibri" w:hAnsi="Calibri"/>
          <w:sz w:val="15"/>
          <w:szCs w:val="15"/>
          <w:b w:val="1"/>
          <w:bCs w:val="1"/>
          <w:color w:val="auto"/>
        </w:rPr>
        <w:t>Individuals</w:t>
      </w:r>
      <w:r>
        <w:rPr>
          <w:rFonts w:ascii="Calibri" w:cs="Calibri" w:eastAsia="Calibri" w:hAnsi="Calibri"/>
          <w:sz w:val="15"/>
          <w:szCs w:val="15"/>
          <w:color w:val="auto"/>
        </w:rPr>
        <w:t>, due to primarily to deterioraton in payment behavior in</w:t>
      </w:r>
      <w:r>
        <w:rPr>
          <w:rFonts w:ascii="Calibri" w:cs="Calibri" w:eastAsia="Calibri" w:hAnsi="Calibri"/>
          <w:sz w:val="15"/>
          <w:szCs w:val="15"/>
          <w:b w:val="1"/>
          <w:bCs w:val="1"/>
          <w:color w:val="auto"/>
        </w:rPr>
        <w:t xml:space="preserve"> Consumer </w:t>
      </w:r>
      <w:r>
        <w:rPr>
          <w:rFonts w:ascii="Calibri" w:cs="Calibri" w:eastAsia="Calibri" w:hAnsi="Calibri"/>
          <w:sz w:val="15"/>
          <w:szCs w:val="15"/>
          <w:color w:val="auto"/>
        </w:rPr>
        <w:t>and</w:t>
      </w:r>
      <w:r>
        <w:rPr>
          <w:rFonts w:ascii="Calibri" w:cs="Calibri" w:eastAsia="Calibri" w:hAnsi="Calibri"/>
          <w:sz w:val="15"/>
          <w:szCs w:val="15"/>
          <w:b w:val="1"/>
          <w:bCs w:val="1"/>
          <w:color w:val="auto"/>
        </w:rPr>
        <w:t xml:space="preserve"> Credit Cards </w:t>
      </w:r>
      <w:r>
        <w:rPr>
          <w:rFonts w:ascii="Calibri" w:cs="Calibri" w:eastAsia="Calibri" w:hAnsi="Calibri"/>
          <w:sz w:val="15"/>
          <w:szCs w:val="15"/>
          <w:color w:val="auto"/>
        </w:rPr>
        <w:t>given that in 2022, new segments with higher risk profles were penetrated, and</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secondarily to an update in macroeconomic factors, which capture new expectatons for higher infaton and lower GDP in 2023.</w:t>
      </w:r>
    </w:p>
    <w:p>
      <w:pPr>
        <w:spacing w:after="0" w:line="3" w:lineRule="exact"/>
        <w:rPr>
          <w:rFonts w:ascii="Arial" w:cs="Arial" w:eastAsia="Arial" w:hAnsi="Arial"/>
          <w:sz w:val="15"/>
          <w:szCs w:val="15"/>
          <w:color w:val="auto"/>
        </w:rPr>
      </w:pPr>
    </w:p>
    <w:p>
      <w:pPr>
        <w:ind w:left="269" w:hanging="269"/>
        <w:spacing w:after="0" w:line="236" w:lineRule="auto"/>
        <w:tabs>
          <w:tab w:leader="none" w:pos="269" w:val="left"/>
        </w:tabs>
        <w:numPr>
          <w:ilvl w:val="0"/>
          <w:numId w:val="30"/>
        </w:numPr>
        <w:rPr>
          <w:rFonts w:ascii="Arial" w:cs="Arial" w:eastAsia="Arial" w:hAnsi="Arial"/>
          <w:sz w:val="15"/>
          <w:szCs w:val="15"/>
          <w:color w:val="auto"/>
        </w:rPr>
      </w:pPr>
      <w:r>
        <w:rPr>
          <w:rFonts w:ascii="Calibri" w:cs="Calibri" w:eastAsia="Calibri" w:hAnsi="Calibri"/>
          <w:sz w:val="15"/>
          <w:szCs w:val="15"/>
          <w:b w:val="1"/>
          <w:bCs w:val="1"/>
          <w:color w:val="auto"/>
        </w:rPr>
        <w:t>Mibanco</w:t>
      </w:r>
      <w:r>
        <w:rPr>
          <w:rFonts w:ascii="Calibri" w:cs="Calibri" w:eastAsia="Calibri" w:hAnsi="Calibri"/>
          <w:sz w:val="15"/>
          <w:szCs w:val="15"/>
          <w:color w:val="auto"/>
        </w:rPr>
        <w:t>, whose portolio was severely impacted by an environment punctuated by social protests in the south and intense rains in the north and by updates of macroeconomic factors</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to beter capture deterioraton in the macroeconomic context.</w:t>
      </w:r>
    </w:p>
    <w:p>
      <w:pPr>
        <w:spacing w:after="0" w:line="184" w:lineRule="exact"/>
        <w:rPr>
          <w:sz w:val="20"/>
          <w:szCs w:val="20"/>
          <w:color w:val="auto"/>
        </w:rPr>
      </w:pPr>
    </w:p>
    <w:p>
      <w:pPr>
        <w:ind w:left="9" w:firstLine="39"/>
        <w:spacing w:after="0" w:line="236" w:lineRule="auto"/>
        <w:rPr>
          <w:sz w:val="20"/>
          <w:szCs w:val="20"/>
          <w:color w:val="auto"/>
        </w:rPr>
      </w:pPr>
      <w:r>
        <w:rPr>
          <w:rFonts w:ascii="Calibri" w:cs="Calibri" w:eastAsia="Calibri" w:hAnsi="Calibri"/>
          <w:sz w:val="15"/>
          <w:szCs w:val="15"/>
          <w:color w:val="auto"/>
        </w:rPr>
        <w:t xml:space="preserve">Growth in total provisions was partally ofset by a drop in provisions in </w:t>
      </w:r>
      <w:r>
        <w:rPr>
          <w:rFonts w:ascii="Calibri" w:cs="Calibri" w:eastAsia="Calibri" w:hAnsi="Calibri"/>
          <w:sz w:val="15"/>
          <w:szCs w:val="15"/>
          <w:b w:val="1"/>
          <w:bCs w:val="1"/>
          <w:color w:val="auto"/>
        </w:rPr>
        <w:t>Wholesale Banking</w:t>
      </w:r>
      <w:r>
        <w:rPr>
          <w:rFonts w:ascii="Calibri" w:cs="Calibri" w:eastAsia="Calibri" w:hAnsi="Calibri"/>
          <w:sz w:val="15"/>
          <w:szCs w:val="15"/>
          <w:color w:val="auto"/>
        </w:rPr>
        <w:t>, which experienced a decrease in its exposure level that refected a reducton in balances and debt payments by clients that were in default.</w:t>
      </w: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53" w:right="319" w:bottom="1440" w:gutter="0" w:footer="0" w:header="0"/>
        </w:sectPr>
      </w:pPr>
    </w:p>
    <w:bookmarkStart w:id="32" w:name="page33"/>
    <w:bookmarkEnd w:id="32"/>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7153910" cy="2305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99"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05. Provisions</w:t>
      </w:r>
    </w:p>
    <w:p>
      <w:pPr>
        <w:spacing w:after="0" w:line="274"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6420" w:type="dxa"/>
            <w:vAlign w:val="bottom"/>
          </w:tcPr>
          <w:p>
            <w:pPr>
              <w:spacing w:after="0"/>
              <w:rPr>
                <w:sz w:val="20"/>
                <w:szCs w:val="20"/>
                <w:color w:val="auto"/>
              </w:rPr>
            </w:pPr>
            <w:r>
              <w:rPr>
                <w:rFonts w:ascii="Calibri" w:cs="Calibri" w:eastAsia="Calibri" w:hAnsi="Calibri"/>
                <w:sz w:val="15"/>
                <w:szCs w:val="15"/>
                <w:b w:val="1"/>
                <w:bCs w:val="1"/>
                <w:color w:val="auto"/>
              </w:rPr>
              <w:t xml:space="preserve">YoY </w:t>
            </w:r>
            <w:r>
              <w:rPr>
                <w:rFonts w:ascii="Times New Roman" w:cs="Times New Roman" w:eastAsia="Times New Roman" w:hAnsi="Times New Roman"/>
                <w:sz w:val="15"/>
                <w:szCs w:val="15"/>
                <w:color w:val="auto"/>
              </w:rPr>
              <w:t>the structural CofR increased 128bp, in line with growth in provisions. The uptick in</w:t>
            </w:r>
          </w:p>
        </w:tc>
        <w:tc>
          <w:tcPr>
            <w:tcW w:w="3240" w:type="dxa"/>
            <w:vAlign w:val="bottom"/>
          </w:tcPr>
          <w:p>
            <w:pPr>
              <w:ind w:left="1040"/>
              <w:spacing w:after="0"/>
              <w:rPr>
                <w:sz w:val="20"/>
                <w:szCs w:val="20"/>
                <w:color w:val="auto"/>
              </w:rPr>
            </w:pPr>
            <w:r>
              <w:rPr>
                <w:rFonts w:ascii="Calibri" w:cs="Calibri" w:eastAsia="Calibri" w:hAnsi="Calibri"/>
                <w:sz w:val="15"/>
                <w:szCs w:val="15"/>
                <w:b w:val="1"/>
                <w:bCs w:val="1"/>
                <w:color w:val="auto"/>
                <w:w w:val="97"/>
              </w:rPr>
              <w:t>Structural Cost of Risk by Subsidiary</w:t>
            </w:r>
          </w:p>
        </w:tc>
      </w:tr>
      <w:tr>
        <w:trPr>
          <w:trHeight w:val="197"/>
        </w:trPr>
        <w:tc>
          <w:tcPr>
            <w:tcW w:w="6420" w:type="dxa"/>
            <w:vAlign w:val="bottom"/>
          </w:tcPr>
          <w:p>
            <w:pPr>
              <w:spacing w:after="0"/>
              <w:rPr>
                <w:sz w:val="20"/>
                <w:szCs w:val="20"/>
                <w:color w:val="auto"/>
              </w:rPr>
            </w:pPr>
            <w:r>
              <w:rPr>
                <w:rFonts w:ascii="Times New Roman" w:cs="Times New Roman" w:eastAsia="Times New Roman" w:hAnsi="Times New Roman"/>
                <w:sz w:val="15"/>
                <w:szCs w:val="15"/>
                <w:color w:val="auto"/>
              </w:rPr>
              <w:t>provisions expenses was driven by</w:t>
            </w:r>
          </w:p>
        </w:tc>
        <w:tc>
          <w:tcPr>
            <w:tcW w:w="32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-6985</wp:posOffset>
            </wp:positionV>
            <wp:extent cx="2262505" cy="13544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262505" cy="1354455"/>
                    </a:xfrm>
                    <a:prstGeom prst="rect">
                      <a:avLst/>
                    </a:prstGeom>
                    <a:noFill/>
                  </pic:spPr>
                </pic:pic>
              </a:graphicData>
            </a:graphic>
          </wp:anchor>
        </w:drawing>
      </w:r>
    </w:p>
    <w:p>
      <w:pPr>
        <w:spacing w:after="0" w:line="142" w:lineRule="exact"/>
        <w:rPr>
          <w:sz w:val="20"/>
          <w:szCs w:val="20"/>
          <w:color w:val="auto"/>
        </w:rPr>
      </w:pPr>
    </w:p>
    <w:p>
      <w:pPr>
        <w:ind w:left="269" w:right="5880" w:hanging="269"/>
        <w:spacing w:after="0" w:line="236" w:lineRule="auto"/>
        <w:tabs>
          <w:tab w:leader="none" w:pos="269" w:val="left"/>
        </w:tabs>
        <w:numPr>
          <w:ilvl w:val="0"/>
          <w:numId w:val="31"/>
        </w:numPr>
        <w:rPr>
          <w:rFonts w:ascii="Arial" w:cs="Arial" w:eastAsia="Arial" w:hAnsi="Arial"/>
          <w:sz w:val="15"/>
          <w:szCs w:val="15"/>
          <w:color w:val="auto"/>
        </w:rPr>
      </w:pPr>
      <w:r>
        <w:rPr>
          <w:rFonts w:ascii="Calibri" w:cs="Calibri" w:eastAsia="Calibri" w:hAnsi="Calibri"/>
          <w:sz w:val="15"/>
          <w:szCs w:val="15"/>
          <w:b w:val="1"/>
          <w:bCs w:val="1"/>
          <w:color w:val="auto"/>
        </w:rPr>
        <w:t xml:space="preserve">Individuals (Consumer and Credit Cards), </w:t>
      </w:r>
      <w:r>
        <w:rPr>
          <w:rFonts w:ascii="Calibri" w:cs="Calibri" w:eastAsia="Calibri" w:hAnsi="Calibri"/>
          <w:sz w:val="15"/>
          <w:szCs w:val="15"/>
          <w:color w:val="auto"/>
        </w:rPr>
        <w:t>spurred, as well the case QoQ, by a</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deterioraton in payment behavior and a low base efect.</w:t>
      </w:r>
    </w:p>
    <w:p>
      <w:pPr>
        <w:spacing w:after="0" w:line="2" w:lineRule="exact"/>
        <w:rPr>
          <w:rFonts w:ascii="Arial" w:cs="Arial" w:eastAsia="Arial" w:hAnsi="Arial"/>
          <w:sz w:val="15"/>
          <w:szCs w:val="15"/>
          <w:color w:val="auto"/>
        </w:rPr>
      </w:pPr>
    </w:p>
    <w:p>
      <w:pPr>
        <w:ind w:left="269" w:right="5880" w:hanging="269"/>
        <w:spacing w:after="0" w:line="236" w:lineRule="auto"/>
        <w:tabs>
          <w:tab w:leader="none" w:pos="269" w:val="left"/>
        </w:tabs>
        <w:numPr>
          <w:ilvl w:val="0"/>
          <w:numId w:val="31"/>
        </w:numPr>
        <w:rPr>
          <w:rFonts w:ascii="Arial" w:cs="Arial" w:eastAsia="Arial" w:hAnsi="Arial"/>
          <w:sz w:val="15"/>
          <w:szCs w:val="15"/>
          <w:color w:val="auto"/>
        </w:rPr>
      </w:pPr>
      <w:r>
        <w:rPr>
          <w:rFonts w:ascii="Calibri" w:cs="Calibri" w:eastAsia="Calibri" w:hAnsi="Calibri"/>
          <w:sz w:val="15"/>
          <w:szCs w:val="15"/>
          <w:b w:val="1"/>
          <w:bCs w:val="1"/>
          <w:color w:val="auto"/>
        </w:rPr>
        <w:t xml:space="preserve">Mibanco, </w:t>
      </w:r>
      <w:r>
        <w:rPr>
          <w:rFonts w:ascii="Calibri" w:cs="Calibri" w:eastAsia="Calibri" w:hAnsi="Calibri"/>
          <w:sz w:val="15"/>
          <w:szCs w:val="15"/>
          <w:color w:val="auto"/>
        </w:rPr>
        <w:t>due to the same environmental impacts outlined in the QoQ dynamics and</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a low base efect.</w:t>
      </w:r>
    </w:p>
    <w:p>
      <w:pPr>
        <w:spacing w:after="0" w:line="2" w:lineRule="exact"/>
        <w:rPr>
          <w:rFonts w:ascii="Arial" w:cs="Arial" w:eastAsia="Arial" w:hAnsi="Arial"/>
          <w:sz w:val="15"/>
          <w:szCs w:val="15"/>
          <w:color w:val="auto"/>
        </w:rPr>
      </w:pPr>
    </w:p>
    <w:p>
      <w:pPr>
        <w:ind w:left="269" w:right="5880" w:hanging="269"/>
        <w:spacing w:after="0" w:line="236" w:lineRule="auto"/>
        <w:tabs>
          <w:tab w:leader="none" w:pos="269" w:val="left"/>
        </w:tabs>
        <w:numPr>
          <w:ilvl w:val="0"/>
          <w:numId w:val="31"/>
        </w:numPr>
        <w:rPr>
          <w:rFonts w:ascii="Arial" w:cs="Arial" w:eastAsia="Arial" w:hAnsi="Arial"/>
          <w:sz w:val="15"/>
          <w:szCs w:val="15"/>
          <w:color w:val="auto"/>
        </w:rPr>
      </w:pPr>
      <w:r>
        <w:rPr>
          <w:rFonts w:ascii="Calibri" w:cs="Calibri" w:eastAsia="Calibri" w:hAnsi="Calibri"/>
          <w:sz w:val="15"/>
          <w:szCs w:val="15"/>
          <w:b w:val="1"/>
          <w:bCs w:val="1"/>
          <w:color w:val="auto"/>
        </w:rPr>
        <w:t xml:space="preserve">SME-Pyme, </w:t>
      </w:r>
      <w:r>
        <w:rPr>
          <w:rFonts w:ascii="Calibri" w:cs="Calibri" w:eastAsia="Calibri" w:hAnsi="Calibri"/>
          <w:sz w:val="15"/>
          <w:szCs w:val="15"/>
          <w:color w:val="auto"/>
        </w:rPr>
        <w:t>where provisions levels contnue to be high in line with the deterioraton</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of the loan portolio despite a slight improvement with respect to 1Q22.</w:t>
      </w:r>
    </w:p>
    <w:p>
      <w:pPr>
        <w:spacing w:after="0" w:line="184" w:lineRule="exact"/>
        <w:rPr>
          <w:sz w:val="20"/>
          <w:szCs w:val="20"/>
          <w:color w:val="auto"/>
        </w:rPr>
      </w:pPr>
    </w:p>
    <w:p>
      <w:pPr>
        <w:jc w:val="both"/>
        <w:ind w:left="9" w:right="5860"/>
        <w:spacing w:after="0" w:line="237" w:lineRule="auto"/>
        <w:rPr>
          <w:sz w:val="20"/>
          <w:szCs w:val="20"/>
          <w:color w:val="auto"/>
        </w:rPr>
      </w:pPr>
      <w:r>
        <w:rPr>
          <w:rFonts w:ascii="Calibri" w:cs="Calibri" w:eastAsia="Calibri" w:hAnsi="Calibri"/>
          <w:sz w:val="15"/>
          <w:szCs w:val="15"/>
          <w:color w:val="auto"/>
        </w:rPr>
        <w:t xml:space="preserve">Growth in total provisions expenses was partally ofset by a decline in the provisions expense in the </w:t>
      </w:r>
      <w:r>
        <w:rPr>
          <w:rFonts w:ascii="Calibri" w:cs="Calibri" w:eastAsia="Calibri" w:hAnsi="Calibri"/>
          <w:sz w:val="15"/>
          <w:szCs w:val="15"/>
          <w:b w:val="1"/>
          <w:bCs w:val="1"/>
          <w:color w:val="auto"/>
        </w:rPr>
        <w:t>Wholesale Banking</w:t>
      </w:r>
      <w:r>
        <w:rPr>
          <w:rFonts w:ascii="Calibri" w:cs="Calibri" w:eastAsia="Calibri" w:hAnsi="Calibri"/>
          <w:sz w:val="15"/>
          <w:szCs w:val="15"/>
          <w:color w:val="auto"/>
        </w:rPr>
        <w:t xml:space="preserve"> segments, which registered an improvement in payment behavior with regard to 1Q22.</w:t>
      </w:r>
    </w:p>
    <w:p>
      <w:pPr>
        <w:spacing w:after="0" w:line="200" w:lineRule="exact"/>
        <w:rPr>
          <w:sz w:val="20"/>
          <w:szCs w:val="20"/>
          <w:color w:val="auto"/>
        </w:rPr>
      </w:pPr>
    </w:p>
    <w:p>
      <w:pPr>
        <w:spacing w:after="0" w:line="267" w:lineRule="exact"/>
        <w:rPr>
          <w:sz w:val="20"/>
          <w:szCs w:val="20"/>
          <w:color w:val="auto"/>
        </w:rPr>
      </w:pPr>
    </w:p>
    <w:p>
      <w:pPr>
        <w:ind w:left="9"/>
        <w:spacing w:after="0"/>
        <w:rPr>
          <w:sz w:val="20"/>
          <w:szCs w:val="20"/>
          <w:color w:val="auto"/>
        </w:rPr>
      </w:pPr>
      <w:r>
        <w:rPr>
          <w:rFonts w:ascii="Calibri" w:cs="Calibri" w:eastAsia="Calibri" w:hAnsi="Calibri"/>
          <w:sz w:val="14"/>
          <w:szCs w:val="14"/>
          <w:color w:val="auto"/>
        </w:rPr>
        <w:t xml:space="preserve">In this context, we are closely monitoring our asset quality metrics and have implemented stricter originaton guidelines at specifc segments within </w:t>
      </w:r>
      <w:r>
        <w:rPr>
          <w:rFonts w:ascii="Calibri" w:cs="Calibri" w:eastAsia="Calibri" w:hAnsi="Calibri"/>
          <w:sz w:val="14"/>
          <w:szCs w:val="14"/>
          <w:b w:val="1"/>
          <w:bCs w:val="1"/>
          <w:color w:val="auto"/>
        </w:rPr>
        <w:t>Consumer</w:t>
      </w:r>
      <w:r>
        <w:rPr>
          <w:rFonts w:ascii="Calibri" w:cs="Calibri" w:eastAsia="Calibri" w:hAnsi="Calibri"/>
          <w:sz w:val="14"/>
          <w:szCs w:val="14"/>
          <w:color w:val="auto"/>
        </w:rPr>
        <w:t xml:space="preserve">, </w:t>
      </w:r>
      <w:r>
        <w:rPr>
          <w:rFonts w:ascii="Calibri" w:cs="Calibri" w:eastAsia="Calibri" w:hAnsi="Calibri"/>
          <w:sz w:val="14"/>
          <w:szCs w:val="14"/>
          <w:b w:val="1"/>
          <w:bCs w:val="1"/>
          <w:color w:val="auto"/>
        </w:rPr>
        <w:t>Credit Cards</w:t>
      </w:r>
      <w:r>
        <w:rPr>
          <w:rFonts w:ascii="Calibri" w:cs="Calibri" w:eastAsia="Calibri" w:hAnsi="Calibri"/>
          <w:sz w:val="14"/>
          <w:szCs w:val="14"/>
          <w:color w:val="auto"/>
        </w:rPr>
        <w:t xml:space="preserve"> and </w:t>
      </w:r>
      <w:r>
        <w:rPr>
          <w:rFonts w:ascii="Calibri" w:cs="Calibri" w:eastAsia="Calibri" w:hAnsi="Calibri"/>
          <w:sz w:val="14"/>
          <w:szCs w:val="14"/>
          <w:b w:val="1"/>
          <w:bCs w:val="1"/>
          <w:color w:val="auto"/>
        </w:rPr>
        <w:t>SME-Pyme</w:t>
      </w:r>
      <w:r>
        <w:rPr>
          <w:rFonts w:ascii="Calibri" w:cs="Calibri" w:eastAsia="Calibri" w:hAnsi="Calibri"/>
          <w:sz w:val="14"/>
          <w:szCs w:val="14"/>
          <w:color w:val="auto"/>
        </w:rPr>
        <w:t>.</w:t>
      </w:r>
    </w:p>
    <w:p>
      <w:pPr>
        <w:spacing w:after="0" w:line="7"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 xml:space="preserve">Likewise, since the second half of last year, we have reviewed the risk appette at </w:t>
      </w:r>
      <w:r>
        <w:rPr>
          <w:rFonts w:ascii="Calibri" w:cs="Calibri" w:eastAsia="Calibri" w:hAnsi="Calibri"/>
          <w:sz w:val="15"/>
          <w:szCs w:val="15"/>
          <w:b w:val="1"/>
          <w:bCs w:val="1"/>
          <w:color w:val="auto"/>
        </w:rPr>
        <w:t>Mibanco</w:t>
      </w:r>
      <w:r>
        <w:rPr>
          <w:rFonts w:ascii="Calibri" w:cs="Calibri" w:eastAsia="Calibri" w:hAnsi="Calibri"/>
          <w:sz w:val="15"/>
          <w:szCs w:val="15"/>
          <w:color w:val="auto"/>
        </w:rPr>
        <w:t xml:space="preserve"> and turn our focus on clients with beter risk profles.</w:t>
      </w:r>
    </w:p>
    <w:p>
      <w:pPr>
        <w:spacing w:after="0" w:line="203"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Provisions and CoR in the Government Loan Portolio (PG)</w:t>
      </w:r>
    </w:p>
    <w:p>
      <w:pPr>
        <w:spacing w:after="0" w:line="1" w:lineRule="exact"/>
        <w:rPr>
          <w:sz w:val="20"/>
          <w:szCs w:val="20"/>
          <w:color w:val="auto"/>
        </w:rPr>
      </w:pPr>
    </w:p>
    <w:tbl>
      <w:tblPr>
        <w:tblLayout w:type="fixed"/>
        <w:tblInd w:w="19" w:type="dxa"/>
        <w:tblCellMar>
          <w:top w:w="0" w:type="dxa"/>
          <w:left w:w="0" w:type="dxa"/>
          <w:bottom w:w="0" w:type="dxa"/>
          <w:right w:w="0" w:type="dxa"/>
        </w:tblCellMar>
      </w:tblPr>
      <w:tr>
        <w:trPr>
          <w:trHeight w:val="202"/>
        </w:trPr>
        <w:tc>
          <w:tcPr>
            <w:tcW w:w="520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GP Loan Portolio Provisions</w:t>
            </w:r>
          </w:p>
        </w:tc>
        <w:tc>
          <w:tcPr>
            <w:tcW w:w="1540" w:type="dxa"/>
            <w:vAlign w:val="bottom"/>
            <w:tcBorders>
              <w:top w:val="single" w:sz="8" w:color="auto"/>
            </w:tcBorders>
            <w:shd w:val="clear" w:color="auto" w:fill="2AD2C9"/>
          </w:tcPr>
          <w:p>
            <w:pPr>
              <w:spacing w:after="0"/>
              <w:rPr>
                <w:sz w:val="17"/>
                <w:szCs w:val="17"/>
                <w:color w:val="auto"/>
              </w:rPr>
            </w:pPr>
          </w:p>
        </w:tc>
        <w:tc>
          <w:tcPr>
            <w:tcW w:w="1380" w:type="dxa"/>
            <w:vAlign w:val="bottom"/>
            <w:tcBorders>
              <w:top w:val="single" w:sz="8" w:color="auto"/>
            </w:tcBorders>
            <w:shd w:val="clear" w:color="auto" w:fill="2AD2C9"/>
          </w:tcPr>
          <w:p>
            <w:pPr>
              <w:jc w:val="right"/>
              <w:ind w:right="604"/>
              <w:spacing w:after="0"/>
              <w:rPr>
                <w:sz w:val="20"/>
                <w:szCs w:val="20"/>
                <w:color w:val="auto"/>
              </w:rPr>
            </w:pPr>
            <w:r>
              <w:rPr>
                <w:rFonts w:ascii="Calibri" w:cs="Calibri" w:eastAsia="Calibri" w:hAnsi="Calibri"/>
                <w:sz w:val="15"/>
                <w:szCs w:val="15"/>
                <w:b w:val="1"/>
                <w:bCs w:val="1"/>
                <w:color w:val="FFFFFF"/>
              </w:rPr>
              <w:t>Quarter</w:t>
            </w:r>
          </w:p>
        </w:tc>
        <w:tc>
          <w:tcPr>
            <w:tcW w:w="1100" w:type="dxa"/>
            <w:vAlign w:val="bottom"/>
            <w:tcBorders>
              <w:top w:val="single" w:sz="8" w:color="auto"/>
              <w:right w:val="single" w:sz="8" w:color="auto"/>
            </w:tcBorders>
            <w:shd w:val="clear" w:color="auto" w:fill="2AD2C9"/>
          </w:tcPr>
          <w:p>
            <w:pPr>
              <w:spacing w:after="0"/>
              <w:rPr>
                <w:sz w:val="17"/>
                <w:szCs w:val="17"/>
                <w:color w:val="auto"/>
              </w:rPr>
            </w:pPr>
          </w:p>
        </w:tc>
        <w:tc>
          <w:tcPr>
            <w:tcW w:w="2040" w:type="dxa"/>
            <w:vAlign w:val="bottom"/>
            <w:tcBorders>
              <w:top w:val="single" w:sz="8" w:color="auto"/>
              <w:right w:val="single" w:sz="8" w:color="auto"/>
            </w:tcBorders>
            <w:gridSpan w:val="2"/>
            <w:shd w:val="clear" w:color="auto" w:fill="2AD2C9"/>
          </w:tcPr>
          <w:p>
            <w:pPr>
              <w:ind w:left="720"/>
              <w:spacing w:after="0"/>
              <w:rPr>
                <w:sz w:val="20"/>
                <w:szCs w:val="20"/>
                <w:color w:val="auto"/>
              </w:rPr>
            </w:pPr>
            <w:r>
              <w:rPr>
                <w:rFonts w:ascii="Calibri" w:cs="Calibri" w:eastAsia="Calibri" w:hAnsi="Calibri"/>
                <w:sz w:val="15"/>
                <w:szCs w:val="15"/>
                <w:b w:val="1"/>
                <w:bCs w:val="1"/>
                <w:color w:val="FFFFFF"/>
              </w:rPr>
              <w:t>% change</w:t>
            </w:r>
          </w:p>
        </w:tc>
      </w:tr>
      <w:tr>
        <w:trPr>
          <w:trHeight w:val="237"/>
        </w:trPr>
        <w:tc>
          <w:tcPr>
            <w:tcW w:w="5200" w:type="dxa"/>
            <w:vAlign w:val="bottom"/>
            <w:tcBorders>
              <w:left w:val="single" w:sz="8" w:color="auto"/>
              <w:bottom w:val="single" w:sz="8" w:color="2AD2C9"/>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S/ 000</w:t>
            </w:r>
          </w:p>
        </w:tc>
        <w:tc>
          <w:tcPr>
            <w:tcW w:w="1540" w:type="dxa"/>
            <w:vAlign w:val="bottom"/>
            <w:tcBorders>
              <w:bottom w:val="single" w:sz="8" w:color="2AD2C9"/>
            </w:tcBorders>
            <w:shd w:val="clear" w:color="auto" w:fill="2AD2C9"/>
          </w:tcPr>
          <w:p>
            <w:pPr>
              <w:jc w:val="right"/>
              <w:ind w:right="644"/>
              <w:spacing w:after="0"/>
              <w:rPr>
                <w:sz w:val="20"/>
                <w:szCs w:val="20"/>
                <w:color w:val="auto"/>
              </w:rPr>
            </w:pPr>
            <w:r>
              <w:rPr>
                <w:rFonts w:ascii="Calibri" w:cs="Calibri" w:eastAsia="Calibri" w:hAnsi="Calibri"/>
                <w:sz w:val="15"/>
                <w:szCs w:val="15"/>
                <w:b w:val="1"/>
                <w:bCs w:val="1"/>
                <w:color w:val="FFFFFF"/>
              </w:rPr>
              <w:t>1Q22</w:t>
            </w:r>
          </w:p>
        </w:tc>
        <w:tc>
          <w:tcPr>
            <w:tcW w:w="1380" w:type="dxa"/>
            <w:vAlign w:val="bottom"/>
            <w:tcBorders>
              <w:bottom w:val="single" w:sz="8" w:color="2AD2C9"/>
            </w:tcBorders>
            <w:shd w:val="clear" w:color="auto" w:fill="2AD2C9"/>
          </w:tcPr>
          <w:p>
            <w:pPr>
              <w:jc w:val="right"/>
              <w:ind w:right="684"/>
              <w:spacing w:after="0"/>
              <w:rPr>
                <w:sz w:val="20"/>
                <w:szCs w:val="20"/>
                <w:color w:val="auto"/>
              </w:rPr>
            </w:pPr>
            <w:r>
              <w:rPr>
                <w:rFonts w:ascii="Calibri" w:cs="Calibri" w:eastAsia="Calibri" w:hAnsi="Calibri"/>
                <w:sz w:val="15"/>
                <w:szCs w:val="15"/>
                <w:b w:val="1"/>
                <w:bCs w:val="1"/>
                <w:color w:val="FFFFFF"/>
              </w:rPr>
              <w:t>4Q22</w:t>
            </w:r>
          </w:p>
        </w:tc>
        <w:tc>
          <w:tcPr>
            <w:tcW w:w="1100" w:type="dxa"/>
            <w:vAlign w:val="bottom"/>
            <w:tcBorders>
              <w:bottom w:val="single" w:sz="8" w:color="2AD2C9"/>
              <w:right w:val="single" w:sz="8" w:color="auto"/>
            </w:tcBorders>
            <w:shd w:val="clear" w:color="auto" w:fill="2AD2C9"/>
          </w:tcPr>
          <w:p>
            <w:pPr>
              <w:jc w:val="right"/>
              <w:ind w:right="444"/>
              <w:spacing w:after="0"/>
              <w:rPr>
                <w:sz w:val="20"/>
                <w:szCs w:val="20"/>
                <w:color w:val="auto"/>
              </w:rPr>
            </w:pPr>
            <w:r>
              <w:rPr>
                <w:rFonts w:ascii="Calibri" w:cs="Calibri" w:eastAsia="Calibri" w:hAnsi="Calibri"/>
                <w:sz w:val="15"/>
                <w:szCs w:val="15"/>
                <w:b w:val="1"/>
                <w:bCs w:val="1"/>
                <w:color w:val="FFFFFF"/>
              </w:rPr>
              <w:t>1Q23</w:t>
            </w:r>
          </w:p>
        </w:tc>
        <w:tc>
          <w:tcPr>
            <w:tcW w:w="1000" w:type="dxa"/>
            <w:vAlign w:val="bottom"/>
            <w:tcBorders>
              <w:bottom w:val="single" w:sz="8" w:color="2AD2C9"/>
            </w:tcBorders>
            <w:shd w:val="clear" w:color="auto" w:fill="2AD2C9"/>
          </w:tcPr>
          <w:p>
            <w:pPr>
              <w:jc w:val="center"/>
              <w:spacing w:after="0"/>
              <w:rPr>
                <w:sz w:val="20"/>
                <w:szCs w:val="20"/>
                <w:color w:val="auto"/>
              </w:rPr>
            </w:pPr>
            <w:r>
              <w:rPr>
                <w:rFonts w:ascii="Calibri" w:cs="Calibri" w:eastAsia="Calibri" w:hAnsi="Calibri"/>
                <w:sz w:val="15"/>
                <w:szCs w:val="15"/>
                <w:b w:val="1"/>
                <w:bCs w:val="1"/>
                <w:color w:val="FFFFFF"/>
                <w:w w:val="97"/>
              </w:rPr>
              <w:t>QoQ</w:t>
            </w:r>
          </w:p>
        </w:tc>
        <w:tc>
          <w:tcPr>
            <w:tcW w:w="1040" w:type="dxa"/>
            <w:vAlign w:val="bottom"/>
            <w:tcBorders>
              <w:bottom w:val="single" w:sz="8" w:color="2AD2C9"/>
              <w:right w:val="single" w:sz="8" w:color="auto"/>
            </w:tcBorders>
            <w:shd w:val="clear" w:color="auto" w:fill="2AD2C9"/>
          </w:tcPr>
          <w:p>
            <w:pPr>
              <w:jc w:val="center"/>
              <w:spacing w:after="0"/>
              <w:rPr>
                <w:sz w:val="20"/>
                <w:szCs w:val="20"/>
                <w:color w:val="auto"/>
              </w:rPr>
            </w:pPr>
            <w:r>
              <w:rPr>
                <w:rFonts w:ascii="Calibri" w:cs="Calibri" w:eastAsia="Calibri" w:hAnsi="Calibri"/>
                <w:sz w:val="15"/>
                <w:szCs w:val="15"/>
                <w:b w:val="1"/>
                <w:bCs w:val="1"/>
                <w:color w:val="FFFFFF"/>
                <w:w w:val="92"/>
              </w:rPr>
              <w:t>YoY</w:t>
            </w:r>
          </w:p>
        </w:tc>
      </w:tr>
      <w:tr>
        <w:trPr>
          <w:trHeight w:val="179"/>
        </w:trPr>
        <w:tc>
          <w:tcPr>
            <w:tcW w:w="5200" w:type="dxa"/>
            <w:vAlign w:val="bottom"/>
            <w:tcBorders>
              <w:top w:val="single" w:sz="8" w:color="auto"/>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Gross provision for credit losses on loan portolio</w:t>
            </w:r>
          </w:p>
        </w:tc>
        <w:tc>
          <w:tcPr>
            <w:tcW w:w="1540" w:type="dxa"/>
            <w:vAlign w:val="bottom"/>
            <w:tcBorders>
              <w:top w:val="single" w:sz="8" w:color="auto"/>
            </w:tcBorders>
          </w:tcPr>
          <w:p>
            <w:pPr>
              <w:jc w:val="right"/>
              <w:ind w:right="144"/>
              <w:spacing w:after="0" w:line="180" w:lineRule="exact"/>
              <w:rPr>
                <w:sz w:val="20"/>
                <w:szCs w:val="20"/>
                <w:color w:val="auto"/>
              </w:rPr>
            </w:pPr>
            <w:r>
              <w:rPr>
                <w:rFonts w:ascii="Calibri" w:cs="Calibri" w:eastAsia="Calibri" w:hAnsi="Calibri"/>
                <w:sz w:val="15"/>
                <w:szCs w:val="15"/>
                <w:color w:val="auto"/>
              </w:rPr>
              <w:t>3,872</w:t>
            </w:r>
          </w:p>
        </w:tc>
        <w:tc>
          <w:tcPr>
            <w:tcW w:w="1380" w:type="dxa"/>
            <w:vAlign w:val="bottom"/>
            <w:tcBorders>
              <w:top w:val="single" w:sz="8" w:color="auto"/>
            </w:tcBorders>
          </w:tcPr>
          <w:p>
            <w:pPr>
              <w:jc w:val="right"/>
              <w:ind w:right="184"/>
              <w:spacing w:after="0" w:line="180" w:lineRule="exact"/>
              <w:rPr>
                <w:sz w:val="20"/>
                <w:szCs w:val="20"/>
                <w:color w:val="auto"/>
              </w:rPr>
            </w:pPr>
            <w:r>
              <w:rPr>
                <w:rFonts w:ascii="Calibri" w:cs="Calibri" w:eastAsia="Calibri" w:hAnsi="Calibri"/>
                <w:sz w:val="15"/>
                <w:szCs w:val="15"/>
                <w:color w:val="auto"/>
              </w:rPr>
              <w:t>(15,725)</w:t>
            </w:r>
          </w:p>
        </w:tc>
        <w:tc>
          <w:tcPr>
            <w:tcW w:w="1100" w:type="dxa"/>
            <w:vAlign w:val="bottom"/>
            <w:tcBorders>
              <w:top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(2,978)</w:t>
            </w:r>
          </w:p>
        </w:tc>
        <w:tc>
          <w:tcPr>
            <w:tcW w:w="1000" w:type="dxa"/>
            <w:vAlign w:val="bottom"/>
            <w:tcBorders>
              <w:top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5"/>
              </w:rPr>
              <w:t>-81.1%</w:t>
            </w:r>
          </w:p>
        </w:tc>
        <w:tc>
          <w:tcPr>
            <w:tcW w:w="1040" w:type="dxa"/>
            <w:vAlign w:val="bottom"/>
            <w:tcBorders>
              <w:top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-506.1%</w:t>
            </w:r>
          </w:p>
        </w:tc>
      </w:tr>
      <w:tr>
        <w:trPr>
          <w:trHeight w:val="197"/>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Recoveries of writen-of loans</w:t>
            </w:r>
          </w:p>
        </w:tc>
        <w:tc>
          <w:tcPr>
            <w:tcW w:w="1540" w:type="dxa"/>
            <w:vAlign w:val="bottom"/>
          </w:tcPr>
          <w:p>
            <w:pPr>
              <w:jc w:val="right"/>
              <w:ind w:right="144"/>
              <w:spacing w:after="0"/>
              <w:rPr>
                <w:sz w:val="20"/>
                <w:szCs w:val="20"/>
                <w:color w:val="auto"/>
              </w:rPr>
            </w:pPr>
            <w:r>
              <w:rPr>
                <w:rFonts w:ascii="Calibri" w:cs="Calibri" w:eastAsia="Calibri" w:hAnsi="Calibri"/>
                <w:sz w:val="15"/>
                <w:szCs w:val="15"/>
                <w:color w:val="auto"/>
              </w:rPr>
              <w:t>-</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86"/>
              </w:rPr>
              <w:t>-</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w:t>
            </w:r>
          </w:p>
        </w:tc>
      </w:tr>
      <w:tr>
        <w:trPr>
          <w:trHeight w:val="204"/>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b w:val="1"/>
                <w:bCs w:val="1"/>
                <w:color w:val="auto"/>
              </w:rPr>
              <w:t>Provision for credit losses on loan portolio, net of recoveries</w:t>
            </w:r>
          </w:p>
        </w:tc>
        <w:tc>
          <w:tcPr>
            <w:tcW w:w="1540" w:type="dxa"/>
            <w:vAlign w:val="bottom"/>
          </w:tcPr>
          <w:p>
            <w:pPr>
              <w:jc w:val="right"/>
              <w:ind w:right="144"/>
              <w:spacing w:after="0"/>
              <w:rPr>
                <w:sz w:val="20"/>
                <w:szCs w:val="20"/>
                <w:color w:val="auto"/>
              </w:rPr>
            </w:pPr>
            <w:r>
              <w:rPr>
                <w:rFonts w:ascii="Calibri" w:cs="Calibri" w:eastAsia="Calibri" w:hAnsi="Calibri"/>
                <w:sz w:val="15"/>
                <w:szCs w:val="15"/>
                <w:b w:val="1"/>
                <w:bCs w:val="1"/>
                <w:color w:val="auto"/>
              </w:rPr>
              <w:t>3,872</w:t>
            </w:r>
          </w:p>
        </w:tc>
        <w:tc>
          <w:tcPr>
            <w:tcW w:w="1380" w:type="dxa"/>
            <w:vAlign w:val="bottom"/>
          </w:tcPr>
          <w:p>
            <w:pPr>
              <w:jc w:val="right"/>
              <w:ind w:right="184"/>
              <w:spacing w:after="0"/>
              <w:rPr>
                <w:sz w:val="20"/>
                <w:szCs w:val="20"/>
                <w:color w:val="auto"/>
              </w:rPr>
            </w:pPr>
            <w:r>
              <w:rPr>
                <w:rFonts w:ascii="Calibri" w:cs="Calibri" w:eastAsia="Calibri" w:hAnsi="Calibri"/>
                <w:sz w:val="15"/>
                <w:szCs w:val="15"/>
                <w:b w:val="1"/>
                <w:bCs w:val="1"/>
                <w:color w:val="auto"/>
              </w:rPr>
              <w:t>(15,725)</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(2,978)</w:t>
            </w:r>
          </w:p>
        </w:tc>
        <w:tc>
          <w:tcPr>
            <w:tcW w:w="1000" w:type="dxa"/>
            <w:vAlign w:val="bottom"/>
          </w:tcPr>
          <w:p>
            <w:pPr>
              <w:jc w:val="center"/>
              <w:spacing w:after="0"/>
              <w:rPr>
                <w:sz w:val="20"/>
                <w:szCs w:val="20"/>
                <w:color w:val="auto"/>
              </w:rPr>
            </w:pPr>
            <w:r>
              <w:rPr>
                <w:rFonts w:ascii="Calibri" w:cs="Calibri" w:eastAsia="Calibri" w:hAnsi="Calibri"/>
                <w:sz w:val="15"/>
                <w:szCs w:val="15"/>
                <w:b w:val="1"/>
                <w:bCs w:val="1"/>
                <w:color w:val="auto"/>
                <w:w w:val="99"/>
              </w:rPr>
              <w:t>-81.1%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rPr>
              <w:t>-176.9%</w:t>
            </w:r>
          </w:p>
        </w:tc>
      </w:tr>
      <w:tr>
        <w:trPr>
          <w:trHeight w:val="35"/>
        </w:trPr>
        <w:tc>
          <w:tcPr>
            <w:tcW w:w="5200" w:type="dxa"/>
            <w:vAlign w:val="bottom"/>
            <w:tcBorders>
              <w:left w:val="single" w:sz="8" w:color="auto"/>
              <w:bottom w:val="single" w:sz="8" w:color="auto"/>
              <w:right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07"/>
        </w:trPr>
        <w:tc>
          <w:tcPr>
            <w:tcW w:w="5200" w:type="dxa"/>
            <w:vAlign w:val="bottom"/>
            <w:tcBorders>
              <w:left w:val="single" w:sz="8" w:color="auto"/>
              <w:bottom w:val="single" w:sz="8" w:color="auto"/>
              <w:right w:val="single" w:sz="8" w:color="auto"/>
            </w:tcBorders>
          </w:tcPr>
          <w:p>
            <w:pPr>
              <w:ind w:left="20"/>
              <w:spacing w:after="0" w:line="204" w:lineRule="exact"/>
              <w:rPr>
                <w:sz w:val="20"/>
                <w:szCs w:val="20"/>
                <w:color w:val="auto"/>
              </w:rPr>
            </w:pPr>
            <w:r>
              <w:rPr>
                <w:rFonts w:ascii="Calibri" w:cs="Calibri" w:eastAsia="Calibri" w:hAnsi="Calibri"/>
                <w:sz w:val="14"/>
                <w:szCs w:val="14"/>
                <w:color w:val="auto"/>
              </w:rPr>
              <w:t xml:space="preserve">GP Cost of risk </w:t>
            </w:r>
            <w:r>
              <w:rPr>
                <w:rFonts w:ascii="Calibri" w:cs="Calibri" w:eastAsia="Calibri" w:hAnsi="Calibri"/>
                <w:sz w:val="22"/>
                <w:szCs w:val="22"/>
                <w:color w:val="auto"/>
                <w:vertAlign w:val="superscript"/>
              </w:rPr>
              <w:t>(1)</w:t>
            </w:r>
          </w:p>
        </w:tc>
        <w:tc>
          <w:tcPr>
            <w:tcW w:w="1540" w:type="dxa"/>
            <w:vAlign w:val="bottom"/>
            <w:tcBorders>
              <w:bottom w:val="single" w:sz="8" w:color="auto"/>
            </w:tcBorders>
          </w:tcPr>
          <w:p>
            <w:pPr>
              <w:jc w:val="right"/>
              <w:ind w:right="144"/>
              <w:spacing w:after="0" w:line="180" w:lineRule="exact"/>
              <w:rPr>
                <w:sz w:val="20"/>
                <w:szCs w:val="20"/>
                <w:color w:val="auto"/>
              </w:rPr>
            </w:pPr>
            <w:r>
              <w:rPr>
                <w:rFonts w:ascii="Calibri" w:cs="Calibri" w:eastAsia="Calibri" w:hAnsi="Calibri"/>
                <w:sz w:val="15"/>
                <w:szCs w:val="15"/>
                <w:color w:val="auto"/>
              </w:rPr>
              <w:t>-0.09%</w:t>
            </w:r>
          </w:p>
        </w:tc>
        <w:tc>
          <w:tcPr>
            <w:tcW w:w="1380" w:type="dxa"/>
            <w:vAlign w:val="bottom"/>
            <w:tcBorders>
              <w:bottom w:val="single" w:sz="8" w:color="auto"/>
            </w:tcBorders>
          </w:tcPr>
          <w:p>
            <w:pPr>
              <w:jc w:val="right"/>
              <w:ind w:right="184"/>
              <w:spacing w:after="0" w:line="180" w:lineRule="exact"/>
              <w:rPr>
                <w:sz w:val="20"/>
                <w:szCs w:val="20"/>
                <w:color w:val="auto"/>
              </w:rPr>
            </w:pPr>
            <w:r>
              <w:rPr>
                <w:rFonts w:ascii="Calibri" w:cs="Calibri" w:eastAsia="Calibri" w:hAnsi="Calibri"/>
                <w:sz w:val="15"/>
                <w:szCs w:val="15"/>
                <w:color w:val="auto"/>
              </w:rPr>
              <w:t>0.66%</w:t>
            </w:r>
          </w:p>
        </w:tc>
        <w:tc>
          <w:tcPr>
            <w:tcW w:w="1100" w:type="dxa"/>
            <w:vAlign w:val="bottom"/>
            <w:tcBorders>
              <w:bottom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0.17%</w:t>
            </w:r>
          </w:p>
        </w:tc>
        <w:tc>
          <w:tcPr>
            <w:tcW w:w="100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8"/>
              </w:rPr>
              <w:t>-49 bps</w:t>
            </w:r>
          </w:p>
        </w:tc>
        <w:tc>
          <w:tcPr>
            <w:tcW w:w="1040" w:type="dxa"/>
            <w:vAlign w:val="bottom"/>
            <w:tcBorders>
              <w:bottom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4"/>
              </w:rPr>
              <w:t>26 bps</w:t>
            </w:r>
          </w:p>
        </w:tc>
      </w:tr>
    </w:tbl>
    <w:p>
      <w:pPr>
        <w:spacing w:after="0" w:line="38" w:lineRule="exact"/>
        <w:rPr>
          <w:sz w:val="20"/>
          <w:szCs w:val="20"/>
          <w:color w:val="auto"/>
        </w:rPr>
      </w:pPr>
    </w:p>
    <w:p>
      <w:pPr>
        <w:ind w:left="29"/>
        <w:spacing w:after="0"/>
        <w:rPr>
          <w:sz w:val="20"/>
          <w:szCs w:val="20"/>
          <w:color w:val="auto"/>
        </w:rPr>
      </w:pPr>
      <w:r>
        <w:rPr>
          <w:rFonts w:ascii="Calibri" w:cs="Calibri" w:eastAsia="Calibri" w:hAnsi="Calibri"/>
          <w:sz w:val="10"/>
          <w:szCs w:val="10"/>
          <w:color w:val="auto"/>
        </w:rPr>
        <w:t>(1) The GP Cost of risk includes the Provisions for credit losses on loan portolio, net of recoveries and Total Loans from the Reactva Peru and FAE Government Programs.</w:t>
      </w:r>
    </w:p>
    <w:p>
      <w:pPr>
        <w:spacing w:after="0" w:line="203"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GP provisions fell signifcantly both QoQ and YoY due the fact that honoring processes to execute State guarantees are on-going.</w:t>
      </w:r>
    </w:p>
    <w:p>
      <w:pPr>
        <w:spacing w:after="0" w:line="127" w:lineRule="exact"/>
        <w:rPr>
          <w:sz w:val="20"/>
          <w:szCs w:val="20"/>
          <w:color w:val="auto"/>
        </w:rPr>
      </w:pPr>
    </w:p>
    <w:p>
      <w:pPr>
        <w:ind w:left="9" w:right="300"/>
        <w:spacing w:after="0" w:line="236" w:lineRule="auto"/>
        <w:rPr>
          <w:sz w:val="20"/>
          <w:szCs w:val="20"/>
          <w:color w:val="auto"/>
        </w:rPr>
      </w:pPr>
      <w:r>
        <w:rPr>
          <w:rFonts w:ascii="Calibri" w:cs="Calibri" w:eastAsia="Calibri" w:hAnsi="Calibri"/>
          <w:sz w:val="15"/>
          <w:szCs w:val="15"/>
          <w:color w:val="auto"/>
        </w:rPr>
        <w:t>The GP provisions balance represents 1.7% of Credicorp’s total provisions. This relatvely small balance is due to the existence of ample state guarantees with coverage levels that range between 80% and 98% of the loan amount. For more informaton, see 1.2 Portolio Quality – Government Program Loan NPLs.</w:t>
      </w:r>
    </w:p>
    <w:p>
      <w:pPr>
        <w:spacing w:after="0" w:line="204"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Provisions and CoR of Total Portolio</w:t>
      </w:r>
    </w:p>
    <w:p>
      <w:pPr>
        <w:spacing w:after="0" w:line="1" w:lineRule="exact"/>
        <w:rPr>
          <w:sz w:val="20"/>
          <w:szCs w:val="20"/>
          <w:color w:val="auto"/>
        </w:rPr>
      </w:pPr>
    </w:p>
    <w:tbl>
      <w:tblPr>
        <w:tblLayout w:type="fixed"/>
        <w:tblInd w:w="19" w:type="dxa"/>
        <w:tblCellMar>
          <w:top w:w="0" w:type="dxa"/>
          <w:left w:w="0" w:type="dxa"/>
          <w:bottom w:w="0" w:type="dxa"/>
          <w:right w:w="0" w:type="dxa"/>
        </w:tblCellMar>
      </w:tblPr>
      <w:tr>
        <w:trPr>
          <w:trHeight w:val="202"/>
        </w:trPr>
        <w:tc>
          <w:tcPr>
            <w:tcW w:w="520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Loan Portolio Provisions</w:t>
            </w:r>
          </w:p>
        </w:tc>
        <w:tc>
          <w:tcPr>
            <w:tcW w:w="1540" w:type="dxa"/>
            <w:vAlign w:val="bottom"/>
            <w:tcBorders>
              <w:top w:val="single" w:sz="8" w:color="auto"/>
            </w:tcBorders>
            <w:shd w:val="clear" w:color="auto" w:fill="2AD2C9"/>
          </w:tcPr>
          <w:p>
            <w:pPr>
              <w:spacing w:after="0"/>
              <w:rPr>
                <w:sz w:val="17"/>
                <w:szCs w:val="17"/>
                <w:color w:val="auto"/>
              </w:rPr>
            </w:pPr>
          </w:p>
        </w:tc>
        <w:tc>
          <w:tcPr>
            <w:tcW w:w="1380" w:type="dxa"/>
            <w:vAlign w:val="bottom"/>
            <w:tcBorders>
              <w:top w:val="single" w:sz="8" w:color="auto"/>
            </w:tcBorders>
            <w:shd w:val="clear" w:color="auto" w:fill="2AD2C9"/>
          </w:tcPr>
          <w:p>
            <w:pPr>
              <w:jc w:val="right"/>
              <w:ind w:right="604"/>
              <w:spacing w:after="0"/>
              <w:rPr>
                <w:sz w:val="20"/>
                <w:szCs w:val="20"/>
                <w:color w:val="auto"/>
              </w:rPr>
            </w:pPr>
            <w:r>
              <w:rPr>
                <w:rFonts w:ascii="Calibri" w:cs="Calibri" w:eastAsia="Calibri" w:hAnsi="Calibri"/>
                <w:sz w:val="15"/>
                <w:szCs w:val="15"/>
                <w:b w:val="1"/>
                <w:bCs w:val="1"/>
                <w:color w:val="FFFFFF"/>
              </w:rPr>
              <w:t>Quarter</w:t>
            </w:r>
          </w:p>
        </w:tc>
        <w:tc>
          <w:tcPr>
            <w:tcW w:w="1100" w:type="dxa"/>
            <w:vAlign w:val="bottom"/>
            <w:tcBorders>
              <w:top w:val="single" w:sz="8" w:color="auto"/>
              <w:right w:val="single" w:sz="8" w:color="auto"/>
            </w:tcBorders>
            <w:shd w:val="clear" w:color="auto" w:fill="2AD2C9"/>
          </w:tcPr>
          <w:p>
            <w:pPr>
              <w:spacing w:after="0"/>
              <w:rPr>
                <w:sz w:val="17"/>
                <w:szCs w:val="17"/>
                <w:color w:val="auto"/>
              </w:rPr>
            </w:pPr>
          </w:p>
        </w:tc>
        <w:tc>
          <w:tcPr>
            <w:tcW w:w="720" w:type="dxa"/>
            <w:vAlign w:val="bottom"/>
            <w:tcBorders>
              <w:top w:val="single" w:sz="8" w:color="auto"/>
            </w:tcBorders>
            <w:shd w:val="clear" w:color="auto" w:fill="2AD2C9"/>
          </w:tcPr>
          <w:p>
            <w:pPr>
              <w:spacing w:after="0"/>
              <w:rPr>
                <w:sz w:val="17"/>
                <w:szCs w:val="17"/>
                <w:color w:val="auto"/>
              </w:rPr>
            </w:pPr>
          </w:p>
        </w:tc>
        <w:tc>
          <w:tcPr>
            <w:tcW w:w="1320" w:type="dxa"/>
            <w:vAlign w:val="bottom"/>
            <w:tcBorders>
              <w:top w:val="single" w:sz="8" w:color="auto"/>
              <w:right w:val="single" w:sz="8" w:color="auto"/>
            </w:tcBorders>
            <w:shd w:val="clear" w:color="auto" w:fill="2AD2C9"/>
          </w:tcPr>
          <w:p>
            <w:pPr>
              <w:spacing w:after="0"/>
              <w:rPr>
                <w:sz w:val="20"/>
                <w:szCs w:val="20"/>
                <w:color w:val="auto"/>
              </w:rPr>
            </w:pPr>
            <w:r>
              <w:rPr>
                <w:rFonts w:ascii="Calibri" w:cs="Calibri" w:eastAsia="Calibri" w:hAnsi="Calibri"/>
                <w:sz w:val="15"/>
                <w:szCs w:val="15"/>
                <w:b w:val="1"/>
                <w:bCs w:val="1"/>
                <w:color w:val="FFFFFF"/>
              </w:rPr>
              <w:t>% change</w:t>
            </w:r>
          </w:p>
        </w:tc>
      </w:tr>
      <w:tr>
        <w:trPr>
          <w:trHeight w:val="186"/>
        </w:trPr>
        <w:tc>
          <w:tcPr>
            <w:tcW w:w="5200" w:type="dxa"/>
            <w:vAlign w:val="bottom"/>
            <w:tcBorders>
              <w:left w:val="single" w:sz="8" w:color="auto"/>
              <w:bottom w:val="single" w:sz="8" w:color="auto"/>
              <w:right w:val="single" w:sz="8" w:color="auto"/>
            </w:tcBorders>
            <w:shd w:val="clear" w:color="auto" w:fill="2AD2C9"/>
          </w:tcPr>
          <w:p>
            <w:pPr>
              <w:ind w:left="20"/>
              <w:spacing w:after="0" w:line="180" w:lineRule="exact"/>
              <w:rPr>
                <w:sz w:val="20"/>
                <w:szCs w:val="20"/>
                <w:color w:val="auto"/>
              </w:rPr>
            </w:pPr>
            <w:r>
              <w:rPr>
                <w:rFonts w:ascii="Calibri" w:cs="Calibri" w:eastAsia="Calibri" w:hAnsi="Calibri"/>
                <w:sz w:val="15"/>
                <w:szCs w:val="15"/>
                <w:b w:val="1"/>
                <w:bCs w:val="1"/>
                <w:color w:val="FFFFFF"/>
              </w:rPr>
              <w:t>S/ 000</w:t>
            </w:r>
          </w:p>
        </w:tc>
        <w:tc>
          <w:tcPr>
            <w:tcW w:w="1540" w:type="dxa"/>
            <w:vAlign w:val="bottom"/>
            <w:tcBorders>
              <w:bottom w:val="single" w:sz="8" w:color="auto"/>
            </w:tcBorders>
            <w:shd w:val="clear" w:color="auto" w:fill="2AD2C9"/>
          </w:tcPr>
          <w:p>
            <w:pPr>
              <w:jc w:val="right"/>
              <w:ind w:right="644"/>
              <w:spacing w:after="0" w:line="180" w:lineRule="exact"/>
              <w:rPr>
                <w:sz w:val="20"/>
                <w:szCs w:val="20"/>
                <w:color w:val="auto"/>
              </w:rPr>
            </w:pPr>
            <w:r>
              <w:rPr>
                <w:rFonts w:ascii="Calibri" w:cs="Calibri" w:eastAsia="Calibri" w:hAnsi="Calibri"/>
                <w:sz w:val="15"/>
                <w:szCs w:val="15"/>
                <w:b w:val="1"/>
                <w:bCs w:val="1"/>
                <w:color w:val="FFFFFF"/>
              </w:rPr>
              <w:t>1Q22</w:t>
            </w:r>
          </w:p>
        </w:tc>
        <w:tc>
          <w:tcPr>
            <w:tcW w:w="1380" w:type="dxa"/>
            <w:vAlign w:val="bottom"/>
            <w:tcBorders>
              <w:bottom w:val="single" w:sz="8" w:color="auto"/>
            </w:tcBorders>
            <w:shd w:val="clear" w:color="auto" w:fill="2AD2C9"/>
          </w:tcPr>
          <w:p>
            <w:pPr>
              <w:jc w:val="right"/>
              <w:ind w:right="684"/>
              <w:spacing w:after="0" w:line="180" w:lineRule="exact"/>
              <w:rPr>
                <w:sz w:val="20"/>
                <w:szCs w:val="20"/>
                <w:color w:val="auto"/>
              </w:rPr>
            </w:pPr>
            <w:r>
              <w:rPr>
                <w:rFonts w:ascii="Calibri" w:cs="Calibri" w:eastAsia="Calibri" w:hAnsi="Calibri"/>
                <w:sz w:val="15"/>
                <w:szCs w:val="15"/>
                <w:b w:val="1"/>
                <w:bCs w:val="1"/>
                <w:color w:val="FFFFFF"/>
              </w:rPr>
              <w:t>4Q22</w:t>
            </w:r>
          </w:p>
        </w:tc>
        <w:tc>
          <w:tcPr>
            <w:tcW w:w="1100" w:type="dxa"/>
            <w:vAlign w:val="bottom"/>
            <w:tcBorders>
              <w:bottom w:val="single" w:sz="8" w:color="auto"/>
              <w:right w:val="single" w:sz="8" w:color="auto"/>
            </w:tcBorders>
            <w:shd w:val="clear" w:color="auto" w:fill="2AD2C9"/>
          </w:tcPr>
          <w:p>
            <w:pPr>
              <w:jc w:val="right"/>
              <w:ind w:right="444"/>
              <w:spacing w:after="0" w:line="180" w:lineRule="exact"/>
              <w:rPr>
                <w:sz w:val="20"/>
                <w:szCs w:val="20"/>
                <w:color w:val="auto"/>
              </w:rPr>
            </w:pPr>
            <w:r>
              <w:rPr>
                <w:rFonts w:ascii="Calibri" w:cs="Calibri" w:eastAsia="Calibri" w:hAnsi="Calibri"/>
                <w:sz w:val="15"/>
                <w:szCs w:val="15"/>
                <w:b w:val="1"/>
                <w:bCs w:val="1"/>
                <w:color w:val="FFFFFF"/>
              </w:rPr>
              <w:t>1Q23</w:t>
            </w:r>
          </w:p>
        </w:tc>
        <w:tc>
          <w:tcPr>
            <w:tcW w:w="720" w:type="dxa"/>
            <w:vAlign w:val="bottom"/>
            <w:tcBorders>
              <w:bottom w:val="single" w:sz="8" w:color="auto"/>
            </w:tcBorders>
            <w:shd w:val="clear" w:color="auto" w:fill="2AD2C9"/>
          </w:tcPr>
          <w:p>
            <w:pPr>
              <w:jc w:val="center"/>
              <w:ind w:left="204"/>
              <w:spacing w:after="0" w:line="180" w:lineRule="exact"/>
              <w:rPr>
                <w:sz w:val="20"/>
                <w:szCs w:val="20"/>
                <w:color w:val="auto"/>
              </w:rPr>
            </w:pPr>
            <w:r>
              <w:rPr>
                <w:rFonts w:ascii="Calibri" w:cs="Calibri" w:eastAsia="Calibri" w:hAnsi="Calibri"/>
                <w:sz w:val="15"/>
                <w:szCs w:val="15"/>
                <w:b w:val="1"/>
                <w:bCs w:val="1"/>
                <w:color w:val="FFFFFF"/>
                <w:w w:val="97"/>
              </w:rPr>
              <w:t>QoQ</w:t>
            </w:r>
          </w:p>
        </w:tc>
        <w:tc>
          <w:tcPr>
            <w:tcW w:w="1320" w:type="dxa"/>
            <w:vAlign w:val="bottom"/>
            <w:tcBorders>
              <w:bottom w:val="single" w:sz="8" w:color="auto"/>
              <w:right w:val="single" w:sz="8" w:color="auto"/>
            </w:tcBorders>
            <w:shd w:val="clear" w:color="auto" w:fill="2AD2C9"/>
          </w:tcPr>
          <w:p>
            <w:pPr>
              <w:jc w:val="center"/>
              <w:ind w:left="184"/>
              <w:spacing w:after="0" w:line="180" w:lineRule="exact"/>
              <w:rPr>
                <w:sz w:val="20"/>
                <w:szCs w:val="20"/>
                <w:color w:val="auto"/>
              </w:rPr>
            </w:pPr>
            <w:r>
              <w:rPr>
                <w:rFonts w:ascii="Calibri" w:cs="Calibri" w:eastAsia="Calibri" w:hAnsi="Calibri"/>
                <w:sz w:val="15"/>
                <w:szCs w:val="15"/>
                <w:b w:val="1"/>
                <w:bCs w:val="1"/>
                <w:color w:val="FFFFFF"/>
                <w:w w:val="92"/>
              </w:rPr>
              <w:t>YoY</w:t>
            </w:r>
          </w:p>
        </w:tc>
      </w:tr>
      <w:tr>
        <w:trPr>
          <w:trHeight w:val="163"/>
        </w:trPr>
        <w:tc>
          <w:tcPr>
            <w:tcW w:w="5200" w:type="dxa"/>
            <w:vAlign w:val="bottom"/>
            <w:tcBorders>
              <w:left w:val="single" w:sz="8" w:color="auto"/>
              <w:right w:val="single" w:sz="8" w:color="auto"/>
            </w:tcBorders>
          </w:tcPr>
          <w:p>
            <w:pPr>
              <w:ind w:left="20"/>
              <w:spacing w:after="0" w:line="163" w:lineRule="exact"/>
              <w:rPr>
                <w:sz w:val="20"/>
                <w:szCs w:val="20"/>
                <w:color w:val="auto"/>
              </w:rPr>
            </w:pPr>
            <w:r>
              <w:rPr>
                <w:rFonts w:ascii="Calibri" w:cs="Calibri" w:eastAsia="Calibri" w:hAnsi="Calibri"/>
                <w:sz w:val="15"/>
                <w:szCs w:val="15"/>
                <w:color w:val="auto"/>
              </w:rPr>
              <w:t>Gross provision for credit losses on loan portolio</w:t>
            </w:r>
          </w:p>
        </w:tc>
        <w:tc>
          <w:tcPr>
            <w:tcW w:w="1540" w:type="dxa"/>
            <w:vAlign w:val="bottom"/>
          </w:tcPr>
          <w:p>
            <w:pPr>
              <w:jc w:val="right"/>
              <w:ind w:right="144"/>
              <w:spacing w:after="0" w:line="163" w:lineRule="exact"/>
              <w:rPr>
                <w:sz w:val="20"/>
                <w:szCs w:val="20"/>
                <w:color w:val="auto"/>
              </w:rPr>
            </w:pPr>
            <w:r>
              <w:rPr>
                <w:rFonts w:ascii="Calibri" w:cs="Calibri" w:eastAsia="Calibri" w:hAnsi="Calibri"/>
                <w:sz w:val="15"/>
                <w:szCs w:val="15"/>
                <w:color w:val="auto"/>
              </w:rPr>
              <w:t>(350,681)</w:t>
            </w:r>
          </w:p>
        </w:tc>
        <w:tc>
          <w:tcPr>
            <w:tcW w:w="1380" w:type="dxa"/>
            <w:vAlign w:val="bottom"/>
          </w:tcPr>
          <w:p>
            <w:pPr>
              <w:jc w:val="right"/>
              <w:ind w:right="184"/>
              <w:spacing w:after="0" w:line="163" w:lineRule="exact"/>
              <w:rPr>
                <w:sz w:val="20"/>
                <w:szCs w:val="20"/>
                <w:color w:val="auto"/>
              </w:rPr>
            </w:pPr>
            <w:r>
              <w:rPr>
                <w:rFonts w:ascii="Calibri" w:cs="Calibri" w:eastAsia="Calibri" w:hAnsi="Calibri"/>
                <w:sz w:val="15"/>
                <w:szCs w:val="15"/>
                <w:color w:val="auto"/>
              </w:rPr>
              <w:t>(815,589)</w:t>
            </w:r>
          </w:p>
        </w:tc>
        <w:tc>
          <w:tcPr>
            <w:tcW w:w="1100" w:type="dxa"/>
            <w:vAlign w:val="bottom"/>
            <w:tcBorders>
              <w:right w:val="single" w:sz="8" w:color="auto"/>
            </w:tcBorders>
          </w:tcPr>
          <w:p>
            <w:pPr>
              <w:jc w:val="right"/>
              <w:spacing w:after="0" w:line="163" w:lineRule="exact"/>
              <w:rPr>
                <w:sz w:val="20"/>
                <w:szCs w:val="20"/>
                <w:color w:val="auto"/>
              </w:rPr>
            </w:pPr>
            <w:r>
              <w:rPr>
                <w:rFonts w:ascii="Calibri" w:cs="Calibri" w:eastAsia="Calibri" w:hAnsi="Calibri"/>
                <w:sz w:val="15"/>
                <w:szCs w:val="15"/>
                <w:color w:val="auto"/>
              </w:rPr>
              <w:t>(802,107)</w:t>
            </w:r>
          </w:p>
        </w:tc>
        <w:tc>
          <w:tcPr>
            <w:tcW w:w="720" w:type="dxa"/>
            <w:vAlign w:val="bottom"/>
          </w:tcPr>
          <w:p>
            <w:pPr>
              <w:jc w:val="center"/>
              <w:ind w:left="224"/>
              <w:spacing w:after="0" w:line="163" w:lineRule="exact"/>
              <w:rPr>
                <w:sz w:val="20"/>
                <w:szCs w:val="20"/>
                <w:color w:val="auto"/>
              </w:rPr>
            </w:pPr>
            <w:r>
              <w:rPr>
                <w:rFonts w:ascii="Calibri" w:cs="Calibri" w:eastAsia="Calibri" w:hAnsi="Calibri"/>
                <w:sz w:val="15"/>
                <w:szCs w:val="15"/>
                <w:color w:val="auto"/>
                <w:w w:val="98"/>
              </w:rPr>
              <w:t>-1.7%</w:t>
            </w:r>
          </w:p>
        </w:tc>
        <w:tc>
          <w:tcPr>
            <w:tcW w:w="1320" w:type="dxa"/>
            <w:vAlign w:val="bottom"/>
            <w:tcBorders>
              <w:right w:val="single" w:sz="8" w:color="auto"/>
            </w:tcBorders>
          </w:tcPr>
          <w:p>
            <w:pPr>
              <w:jc w:val="center"/>
              <w:ind w:left="184"/>
              <w:spacing w:after="0" w:line="163" w:lineRule="exact"/>
              <w:rPr>
                <w:sz w:val="20"/>
                <w:szCs w:val="20"/>
                <w:color w:val="auto"/>
              </w:rPr>
            </w:pPr>
            <w:r>
              <w:rPr>
                <w:rFonts w:ascii="Calibri" w:cs="Calibri" w:eastAsia="Calibri" w:hAnsi="Calibri"/>
                <w:sz w:val="15"/>
                <w:szCs w:val="15"/>
                <w:color w:val="auto"/>
              </w:rPr>
              <w:t>128.7%</w:t>
            </w:r>
          </w:p>
        </w:tc>
      </w:tr>
      <w:tr>
        <w:trPr>
          <w:trHeight w:val="179"/>
        </w:trPr>
        <w:tc>
          <w:tcPr>
            <w:tcW w:w="52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Recoveries of writen-of loans</w:t>
            </w:r>
          </w:p>
        </w:tc>
        <w:tc>
          <w:tcPr>
            <w:tcW w:w="154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93,091</w:t>
            </w:r>
          </w:p>
        </w:tc>
        <w:tc>
          <w:tcPr>
            <w:tcW w:w="1380" w:type="dxa"/>
            <w:vAlign w:val="bottom"/>
          </w:tcPr>
          <w:p>
            <w:pPr>
              <w:jc w:val="right"/>
              <w:ind w:right="184"/>
              <w:spacing w:after="0" w:line="180" w:lineRule="exact"/>
              <w:rPr>
                <w:sz w:val="20"/>
                <w:szCs w:val="20"/>
                <w:color w:val="auto"/>
              </w:rPr>
            </w:pPr>
            <w:r>
              <w:rPr>
                <w:rFonts w:ascii="Calibri" w:cs="Calibri" w:eastAsia="Calibri" w:hAnsi="Calibri"/>
                <w:sz w:val="15"/>
                <w:szCs w:val="15"/>
                <w:color w:val="auto"/>
              </w:rPr>
              <w:t>84,908</w:t>
            </w:r>
          </w:p>
        </w:tc>
        <w:tc>
          <w:tcPr>
            <w:tcW w:w="110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75,109</w:t>
            </w:r>
          </w:p>
        </w:tc>
        <w:tc>
          <w:tcPr>
            <w:tcW w:w="720" w:type="dxa"/>
            <w:vAlign w:val="bottom"/>
          </w:tcPr>
          <w:p>
            <w:pPr>
              <w:jc w:val="center"/>
              <w:ind w:left="204"/>
              <w:spacing w:after="0" w:line="180" w:lineRule="exact"/>
              <w:rPr>
                <w:sz w:val="20"/>
                <w:szCs w:val="20"/>
                <w:color w:val="auto"/>
              </w:rPr>
            </w:pPr>
            <w:r>
              <w:rPr>
                <w:rFonts w:ascii="Calibri" w:cs="Calibri" w:eastAsia="Calibri" w:hAnsi="Calibri"/>
                <w:sz w:val="15"/>
                <w:szCs w:val="15"/>
                <w:color w:val="auto"/>
                <w:w w:val="95"/>
              </w:rPr>
              <w:t>-11.5%</w:t>
            </w:r>
          </w:p>
        </w:tc>
        <w:tc>
          <w:tcPr>
            <w:tcW w:w="1320" w:type="dxa"/>
            <w:vAlign w:val="bottom"/>
            <w:tcBorders>
              <w:right w:val="single" w:sz="8" w:color="auto"/>
            </w:tcBorders>
          </w:tcPr>
          <w:p>
            <w:pPr>
              <w:jc w:val="center"/>
              <w:ind w:left="184"/>
              <w:spacing w:after="0" w:line="180" w:lineRule="exact"/>
              <w:rPr>
                <w:sz w:val="20"/>
                <w:szCs w:val="20"/>
                <w:color w:val="auto"/>
              </w:rPr>
            </w:pPr>
            <w:r>
              <w:rPr>
                <w:rFonts w:ascii="Calibri" w:cs="Calibri" w:eastAsia="Calibri" w:hAnsi="Calibri"/>
                <w:sz w:val="15"/>
                <w:szCs w:val="15"/>
                <w:color w:val="auto"/>
              </w:rPr>
              <w:t>-19.3%</w:t>
            </w:r>
          </w:p>
        </w:tc>
      </w:tr>
      <w:tr>
        <w:trPr>
          <w:trHeight w:val="182"/>
        </w:trPr>
        <w:tc>
          <w:tcPr>
            <w:tcW w:w="520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b w:val="1"/>
                <w:bCs w:val="1"/>
                <w:color w:val="auto"/>
              </w:rPr>
              <w:t>Provision for credit losses on loan portolio, net of recoveries</w:t>
            </w:r>
          </w:p>
        </w:tc>
        <w:tc>
          <w:tcPr>
            <w:tcW w:w="1540" w:type="dxa"/>
            <w:vAlign w:val="bottom"/>
          </w:tcPr>
          <w:p>
            <w:pPr>
              <w:jc w:val="right"/>
              <w:ind w:right="144"/>
              <w:spacing w:after="0" w:line="181" w:lineRule="exact"/>
              <w:rPr>
                <w:sz w:val="20"/>
                <w:szCs w:val="20"/>
                <w:color w:val="auto"/>
              </w:rPr>
            </w:pPr>
            <w:r>
              <w:rPr>
                <w:rFonts w:ascii="Calibri" w:cs="Calibri" w:eastAsia="Calibri" w:hAnsi="Calibri"/>
                <w:sz w:val="15"/>
                <w:szCs w:val="15"/>
                <w:b w:val="1"/>
                <w:bCs w:val="1"/>
                <w:color w:val="auto"/>
              </w:rPr>
              <w:t>(257,590)</w:t>
            </w:r>
          </w:p>
        </w:tc>
        <w:tc>
          <w:tcPr>
            <w:tcW w:w="1380" w:type="dxa"/>
            <w:vAlign w:val="bottom"/>
          </w:tcPr>
          <w:p>
            <w:pPr>
              <w:jc w:val="right"/>
              <w:ind w:right="184"/>
              <w:spacing w:after="0" w:line="181" w:lineRule="exact"/>
              <w:rPr>
                <w:sz w:val="20"/>
                <w:szCs w:val="20"/>
                <w:color w:val="auto"/>
              </w:rPr>
            </w:pPr>
            <w:r>
              <w:rPr>
                <w:rFonts w:ascii="Calibri" w:cs="Calibri" w:eastAsia="Calibri" w:hAnsi="Calibri"/>
                <w:sz w:val="15"/>
                <w:szCs w:val="15"/>
                <w:b w:val="1"/>
                <w:bCs w:val="1"/>
                <w:color w:val="auto"/>
              </w:rPr>
              <w:t>(730,681)</w:t>
            </w:r>
          </w:p>
        </w:tc>
        <w:tc>
          <w:tcPr>
            <w:tcW w:w="1100" w:type="dxa"/>
            <w:vAlign w:val="bottom"/>
            <w:tcBorders>
              <w:right w:val="single" w:sz="8" w:color="auto"/>
            </w:tcBorders>
          </w:tcPr>
          <w:p>
            <w:pPr>
              <w:jc w:val="right"/>
              <w:spacing w:after="0" w:line="181" w:lineRule="exact"/>
              <w:rPr>
                <w:sz w:val="20"/>
                <w:szCs w:val="20"/>
                <w:color w:val="auto"/>
              </w:rPr>
            </w:pPr>
            <w:r>
              <w:rPr>
                <w:rFonts w:ascii="Calibri" w:cs="Calibri" w:eastAsia="Calibri" w:hAnsi="Calibri"/>
                <w:sz w:val="15"/>
                <w:szCs w:val="15"/>
                <w:b w:val="1"/>
                <w:bCs w:val="1"/>
                <w:color w:val="auto"/>
              </w:rPr>
              <w:t>(726,998)</w:t>
            </w:r>
          </w:p>
        </w:tc>
        <w:tc>
          <w:tcPr>
            <w:tcW w:w="720" w:type="dxa"/>
            <w:vAlign w:val="bottom"/>
          </w:tcPr>
          <w:p>
            <w:pPr>
              <w:jc w:val="center"/>
              <w:ind w:left="204"/>
              <w:spacing w:after="0" w:line="181" w:lineRule="exact"/>
              <w:rPr>
                <w:sz w:val="20"/>
                <w:szCs w:val="20"/>
                <w:color w:val="auto"/>
              </w:rPr>
            </w:pPr>
            <w:r>
              <w:rPr>
                <w:rFonts w:ascii="Calibri" w:cs="Calibri" w:eastAsia="Calibri" w:hAnsi="Calibri"/>
                <w:sz w:val="15"/>
                <w:szCs w:val="15"/>
                <w:b w:val="1"/>
                <w:bCs w:val="1"/>
                <w:color w:val="auto"/>
              </w:rPr>
              <w:t>-0.5%</w:t>
            </w:r>
          </w:p>
        </w:tc>
        <w:tc>
          <w:tcPr>
            <w:tcW w:w="1320" w:type="dxa"/>
            <w:vAlign w:val="bottom"/>
            <w:tcBorders>
              <w:right w:val="single" w:sz="8" w:color="auto"/>
            </w:tcBorders>
          </w:tcPr>
          <w:p>
            <w:pPr>
              <w:jc w:val="center"/>
              <w:ind w:left="184"/>
              <w:spacing w:after="0" w:line="181" w:lineRule="exact"/>
              <w:rPr>
                <w:sz w:val="20"/>
                <w:szCs w:val="20"/>
                <w:color w:val="auto"/>
              </w:rPr>
            </w:pPr>
            <w:r>
              <w:rPr>
                <w:rFonts w:ascii="Calibri" w:cs="Calibri" w:eastAsia="Calibri" w:hAnsi="Calibri"/>
                <w:sz w:val="15"/>
                <w:szCs w:val="15"/>
                <w:b w:val="1"/>
                <w:bCs w:val="1"/>
                <w:color w:val="auto"/>
              </w:rPr>
              <w:t>182.2%</w:t>
            </w:r>
          </w:p>
        </w:tc>
      </w:tr>
      <w:tr>
        <w:trPr>
          <w:trHeight w:val="23"/>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184"/>
        </w:trPr>
        <w:tc>
          <w:tcPr>
            <w:tcW w:w="5200" w:type="dxa"/>
            <w:vAlign w:val="bottom"/>
            <w:tcBorders>
              <w:left w:val="single" w:sz="8" w:color="auto"/>
              <w:bottom w:val="single" w:sz="8" w:color="auto"/>
              <w:right w:val="single" w:sz="8" w:color="auto"/>
            </w:tcBorders>
          </w:tcPr>
          <w:p>
            <w:pPr>
              <w:ind w:left="20"/>
              <w:spacing w:after="0" w:line="181" w:lineRule="exact"/>
              <w:rPr>
                <w:sz w:val="20"/>
                <w:szCs w:val="20"/>
                <w:color w:val="auto"/>
              </w:rPr>
            </w:pPr>
            <w:r>
              <w:rPr>
                <w:rFonts w:ascii="Calibri" w:cs="Calibri" w:eastAsia="Calibri" w:hAnsi="Calibri"/>
                <w:sz w:val="12"/>
                <w:szCs w:val="12"/>
                <w:color w:val="auto"/>
              </w:rPr>
              <w:t xml:space="preserve">Cost of risk </w:t>
            </w:r>
            <w:r>
              <w:rPr>
                <w:rFonts w:ascii="Calibri" w:cs="Calibri" w:eastAsia="Calibri" w:hAnsi="Calibri"/>
                <w:sz w:val="19"/>
                <w:szCs w:val="19"/>
                <w:color w:val="auto"/>
                <w:vertAlign w:val="superscript"/>
              </w:rPr>
              <w:t>(1)</w:t>
            </w:r>
          </w:p>
        </w:tc>
        <w:tc>
          <w:tcPr>
            <w:tcW w:w="1540" w:type="dxa"/>
            <w:vAlign w:val="bottom"/>
            <w:tcBorders>
              <w:bottom w:val="single" w:sz="8" w:color="auto"/>
            </w:tcBorders>
          </w:tcPr>
          <w:p>
            <w:pPr>
              <w:jc w:val="right"/>
              <w:ind w:right="144"/>
              <w:spacing w:after="0" w:line="180" w:lineRule="exact"/>
              <w:rPr>
                <w:sz w:val="20"/>
                <w:szCs w:val="20"/>
                <w:color w:val="auto"/>
              </w:rPr>
            </w:pPr>
            <w:r>
              <w:rPr>
                <w:rFonts w:ascii="Calibri" w:cs="Calibri" w:eastAsia="Calibri" w:hAnsi="Calibri"/>
                <w:sz w:val="15"/>
                <w:szCs w:val="15"/>
                <w:color w:val="auto"/>
              </w:rPr>
              <w:t>0.71%</w:t>
            </w:r>
          </w:p>
        </w:tc>
        <w:tc>
          <w:tcPr>
            <w:tcW w:w="1380" w:type="dxa"/>
            <w:vAlign w:val="bottom"/>
            <w:tcBorders>
              <w:bottom w:val="single" w:sz="8" w:color="auto"/>
            </w:tcBorders>
          </w:tcPr>
          <w:p>
            <w:pPr>
              <w:jc w:val="right"/>
              <w:ind w:right="184"/>
              <w:spacing w:after="0" w:line="180" w:lineRule="exact"/>
              <w:rPr>
                <w:sz w:val="20"/>
                <w:szCs w:val="20"/>
                <w:color w:val="auto"/>
              </w:rPr>
            </w:pPr>
            <w:r>
              <w:rPr>
                <w:rFonts w:ascii="Calibri" w:cs="Calibri" w:eastAsia="Calibri" w:hAnsi="Calibri"/>
                <w:sz w:val="15"/>
                <w:szCs w:val="15"/>
                <w:color w:val="auto"/>
              </w:rPr>
              <w:t>1.97%</w:t>
            </w:r>
          </w:p>
        </w:tc>
        <w:tc>
          <w:tcPr>
            <w:tcW w:w="1100" w:type="dxa"/>
            <w:vAlign w:val="bottom"/>
            <w:tcBorders>
              <w:bottom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2.00%</w:t>
            </w:r>
          </w:p>
        </w:tc>
        <w:tc>
          <w:tcPr>
            <w:tcW w:w="720" w:type="dxa"/>
            <w:vAlign w:val="bottom"/>
            <w:tcBorders>
              <w:bottom w:val="single" w:sz="8" w:color="auto"/>
            </w:tcBorders>
          </w:tcPr>
          <w:p>
            <w:pPr>
              <w:jc w:val="center"/>
              <w:ind w:left="204"/>
              <w:spacing w:after="0" w:line="180" w:lineRule="exact"/>
              <w:rPr>
                <w:sz w:val="20"/>
                <w:szCs w:val="20"/>
                <w:color w:val="auto"/>
              </w:rPr>
            </w:pPr>
            <w:r>
              <w:rPr>
                <w:rFonts w:ascii="Calibri" w:cs="Calibri" w:eastAsia="Calibri" w:hAnsi="Calibri"/>
                <w:sz w:val="15"/>
                <w:szCs w:val="15"/>
                <w:color w:val="auto"/>
                <w:w w:val="97"/>
              </w:rPr>
              <w:t>3 bps</w:t>
            </w:r>
          </w:p>
        </w:tc>
        <w:tc>
          <w:tcPr>
            <w:tcW w:w="1320" w:type="dxa"/>
            <w:vAlign w:val="bottom"/>
            <w:tcBorders>
              <w:bottom w:val="single" w:sz="8" w:color="auto"/>
              <w:right w:val="single" w:sz="8" w:color="auto"/>
            </w:tcBorders>
          </w:tcPr>
          <w:p>
            <w:pPr>
              <w:jc w:val="center"/>
              <w:ind w:left="184"/>
              <w:spacing w:after="0" w:line="180" w:lineRule="exact"/>
              <w:rPr>
                <w:sz w:val="20"/>
                <w:szCs w:val="20"/>
                <w:color w:val="auto"/>
              </w:rPr>
            </w:pPr>
            <w:r>
              <w:rPr>
                <w:rFonts w:ascii="Calibri" w:cs="Calibri" w:eastAsia="Calibri" w:hAnsi="Calibri"/>
                <w:sz w:val="15"/>
                <w:szCs w:val="15"/>
                <w:color w:val="auto"/>
                <w:w w:val="96"/>
              </w:rPr>
              <w:t>129 bps</w:t>
            </w:r>
          </w:p>
        </w:tc>
      </w:tr>
    </w:tbl>
    <w:p>
      <w:pPr>
        <w:ind w:left="9"/>
        <w:spacing w:after="0" w:line="203" w:lineRule="auto"/>
        <w:rPr>
          <w:sz w:val="20"/>
          <w:szCs w:val="20"/>
          <w:color w:val="auto"/>
        </w:rPr>
      </w:pPr>
      <w:r>
        <w:rPr>
          <w:rFonts w:ascii="Calibri" w:cs="Calibri" w:eastAsia="Calibri" w:hAnsi="Calibri"/>
          <w:sz w:val="10"/>
          <w:szCs w:val="10"/>
          <w:color w:val="auto"/>
        </w:rPr>
        <w:t>(1) Annualized Provision for credit losses on loan portolio, net of recoveries / Total Loans.</w:t>
      </w:r>
    </w:p>
    <w:p>
      <w:pPr>
        <w:spacing w:after="0" w:line="192"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The CofR of the total portolio, which is comprised of structural and GP loans, reported growth of 3bps QoQ and 129 bps YoY, which refected growth in structural provisions.</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54" w:right="319" w:bottom="1440" w:gutter="0" w:footer="0" w:header="0"/>
        </w:sectPr>
      </w:pPr>
    </w:p>
    <w:bookmarkStart w:id="33" w:name="page34"/>
    <w:bookmarkEnd w:id="33"/>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53910" cy="2305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05. Provisions</w:t>
      </w:r>
    </w:p>
    <w:p>
      <w:pPr>
        <w:spacing w:after="0" w:line="274" w:lineRule="exact"/>
        <w:rPr>
          <w:sz w:val="20"/>
          <w:szCs w:val="20"/>
          <w:color w:val="auto"/>
        </w:rPr>
      </w:pPr>
    </w:p>
    <w:p>
      <w:pPr>
        <w:ind w:left="1680"/>
        <w:spacing w:after="0"/>
        <w:tabs>
          <w:tab w:leader="none" w:pos="7540" w:val="left"/>
        </w:tabs>
        <w:rPr>
          <w:sz w:val="20"/>
          <w:szCs w:val="20"/>
          <w:color w:val="auto"/>
        </w:rPr>
      </w:pPr>
      <w:r>
        <w:rPr>
          <w:rFonts w:ascii="Calibri" w:cs="Calibri" w:eastAsia="Calibri" w:hAnsi="Calibri"/>
          <w:sz w:val="15"/>
          <w:szCs w:val="15"/>
          <w:b w:val="1"/>
          <w:bCs w:val="1"/>
          <w:color w:val="auto"/>
        </w:rPr>
        <w:t>QoQ Evoluton of the Cost of Risk</w:t>
      </w:r>
      <w:r>
        <w:rPr>
          <w:sz w:val="20"/>
          <w:szCs w:val="20"/>
          <w:color w:val="auto"/>
        </w:rPr>
        <w:tab/>
      </w:r>
      <w:r>
        <w:rPr>
          <w:rFonts w:ascii="Calibri" w:cs="Calibri" w:eastAsia="Calibri" w:hAnsi="Calibri"/>
          <w:sz w:val="14"/>
          <w:szCs w:val="14"/>
          <w:b w:val="1"/>
          <w:bCs w:val="1"/>
          <w:color w:val="auto"/>
        </w:rPr>
        <w:t>YoY Evoluton of the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128270</wp:posOffset>
            </wp:positionV>
            <wp:extent cx="6289675" cy="1160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89675" cy="1160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alibri" w:cs="Calibri" w:eastAsia="Calibri" w:hAnsi="Calibri"/>
          <w:sz w:val="10"/>
          <w:szCs w:val="10"/>
          <w:color w:val="auto"/>
        </w:rPr>
        <w:t>(1) Others include BCP Bolivia, Mibanco Colombia, ASB Bank Corp and eliminatons.</w:t>
      </w: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54" w:right="319" w:bottom="1440" w:gutter="0" w:footer="0" w:header="0"/>
        </w:sectPr>
      </w:pPr>
    </w:p>
    <w:bookmarkStart w:id="34" w:name="page35"/>
    <w:bookmarkEnd w:id="34"/>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13" w:lineRule="exact"/>
        <w:rPr>
          <w:sz w:val="20"/>
          <w:szCs w:val="20"/>
          <w:color w:val="auto"/>
        </w:rPr>
      </w:pPr>
    </w:p>
    <w:p>
      <w:pPr>
        <w:ind w:left="9"/>
        <w:spacing w:after="0"/>
        <w:rPr>
          <w:sz w:val="20"/>
          <w:szCs w:val="20"/>
          <w:color w:val="auto"/>
        </w:rPr>
      </w:pPr>
      <w:r>
        <w:rPr>
          <w:rFonts w:ascii="Calibri" w:cs="Calibri" w:eastAsia="Calibri" w:hAnsi="Calibri"/>
          <w:sz w:val="44"/>
          <w:szCs w:val="44"/>
          <w:b w:val="1"/>
          <w:bCs w:val="1"/>
          <w:color w:val="E93CAC"/>
        </w:rPr>
        <w:t xml:space="preserve">06 </w:t>
      </w:r>
      <w:r>
        <w:rPr>
          <w:rFonts w:ascii="Calibri" w:cs="Calibri" w:eastAsia="Calibri" w:hAnsi="Calibri"/>
          <w:sz w:val="27"/>
          <w:szCs w:val="27"/>
          <w:b w:val="1"/>
          <w:bCs w:val="1"/>
          <w:color w:val="E93CAC"/>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153910" cy="662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3910" cy="662940"/>
                    </a:xfrm>
                    <a:prstGeom prst="rect">
                      <a:avLst/>
                    </a:prstGeom>
                    <a:noFill/>
                  </pic:spPr>
                </pic:pic>
              </a:graphicData>
            </a:graphic>
          </wp:anchor>
        </w:drawing>
      </w:r>
    </w:p>
    <w:p>
      <w:pPr>
        <w:spacing w:after="0" w:line="228" w:lineRule="exact"/>
        <w:rPr>
          <w:sz w:val="20"/>
          <w:szCs w:val="20"/>
          <w:color w:val="auto"/>
        </w:rPr>
      </w:pPr>
    </w:p>
    <w:p>
      <w:pPr>
        <w:ind w:left="109" w:right="120"/>
        <w:spacing w:after="0" w:line="236" w:lineRule="auto"/>
        <w:rPr>
          <w:sz w:val="20"/>
          <w:szCs w:val="20"/>
          <w:color w:val="auto"/>
        </w:rPr>
      </w:pPr>
      <w:r>
        <w:rPr>
          <w:rFonts w:ascii="Calibri" w:cs="Calibri" w:eastAsia="Calibri" w:hAnsi="Calibri"/>
          <w:sz w:val="15"/>
          <w:szCs w:val="15"/>
          <w:color w:val="FFFFFF"/>
        </w:rPr>
        <w:t>Other Core Income fell QoQ and YoY by 4.8% and 1.8% respectvely. This evoluton was driven by drop in the Net gain on FX transactons in BCP, which refected a decrease in the volatlity of the US Dollar and the eliminaton of the inter-city transfers commission in BCP.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-215900</wp:posOffset>
            </wp:positionV>
            <wp:extent cx="7082155" cy="6121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82155" cy="612140"/>
                    </a:xfrm>
                    <a:prstGeom prst="rect">
                      <a:avLst/>
                    </a:prstGeom>
                    <a:noFill/>
                  </pic:spPr>
                </pic:pic>
              </a:graphicData>
            </a:graphic>
          </wp:anchor>
        </w:drawing>
      </w:r>
    </w:p>
    <w:p>
      <w:pPr>
        <w:spacing w:after="0" w:line="142" w:lineRule="exact"/>
        <w:rPr>
          <w:sz w:val="20"/>
          <w:szCs w:val="20"/>
          <w:color w:val="auto"/>
        </w:rPr>
      </w:pPr>
    </w:p>
    <w:p>
      <w:pPr>
        <w:ind w:left="109" w:right="100"/>
        <w:spacing w:after="0" w:line="236" w:lineRule="auto"/>
        <w:rPr>
          <w:sz w:val="20"/>
          <w:szCs w:val="20"/>
          <w:color w:val="auto"/>
        </w:rPr>
      </w:pPr>
      <w:r>
        <w:rPr>
          <w:rFonts w:ascii="Calibri" w:cs="Calibri" w:eastAsia="Calibri" w:hAnsi="Calibri"/>
          <w:sz w:val="15"/>
          <w:szCs w:val="15"/>
          <w:color w:val="FFFFFF"/>
        </w:rPr>
        <w:t>Non-core other income increased 31.4% QoQ, which refects an uptck in other non-fnancial income at BCP, and rose 124.6% YoY, fueled by growth in Net gains on securites in the Insurance and Pension businesses.</w:t>
      </w:r>
    </w:p>
    <w:p>
      <w:pPr>
        <w:spacing w:after="0" w:line="28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6.1 Other Core Income</w:t>
      </w:r>
    </w:p>
    <w:p>
      <w:pPr>
        <w:spacing w:after="0" w:line="212" w:lineRule="exact"/>
        <w:rPr>
          <w:sz w:val="20"/>
          <w:szCs w:val="20"/>
          <w:color w:val="auto"/>
        </w:rPr>
      </w:pPr>
    </w:p>
    <w:tbl>
      <w:tblPr>
        <w:tblLayout w:type="fixed"/>
        <w:tblInd w:w="19" w:type="dxa"/>
        <w:tblCellMar>
          <w:top w:w="0" w:type="dxa"/>
          <w:left w:w="0" w:type="dxa"/>
          <w:bottom w:w="0" w:type="dxa"/>
          <w:right w:w="0" w:type="dxa"/>
        </w:tblCellMar>
      </w:tblPr>
      <w:tr>
        <w:trPr>
          <w:trHeight w:val="202"/>
        </w:trPr>
        <w:tc>
          <w:tcPr>
            <w:tcW w:w="520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Core Other Income</w:t>
            </w:r>
          </w:p>
        </w:tc>
        <w:tc>
          <w:tcPr>
            <w:tcW w:w="1320" w:type="dxa"/>
            <w:vAlign w:val="bottom"/>
            <w:tcBorders>
              <w:top w:val="single" w:sz="8" w:color="auto"/>
            </w:tcBorders>
            <w:shd w:val="clear" w:color="auto" w:fill="2AD2C9"/>
          </w:tcPr>
          <w:p>
            <w:pPr>
              <w:spacing w:after="0"/>
              <w:rPr>
                <w:sz w:val="17"/>
                <w:szCs w:val="17"/>
                <w:color w:val="auto"/>
              </w:rPr>
            </w:pPr>
          </w:p>
        </w:tc>
        <w:tc>
          <w:tcPr>
            <w:tcW w:w="1340" w:type="dxa"/>
            <w:vAlign w:val="bottom"/>
            <w:tcBorders>
              <w:top w:val="single" w:sz="8" w:color="auto"/>
            </w:tcBorders>
            <w:shd w:val="clear" w:color="auto" w:fill="2AD2C9"/>
          </w:tcPr>
          <w:p>
            <w:pPr>
              <w:ind w:left="440"/>
              <w:spacing w:after="0"/>
              <w:rPr>
                <w:sz w:val="20"/>
                <w:szCs w:val="20"/>
                <w:color w:val="auto"/>
              </w:rPr>
            </w:pPr>
            <w:r>
              <w:rPr>
                <w:rFonts w:ascii="Calibri" w:cs="Calibri" w:eastAsia="Calibri" w:hAnsi="Calibri"/>
                <w:sz w:val="15"/>
                <w:szCs w:val="15"/>
                <w:b w:val="1"/>
                <w:bCs w:val="1"/>
                <w:color w:val="FFFFFF"/>
              </w:rPr>
              <w:t>Quarter</w:t>
            </w:r>
          </w:p>
        </w:tc>
        <w:tc>
          <w:tcPr>
            <w:tcW w:w="1360" w:type="dxa"/>
            <w:vAlign w:val="bottom"/>
            <w:tcBorders>
              <w:top w:val="single" w:sz="8" w:color="auto"/>
              <w:right w:val="single" w:sz="8" w:color="auto"/>
            </w:tcBorders>
            <w:shd w:val="clear" w:color="auto" w:fill="2AD2C9"/>
          </w:tcPr>
          <w:p>
            <w:pPr>
              <w:spacing w:after="0"/>
              <w:rPr>
                <w:sz w:val="17"/>
                <w:szCs w:val="17"/>
                <w:color w:val="auto"/>
              </w:rPr>
            </w:pPr>
          </w:p>
        </w:tc>
        <w:tc>
          <w:tcPr>
            <w:tcW w:w="700" w:type="dxa"/>
            <w:vAlign w:val="bottom"/>
            <w:tcBorders>
              <w:top w:val="single" w:sz="8" w:color="auto"/>
            </w:tcBorders>
            <w:shd w:val="clear" w:color="auto" w:fill="2AD2C9"/>
          </w:tcPr>
          <w:p>
            <w:pPr>
              <w:spacing w:after="0"/>
              <w:rPr>
                <w:sz w:val="17"/>
                <w:szCs w:val="17"/>
                <w:color w:val="auto"/>
              </w:rPr>
            </w:pPr>
          </w:p>
        </w:tc>
        <w:tc>
          <w:tcPr>
            <w:tcW w:w="1340" w:type="dxa"/>
            <w:vAlign w:val="bottom"/>
            <w:tcBorders>
              <w:top w:val="single" w:sz="8" w:color="auto"/>
              <w:right w:val="single" w:sz="8" w:color="auto"/>
            </w:tcBorders>
            <w:shd w:val="clear" w:color="auto" w:fill="2AD2C9"/>
          </w:tcPr>
          <w:p>
            <w:pPr>
              <w:spacing w:after="0"/>
              <w:rPr>
                <w:sz w:val="20"/>
                <w:szCs w:val="20"/>
                <w:color w:val="auto"/>
              </w:rPr>
            </w:pPr>
            <w:r>
              <w:rPr>
                <w:rFonts w:ascii="Calibri" w:cs="Calibri" w:eastAsia="Calibri" w:hAnsi="Calibri"/>
                <w:sz w:val="15"/>
                <w:szCs w:val="15"/>
                <w:b w:val="1"/>
                <w:bCs w:val="1"/>
                <w:color w:val="FFFFFF"/>
              </w:rPr>
              <w:t>% Change</w:t>
            </w:r>
          </w:p>
        </w:tc>
      </w:tr>
      <w:tr>
        <w:trPr>
          <w:trHeight w:val="237"/>
        </w:trPr>
        <w:tc>
          <w:tcPr>
            <w:tcW w:w="5200" w:type="dxa"/>
            <w:vAlign w:val="bottom"/>
            <w:tcBorders>
              <w:left w:val="single" w:sz="8" w:color="auto"/>
              <w:bottom w:val="single" w:sz="8" w:color="2AD2C9"/>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(S/ 000)</w:t>
            </w:r>
          </w:p>
        </w:tc>
        <w:tc>
          <w:tcPr>
            <w:tcW w:w="1320" w:type="dxa"/>
            <w:vAlign w:val="bottom"/>
            <w:tcBorders>
              <w:bottom w:val="single" w:sz="8" w:color="2AD2C9"/>
            </w:tcBorders>
            <w:shd w:val="clear" w:color="auto" w:fill="2AD2C9"/>
          </w:tcPr>
          <w:p>
            <w:pPr>
              <w:jc w:val="center"/>
              <w:spacing w:after="0"/>
              <w:rPr>
                <w:sz w:val="20"/>
                <w:szCs w:val="20"/>
                <w:color w:val="auto"/>
              </w:rPr>
            </w:pPr>
            <w:r>
              <w:rPr>
                <w:rFonts w:ascii="Calibri" w:cs="Calibri" w:eastAsia="Calibri" w:hAnsi="Calibri"/>
                <w:sz w:val="15"/>
                <w:szCs w:val="15"/>
                <w:b w:val="1"/>
                <w:bCs w:val="1"/>
                <w:color w:val="FFFFFF"/>
                <w:w w:val="96"/>
              </w:rPr>
              <w:t>1Q22</w:t>
            </w:r>
          </w:p>
        </w:tc>
        <w:tc>
          <w:tcPr>
            <w:tcW w:w="1340" w:type="dxa"/>
            <w:vAlign w:val="bottom"/>
            <w:tcBorders>
              <w:bottom w:val="single" w:sz="8" w:color="2AD2C9"/>
            </w:tcBorders>
            <w:shd w:val="clear" w:color="auto" w:fill="2AD2C9"/>
          </w:tcPr>
          <w:p>
            <w:pPr>
              <w:jc w:val="center"/>
              <w:spacing w:after="0"/>
              <w:rPr>
                <w:sz w:val="20"/>
                <w:szCs w:val="20"/>
                <w:color w:val="auto"/>
              </w:rPr>
            </w:pPr>
            <w:r>
              <w:rPr>
                <w:rFonts w:ascii="Calibri" w:cs="Calibri" w:eastAsia="Calibri" w:hAnsi="Calibri"/>
                <w:sz w:val="15"/>
                <w:szCs w:val="15"/>
                <w:b w:val="1"/>
                <w:bCs w:val="1"/>
                <w:color w:val="FFFFFF"/>
                <w:w w:val="96"/>
              </w:rPr>
              <w:t>4Q22</w:t>
            </w:r>
          </w:p>
        </w:tc>
        <w:tc>
          <w:tcPr>
            <w:tcW w:w="1360" w:type="dxa"/>
            <w:vAlign w:val="bottom"/>
            <w:tcBorders>
              <w:bottom w:val="single" w:sz="8" w:color="2AD2C9"/>
              <w:right w:val="single" w:sz="8" w:color="auto"/>
            </w:tcBorders>
            <w:shd w:val="clear" w:color="auto" w:fill="2AD2C9"/>
          </w:tcPr>
          <w:p>
            <w:pPr>
              <w:jc w:val="center"/>
              <w:spacing w:after="0"/>
              <w:rPr>
                <w:sz w:val="20"/>
                <w:szCs w:val="20"/>
                <w:color w:val="auto"/>
              </w:rPr>
            </w:pPr>
            <w:r>
              <w:rPr>
                <w:rFonts w:ascii="Calibri" w:cs="Calibri" w:eastAsia="Calibri" w:hAnsi="Calibri"/>
                <w:sz w:val="15"/>
                <w:szCs w:val="15"/>
                <w:b w:val="1"/>
                <w:bCs w:val="1"/>
                <w:color w:val="FFFFFF"/>
              </w:rPr>
              <w:t>1Q23</w:t>
            </w:r>
          </w:p>
        </w:tc>
        <w:tc>
          <w:tcPr>
            <w:tcW w:w="700" w:type="dxa"/>
            <w:vAlign w:val="bottom"/>
            <w:tcBorders>
              <w:bottom w:val="single" w:sz="8" w:color="2AD2C9"/>
            </w:tcBorders>
            <w:shd w:val="clear" w:color="auto" w:fill="2AD2C9"/>
          </w:tcPr>
          <w:p>
            <w:pPr>
              <w:jc w:val="center"/>
              <w:ind w:left="224"/>
              <w:spacing w:after="0"/>
              <w:rPr>
                <w:sz w:val="20"/>
                <w:szCs w:val="20"/>
                <w:color w:val="auto"/>
              </w:rPr>
            </w:pPr>
            <w:r>
              <w:rPr>
                <w:rFonts w:ascii="Calibri" w:cs="Calibri" w:eastAsia="Calibri" w:hAnsi="Calibri"/>
                <w:sz w:val="15"/>
                <w:szCs w:val="15"/>
                <w:b w:val="1"/>
                <w:bCs w:val="1"/>
                <w:color w:val="FFFFFF"/>
                <w:w w:val="97"/>
              </w:rPr>
              <w:t>QoQ</w:t>
            </w:r>
          </w:p>
        </w:tc>
        <w:tc>
          <w:tcPr>
            <w:tcW w:w="1340" w:type="dxa"/>
            <w:vAlign w:val="bottom"/>
            <w:tcBorders>
              <w:bottom w:val="single" w:sz="8" w:color="2AD2C9"/>
              <w:right w:val="single" w:sz="8" w:color="auto"/>
            </w:tcBorders>
            <w:shd w:val="clear" w:color="auto" w:fill="2AD2C9"/>
          </w:tcPr>
          <w:p>
            <w:pPr>
              <w:jc w:val="center"/>
              <w:ind w:left="204"/>
              <w:spacing w:after="0"/>
              <w:rPr>
                <w:sz w:val="20"/>
                <w:szCs w:val="20"/>
                <w:color w:val="auto"/>
              </w:rPr>
            </w:pPr>
            <w:r>
              <w:rPr>
                <w:rFonts w:ascii="Calibri" w:cs="Calibri" w:eastAsia="Calibri" w:hAnsi="Calibri"/>
                <w:sz w:val="15"/>
                <w:szCs w:val="15"/>
                <w:b w:val="1"/>
                <w:bCs w:val="1"/>
                <w:color w:val="FFFFFF"/>
                <w:w w:val="92"/>
              </w:rPr>
              <w:t>YoY</w:t>
            </w:r>
          </w:p>
        </w:tc>
      </w:tr>
      <w:tr>
        <w:trPr>
          <w:trHeight w:val="179"/>
        </w:trPr>
        <w:tc>
          <w:tcPr>
            <w:tcW w:w="5200" w:type="dxa"/>
            <w:vAlign w:val="bottom"/>
            <w:tcBorders>
              <w:top w:val="single" w:sz="8" w:color="auto"/>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Fee income</w:t>
            </w:r>
          </w:p>
        </w:tc>
        <w:tc>
          <w:tcPr>
            <w:tcW w:w="1320" w:type="dxa"/>
            <w:vAlign w:val="bottom"/>
            <w:tcBorders>
              <w:top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7"/>
              </w:rPr>
              <w:t>891,628</w:t>
            </w:r>
          </w:p>
        </w:tc>
        <w:tc>
          <w:tcPr>
            <w:tcW w:w="1340" w:type="dxa"/>
            <w:vAlign w:val="bottom"/>
            <w:tcBorders>
              <w:top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7"/>
              </w:rPr>
              <w:t>894,552</w:t>
            </w:r>
          </w:p>
        </w:tc>
        <w:tc>
          <w:tcPr>
            <w:tcW w:w="1360" w:type="dxa"/>
            <w:vAlign w:val="bottom"/>
            <w:tcBorders>
              <w:top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881,781</w:t>
            </w:r>
          </w:p>
        </w:tc>
        <w:tc>
          <w:tcPr>
            <w:tcW w:w="700" w:type="dxa"/>
            <w:vAlign w:val="bottom"/>
            <w:tcBorders>
              <w:top w:val="single" w:sz="8" w:color="auto"/>
            </w:tcBorders>
          </w:tcPr>
          <w:p>
            <w:pPr>
              <w:jc w:val="center"/>
              <w:ind w:left="244"/>
              <w:spacing w:after="0" w:line="180" w:lineRule="exact"/>
              <w:rPr>
                <w:sz w:val="20"/>
                <w:szCs w:val="20"/>
                <w:color w:val="auto"/>
              </w:rPr>
            </w:pPr>
            <w:r>
              <w:rPr>
                <w:rFonts w:ascii="Calibri" w:cs="Calibri" w:eastAsia="Calibri" w:hAnsi="Calibri"/>
                <w:sz w:val="15"/>
                <w:szCs w:val="15"/>
                <w:color w:val="auto"/>
                <w:w w:val="98"/>
              </w:rPr>
              <w:t>-1.4%</w:t>
            </w:r>
          </w:p>
        </w:tc>
        <w:tc>
          <w:tcPr>
            <w:tcW w:w="1340" w:type="dxa"/>
            <w:vAlign w:val="bottom"/>
            <w:tcBorders>
              <w:top w:val="single" w:sz="8" w:color="auto"/>
              <w:right w:val="single" w:sz="8" w:color="auto"/>
            </w:tcBorders>
          </w:tcPr>
          <w:p>
            <w:pPr>
              <w:jc w:val="center"/>
              <w:ind w:left="204"/>
              <w:spacing w:after="0" w:line="180" w:lineRule="exact"/>
              <w:rPr>
                <w:sz w:val="20"/>
                <w:szCs w:val="20"/>
                <w:color w:val="auto"/>
              </w:rPr>
            </w:pPr>
            <w:r>
              <w:rPr>
                <w:rFonts w:ascii="Calibri" w:cs="Calibri" w:eastAsia="Calibri" w:hAnsi="Calibri"/>
                <w:sz w:val="15"/>
                <w:szCs w:val="15"/>
                <w:color w:val="auto"/>
                <w:w w:val="98"/>
              </w:rPr>
              <w:t>-1.1%</w:t>
            </w:r>
          </w:p>
        </w:tc>
      </w:tr>
      <w:tr>
        <w:trPr>
          <w:trHeight w:val="197"/>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Net gain on foreign exchange transactons</w:t>
            </w:r>
          </w:p>
        </w:tc>
        <w:tc>
          <w:tcPr>
            <w:tcW w:w="1320" w:type="dxa"/>
            <w:vAlign w:val="bottom"/>
          </w:tcPr>
          <w:p>
            <w:pPr>
              <w:jc w:val="center"/>
              <w:spacing w:after="0"/>
              <w:rPr>
                <w:sz w:val="20"/>
                <w:szCs w:val="20"/>
                <w:color w:val="auto"/>
              </w:rPr>
            </w:pPr>
            <w:r>
              <w:rPr>
                <w:rFonts w:ascii="Calibri" w:cs="Calibri" w:eastAsia="Calibri" w:hAnsi="Calibri"/>
                <w:sz w:val="15"/>
                <w:szCs w:val="15"/>
                <w:color w:val="auto"/>
                <w:w w:val="97"/>
              </w:rPr>
              <w:t>259,710</w:t>
            </w:r>
          </w:p>
        </w:tc>
        <w:tc>
          <w:tcPr>
            <w:tcW w:w="1340" w:type="dxa"/>
            <w:vAlign w:val="bottom"/>
          </w:tcPr>
          <w:p>
            <w:pPr>
              <w:jc w:val="center"/>
              <w:spacing w:after="0"/>
              <w:rPr>
                <w:sz w:val="20"/>
                <w:szCs w:val="20"/>
                <w:color w:val="auto"/>
              </w:rPr>
            </w:pPr>
            <w:r>
              <w:rPr>
                <w:rFonts w:ascii="Calibri" w:cs="Calibri" w:eastAsia="Calibri" w:hAnsi="Calibri"/>
                <w:sz w:val="15"/>
                <w:szCs w:val="15"/>
                <w:color w:val="auto"/>
                <w:w w:val="97"/>
              </w:rPr>
              <w:t>293,215</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248,515</w:t>
            </w:r>
          </w:p>
        </w:tc>
        <w:tc>
          <w:tcPr>
            <w:tcW w:w="700" w:type="dxa"/>
            <w:vAlign w:val="bottom"/>
          </w:tcPr>
          <w:p>
            <w:pPr>
              <w:jc w:val="center"/>
              <w:ind w:left="224"/>
              <w:spacing w:after="0"/>
              <w:rPr>
                <w:sz w:val="20"/>
                <w:szCs w:val="20"/>
                <w:color w:val="auto"/>
              </w:rPr>
            </w:pPr>
            <w:r>
              <w:rPr>
                <w:rFonts w:ascii="Calibri" w:cs="Calibri" w:eastAsia="Calibri" w:hAnsi="Calibri"/>
                <w:sz w:val="15"/>
                <w:szCs w:val="15"/>
                <w:color w:val="auto"/>
                <w:w w:val="95"/>
              </w:rPr>
              <w:t>-15.2%</w:t>
            </w:r>
          </w:p>
        </w:tc>
        <w:tc>
          <w:tcPr>
            <w:tcW w:w="1340" w:type="dxa"/>
            <w:vAlign w:val="bottom"/>
            <w:tcBorders>
              <w:right w:val="single" w:sz="8" w:color="auto"/>
            </w:tcBorders>
          </w:tcPr>
          <w:p>
            <w:pPr>
              <w:jc w:val="center"/>
              <w:ind w:left="204"/>
              <w:spacing w:after="0"/>
              <w:rPr>
                <w:sz w:val="20"/>
                <w:szCs w:val="20"/>
                <w:color w:val="auto"/>
              </w:rPr>
            </w:pPr>
            <w:r>
              <w:rPr>
                <w:rFonts w:ascii="Calibri" w:cs="Calibri" w:eastAsia="Calibri" w:hAnsi="Calibri"/>
                <w:sz w:val="15"/>
                <w:szCs w:val="15"/>
                <w:color w:val="auto"/>
                <w:w w:val="98"/>
              </w:rPr>
              <w:t>-4.3%</w:t>
            </w:r>
          </w:p>
        </w:tc>
      </w:tr>
      <w:tr>
        <w:trPr>
          <w:trHeight w:val="35"/>
        </w:trPr>
        <w:tc>
          <w:tcPr>
            <w:tcW w:w="520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r>
      <w:tr>
        <w:trPr>
          <w:trHeight w:val="179"/>
        </w:trPr>
        <w:tc>
          <w:tcPr>
            <w:tcW w:w="52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Total other income Core</w:t>
            </w:r>
          </w:p>
        </w:tc>
        <w:tc>
          <w:tcPr>
            <w:tcW w:w="1320" w:type="dxa"/>
            <w:vAlign w:val="bottom"/>
          </w:tcPr>
          <w:p>
            <w:pPr>
              <w:jc w:val="center"/>
              <w:spacing w:after="0" w:line="180" w:lineRule="exact"/>
              <w:rPr>
                <w:sz w:val="20"/>
                <w:szCs w:val="20"/>
                <w:color w:val="auto"/>
              </w:rPr>
            </w:pPr>
            <w:r>
              <w:rPr>
                <w:rFonts w:ascii="Calibri" w:cs="Calibri" w:eastAsia="Calibri" w:hAnsi="Calibri"/>
                <w:sz w:val="15"/>
                <w:szCs w:val="15"/>
                <w:b w:val="1"/>
                <w:bCs w:val="1"/>
                <w:color w:val="auto"/>
                <w:w w:val="98"/>
              </w:rPr>
              <w:t>1,151,338</w:t>
            </w:r>
          </w:p>
        </w:tc>
        <w:tc>
          <w:tcPr>
            <w:tcW w:w="1340" w:type="dxa"/>
            <w:vAlign w:val="bottom"/>
          </w:tcPr>
          <w:p>
            <w:pPr>
              <w:jc w:val="center"/>
              <w:spacing w:after="0" w:line="180" w:lineRule="exact"/>
              <w:rPr>
                <w:sz w:val="20"/>
                <w:szCs w:val="20"/>
                <w:color w:val="auto"/>
              </w:rPr>
            </w:pPr>
            <w:r>
              <w:rPr>
                <w:rFonts w:ascii="Calibri" w:cs="Calibri" w:eastAsia="Calibri" w:hAnsi="Calibri"/>
                <w:sz w:val="15"/>
                <w:szCs w:val="15"/>
                <w:b w:val="1"/>
                <w:bCs w:val="1"/>
                <w:color w:val="auto"/>
                <w:w w:val="98"/>
              </w:rPr>
              <w:t>1,187,767</w:t>
            </w:r>
          </w:p>
        </w:tc>
        <w:tc>
          <w:tcPr>
            <w:tcW w:w="136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rPr>
              <w:t>1,130,296</w:t>
            </w:r>
          </w:p>
        </w:tc>
        <w:tc>
          <w:tcPr>
            <w:tcW w:w="700" w:type="dxa"/>
            <w:vAlign w:val="bottom"/>
          </w:tcPr>
          <w:p>
            <w:pPr>
              <w:jc w:val="center"/>
              <w:ind w:left="224"/>
              <w:spacing w:after="0" w:line="180" w:lineRule="exact"/>
              <w:rPr>
                <w:sz w:val="20"/>
                <w:szCs w:val="20"/>
                <w:color w:val="auto"/>
              </w:rPr>
            </w:pPr>
            <w:r>
              <w:rPr>
                <w:rFonts w:ascii="Calibri" w:cs="Calibri" w:eastAsia="Calibri" w:hAnsi="Calibri"/>
                <w:sz w:val="15"/>
                <w:szCs w:val="15"/>
                <w:b w:val="1"/>
                <w:bCs w:val="1"/>
                <w:color w:val="auto"/>
              </w:rPr>
              <w:t>-4.8%</w:t>
            </w:r>
          </w:p>
        </w:tc>
        <w:tc>
          <w:tcPr>
            <w:tcW w:w="1340" w:type="dxa"/>
            <w:vAlign w:val="bottom"/>
            <w:tcBorders>
              <w:right w:val="single" w:sz="8" w:color="auto"/>
            </w:tcBorders>
          </w:tcPr>
          <w:p>
            <w:pPr>
              <w:jc w:val="center"/>
              <w:ind w:left="204"/>
              <w:spacing w:after="0" w:line="180" w:lineRule="exact"/>
              <w:rPr>
                <w:sz w:val="20"/>
                <w:szCs w:val="20"/>
                <w:color w:val="auto"/>
              </w:rPr>
            </w:pPr>
            <w:r>
              <w:rPr>
                <w:rFonts w:ascii="Calibri" w:cs="Calibri" w:eastAsia="Calibri" w:hAnsi="Calibri"/>
                <w:sz w:val="15"/>
                <w:szCs w:val="15"/>
                <w:b w:val="1"/>
                <w:bCs w:val="1"/>
                <w:color w:val="auto"/>
                <w:w w:val="97"/>
              </w:rPr>
              <w:t>-1.8%</w:t>
            </w:r>
          </w:p>
        </w:tc>
      </w:tr>
      <w:tr>
        <w:trPr>
          <w:trHeight w:val="27"/>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bl>
    <w:p>
      <w:pPr>
        <w:spacing w:after="0" w:line="159"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 xml:space="preserve">QoQ and YoY, </w:t>
      </w:r>
      <w:r>
        <w:rPr>
          <w:rFonts w:ascii="Calibri" w:cs="Calibri" w:eastAsia="Calibri" w:hAnsi="Calibri"/>
          <w:sz w:val="15"/>
          <w:szCs w:val="15"/>
          <w:color w:val="auto"/>
        </w:rPr>
        <w:t>other core income fell. This decline was primarily driven by a drop in the Net gain on FX transactons, which was in turn fueled by:</w:t>
      </w:r>
    </w:p>
    <w:p>
      <w:pPr>
        <w:spacing w:after="0" w:line="112" w:lineRule="exact"/>
        <w:rPr>
          <w:sz w:val="20"/>
          <w:szCs w:val="20"/>
          <w:color w:val="auto"/>
        </w:rPr>
      </w:pPr>
    </w:p>
    <w:p>
      <w:pPr>
        <w:ind w:left="549" w:hanging="277"/>
        <w:spacing w:after="0"/>
        <w:tabs>
          <w:tab w:leader="none" w:pos="549" w:val="left"/>
        </w:tabs>
        <w:numPr>
          <w:ilvl w:val="0"/>
          <w:numId w:val="32"/>
        </w:numPr>
        <w:rPr>
          <w:rFonts w:ascii="Arial" w:cs="Arial" w:eastAsia="Arial" w:hAnsi="Arial"/>
          <w:sz w:val="15"/>
          <w:szCs w:val="15"/>
          <w:color w:val="auto"/>
        </w:rPr>
      </w:pPr>
      <w:r>
        <w:rPr>
          <w:rFonts w:ascii="Calibri" w:cs="Calibri" w:eastAsia="Calibri" w:hAnsi="Calibri"/>
          <w:sz w:val="15"/>
          <w:szCs w:val="15"/>
          <w:b w:val="1"/>
          <w:bCs w:val="1"/>
          <w:color w:val="auto"/>
        </w:rPr>
        <w:t xml:space="preserve">BCP: </w:t>
      </w:r>
      <w:r>
        <w:rPr>
          <w:rFonts w:ascii="Calibri" w:cs="Calibri" w:eastAsia="Calibri" w:hAnsi="Calibri"/>
          <w:sz w:val="15"/>
          <w:szCs w:val="15"/>
          <w:color w:val="auto"/>
        </w:rPr>
        <w:t>Exchange rate seasonality. In the last quarter of every year, a seasonal efect leads transacton volumes and income for Net gains on FX transactons to rise.</w:t>
      </w:r>
    </w:p>
    <w:p>
      <w:pPr>
        <w:spacing w:after="0" w:line="23" w:lineRule="exact"/>
        <w:rPr>
          <w:rFonts w:ascii="Arial" w:cs="Arial" w:eastAsia="Arial" w:hAnsi="Arial"/>
          <w:sz w:val="15"/>
          <w:szCs w:val="15"/>
          <w:color w:val="auto"/>
        </w:rPr>
      </w:pPr>
    </w:p>
    <w:p>
      <w:pPr>
        <w:ind w:left="549" w:hanging="277"/>
        <w:spacing w:after="0" w:line="207" w:lineRule="auto"/>
        <w:tabs>
          <w:tab w:leader="none" w:pos="549" w:val="left"/>
        </w:tabs>
        <w:numPr>
          <w:ilvl w:val="0"/>
          <w:numId w:val="32"/>
        </w:numPr>
        <w:rPr>
          <w:rFonts w:ascii="Arial" w:cs="Arial" w:eastAsia="Arial" w:hAnsi="Arial"/>
          <w:sz w:val="15"/>
          <w:szCs w:val="15"/>
          <w:color w:val="auto"/>
        </w:rPr>
      </w:pPr>
      <w:r>
        <w:rPr>
          <w:rFonts w:ascii="Calibri" w:cs="Calibri" w:eastAsia="Calibri" w:hAnsi="Calibri"/>
          <w:sz w:val="15"/>
          <w:szCs w:val="15"/>
          <w:b w:val="1"/>
          <w:bCs w:val="1"/>
          <w:color w:val="auto"/>
        </w:rPr>
        <w:t xml:space="preserve">BCP Bolivia: </w:t>
      </w:r>
      <w:r>
        <w:rPr>
          <w:rFonts w:ascii="Calibri" w:cs="Calibri" w:eastAsia="Calibri" w:hAnsi="Calibri"/>
          <w:sz w:val="15"/>
          <w:szCs w:val="15"/>
          <w:color w:val="auto"/>
        </w:rPr>
        <w:t>The Central Bank of Bolivia restricted purchase/sale of US Dollars, which directly impacted the transactons volume.</w:t>
      </w:r>
    </w:p>
    <w:p>
      <w:pPr>
        <w:spacing w:after="0" w:line="184" w:lineRule="exact"/>
        <w:rPr>
          <w:sz w:val="20"/>
          <w:szCs w:val="20"/>
          <w:color w:val="auto"/>
        </w:rPr>
      </w:pPr>
    </w:p>
    <w:p>
      <w:pPr>
        <w:ind w:left="9" w:right="20"/>
        <w:spacing w:after="0" w:line="236" w:lineRule="auto"/>
        <w:rPr>
          <w:sz w:val="20"/>
          <w:szCs w:val="20"/>
          <w:color w:val="auto"/>
        </w:rPr>
      </w:pPr>
      <w:r>
        <w:rPr>
          <w:rFonts w:ascii="Calibri" w:cs="Calibri" w:eastAsia="Calibri" w:hAnsi="Calibri"/>
          <w:sz w:val="15"/>
          <w:szCs w:val="15"/>
          <w:color w:val="auto"/>
        </w:rPr>
        <w:t>Additonally, net fee income fell due to the eliminaton of inter-city fees in universal banking. This reducton was partally ofset by BCP Bolivia, which increased its fee for foreign transfers from 2.5% to 7.5% of the total transfer amount. For more details, see the secton on fee income in the banking business.</w:t>
      </w:r>
    </w:p>
    <w:p>
      <w:pPr>
        <w:spacing w:after="0" w:line="124"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Fee income in the banking business</w:t>
      </w:r>
    </w:p>
    <w:p>
      <w:pPr>
        <w:spacing w:after="0" w:line="123" w:lineRule="exact"/>
        <w:rPr>
          <w:sz w:val="20"/>
          <w:szCs w:val="20"/>
          <w:color w:val="auto"/>
        </w:rPr>
      </w:pPr>
    </w:p>
    <w:p>
      <w:pPr>
        <w:jc w:val="center"/>
        <w:ind w:right="-8"/>
        <w:spacing w:after="0"/>
        <w:rPr>
          <w:sz w:val="20"/>
          <w:szCs w:val="20"/>
          <w:color w:val="auto"/>
        </w:rPr>
      </w:pPr>
      <w:r>
        <w:rPr>
          <w:rFonts w:ascii="Calibri" w:cs="Calibri" w:eastAsia="Calibri" w:hAnsi="Calibri"/>
          <w:sz w:val="15"/>
          <w:szCs w:val="15"/>
          <w:b w:val="1"/>
          <w:bCs w:val="1"/>
          <w:color w:val="auto"/>
        </w:rPr>
        <w:t>Compositon of fee income in the banking business</w:t>
      </w:r>
    </w:p>
    <w:p>
      <w:pPr>
        <w:spacing w:after="0" w:line="205" w:lineRule="exact"/>
        <w:rPr>
          <w:sz w:val="20"/>
          <w:szCs w:val="20"/>
          <w:color w:val="auto"/>
        </w:rPr>
      </w:pPr>
    </w:p>
    <w:tbl>
      <w:tblPr>
        <w:tblLayout w:type="fixed"/>
        <w:tblInd w:w="19" w:type="dxa"/>
        <w:tblCellMar>
          <w:top w:w="0" w:type="dxa"/>
          <w:left w:w="0" w:type="dxa"/>
          <w:bottom w:w="0" w:type="dxa"/>
          <w:right w:w="0" w:type="dxa"/>
        </w:tblCellMar>
      </w:tblPr>
      <w:tr>
        <w:trPr>
          <w:trHeight w:val="202"/>
        </w:trPr>
        <w:tc>
          <w:tcPr>
            <w:tcW w:w="520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Banking Business Fees</w:t>
            </w:r>
          </w:p>
        </w:tc>
        <w:tc>
          <w:tcPr>
            <w:tcW w:w="1540" w:type="dxa"/>
            <w:vAlign w:val="bottom"/>
            <w:tcBorders>
              <w:top w:val="single" w:sz="8" w:color="auto"/>
            </w:tcBorders>
            <w:shd w:val="clear" w:color="auto" w:fill="2AD2C9"/>
          </w:tcPr>
          <w:p>
            <w:pPr>
              <w:spacing w:after="0"/>
              <w:rPr>
                <w:sz w:val="17"/>
                <w:szCs w:val="17"/>
                <w:color w:val="auto"/>
              </w:rPr>
            </w:pPr>
          </w:p>
        </w:tc>
        <w:tc>
          <w:tcPr>
            <w:tcW w:w="1380" w:type="dxa"/>
            <w:vAlign w:val="bottom"/>
            <w:tcBorders>
              <w:top w:val="single" w:sz="8" w:color="auto"/>
            </w:tcBorders>
            <w:shd w:val="clear" w:color="auto" w:fill="2AD2C9"/>
          </w:tcPr>
          <w:p>
            <w:pPr>
              <w:jc w:val="right"/>
              <w:ind w:right="604"/>
              <w:spacing w:after="0"/>
              <w:rPr>
                <w:sz w:val="20"/>
                <w:szCs w:val="20"/>
                <w:color w:val="auto"/>
              </w:rPr>
            </w:pPr>
            <w:r>
              <w:rPr>
                <w:rFonts w:ascii="Calibri" w:cs="Calibri" w:eastAsia="Calibri" w:hAnsi="Calibri"/>
                <w:sz w:val="15"/>
                <w:szCs w:val="15"/>
                <w:b w:val="1"/>
                <w:bCs w:val="1"/>
                <w:color w:val="FFFFFF"/>
              </w:rPr>
              <w:t>Quarter</w:t>
            </w:r>
          </w:p>
        </w:tc>
        <w:tc>
          <w:tcPr>
            <w:tcW w:w="1100" w:type="dxa"/>
            <w:vAlign w:val="bottom"/>
            <w:tcBorders>
              <w:top w:val="single" w:sz="8" w:color="auto"/>
              <w:right w:val="single" w:sz="8" w:color="auto"/>
            </w:tcBorders>
            <w:shd w:val="clear" w:color="auto" w:fill="2AD2C9"/>
          </w:tcPr>
          <w:p>
            <w:pPr>
              <w:spacing w:after="0"/>
              <w:rPr>
                <w:sz w:val="17"/>
                <w:szCs w:val="17"/>
                <w:color w:val="auto"/>
              </w:rPr>
            </w:pPr>
          </w:p>
        </w:tc>
        <w:tc>
          <w:tcPr>
            <w:tcW w:w="1360" w:type="dxa"/>
            <w:vAlign w:val="bottom"/>
            <w:tcBorders>
              <w:top w:val="single" w:sz="8" w:color="auto"/>
            </w:tcBorders>
            <w:shd w:val="clear" w:color="auto" w:fill="2AD2C9"/>
          </w:tcPr>
          <w:p>
            <w:pPr>
              <w:jc w:val="right"/>
              <w:spacing w:after="0"/>
              <w:rPr>
                <w:sz w:val="20"/>
                <w:szCs w:val="20"/>
                <w:color w:val="auto"/>
              </w:rPr>
            </w:pPr>
            <w:r>
              <w:rPr>
                <w:rFonts w:ascii="Calibri" w:cs="Calibri" w:eastAsia="Calibri" w:hAnsi="Calibri"/>
                <w:sz w:val="15"/>
                <w:szCs w:val="15"/>
                <w:b w:val="1"/>
                <w:bCs w:val="1"/>
                <w:color w:val="FFFFFF"/>
              </w:rPr>
              <w:t>% Change</w:t>
            </w:r>
          </w:p>
        </w:tc>
        <w:tc>
          <w:tcPr>
            <w:tcW w:w="680" w:type="dxa"/>
            <w:vAlign w:val="bottom"/>
            <w:tcBorders>
              <w:top w:val="single" w:sz="8" w:color="auto"/>
              <w:right w:val="single" w:sz="8" w:color="auto"/>
            </w:tcBorders>
            <w:shd w:val="clear" w:color="auto" w:fill="2AD2C9"/>
          </w:tcPr>
          <w:p>
            <w:pPr>
              <w:spacing w:after="0"/>
              <w:rPr>
                <w:sz w:val="17"/>
                <w:szCs w:val="17"/>
                <w:color w:val="auto"/>
              </w:rPr>
            </w:pPr>
          </w:p>
        </w:tc>
      </w:tr>
      <w:tr>
        <w:trPr>
          <w:trHeight w:val="237"/>
        </w:trPr>
        <w:tc>
          <w:tcPr>
            <w:tcW w:w="5200" w:type="dxa"/>
            <w:vAlign w:val="bottom"/>
            <w:tcBorders>
              <w:left w:val="single" w:sz="8" w:color="auto"/>
              <w:bottom w:val="single" w:sz="8" w:color="2AD2C9"/>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S/ 000</w:t>
            </w:r>
          </w:p>
        </w:tc>
        <w:tc>
          <w:tcPr>
            <w:tcW w:w="1540" w:type="dxa"/>
            <w:vAlign w:val="bottom"/>
            <w:tcBorders>
              <w:bottom w:val="single" w:sz="8" w:color="2AD2C9"/>
            </w:tcBorders>
            <w:shd w:val="clear" w:color="auto" w:fill="2AD2C9"/>
          </w:tcPr>
          <w:p>
            <w:pPr>
              <w:jc w:val="right"/>
              <w:ind w:right="644"/>
              <w:spacing w:after="0"/>
              <w:rPr>
                <w:sz w:val="20"/>
                <w:szCs w:val="20"/>
                <w:color w:val="auto"/>
              </w:rPr>
            </w:pPr>
            <w:r>
              <w:rPr>
                <w:rFonts w:ascii="Calibri" w:cs="Calibri" w:eastAsia="Calibri" w:hAnsi="Calibri"/>
                <w:sz w:val="15"/>
                <w:szCs w:val="15"/>
                <w:b w:val="1"/>
                <w:bCs w:val="1"/>
                <w:color w:val="FFFFFF"/>
              </w:rPr>
              <w:t>1Q22</w:t>
            </w:r>
          </w:p>
        </w:tc>
        <w:tc>
          <w:tcPr>
            <w:tcW w:w="1380" w:type="dxa"/>
            <w:vAlign w:val="bottom"/>
            <w:tcBorders>
              <w:bottom w:val="single" w:sz="8" w:color="2AD2C9"/>
            </w:tcBorders>
            <w:shd w:val="clear" w:color="auto" w:fill="2AD2C9"/>
          </w:tcPr>
          <w:p>
            <w:pPr>
              <w:jc w:val="right"/>
              <w:ind w:right="684"/>
              <w:spacing w:after="0"/>
              <w:rPr>
                <w:sz w:val="20"/>
                <w:szCs w:val="20"/>
                <w:color w:val="auto"/>
              </w:rPr>
            </w:pPr>
            <w:r>
              <w:rPr>
                <w:rFonts w:ascii="Calibri" w:cs="Calibri" w:eastAsia="Calibri" w:hAnsi="Calibri"/>
                <w:sz w:val="15"/>
                <w:szCs w:val="15"/>
                <w:b w:val="1"/>
                <w:bCs w:val="1"/>
                <w:color w:val="FFFFFF"/>
              </w:rPr>
              <w:t>4Q22</w:t>
            </w:r>
          </w:p>
        </w:tc>
        <w:tc>
          <w:tcPr>
            <w:tcW w:w="1100" w:type="dxa"/>
            <w:vAlign w:val="bottom"/>
            <w:tcBorders>
              <w:bottom w:val="single" w:sz="8" w:color="2AD2C9"/>
              <w:right w:val="single" w:sz="8" w:color="auto"/>
            </w:tcBorders>
            <w:shd w:val="clear" w:color="auto" w:fill="2AD2C9"/>
          </w:tcPr>
          <w:p>
            <w:pPr>
              <w:jc w:val="right"/>
              <w:ind w:right="444"/>
              <w:spacing w:after="0"/>
              <w:rPr>
                <w:sz w:val="20"/>
                <w:szCs w:val="20"/>
                <w:color w:val="auto"/>
              </w:rPr>
            </w:pPr>
            <w:r>
              <w:rPr>
                <w:rFonts w:ascii="Calibri" w:cs="Calibri" w:eastAsia="Calibri" w:hAnsi="Calibri"/>
                <w:sz w:val="15"/>
                <w:szCs w:val="15"/>
                <w:b w:val="1"/>
                <w:bCs w:val="1"/>
                <w:color w:val="FFFFFF"/>
              </w:rPr>
              <w:t>1Q23</w:t>
            </w:r>
          </w:p>
        </w:tc>
        <w:tc>
          <w:tcPr>
            <w:tcW w:w="1360" w:type="dxa"/>
            <w:vAlign w:val="bottom"/>
            <w:tcBorders>
              <w:bottom w:val="single" w:sz="8" w:color="2AD2C9"/>
            </w:tcBorders>
            <w:shd w:val="clear" w:color="auto" w:fill="2AD2C9"/>
          </w:tcPr>
          <w:p>
            <w:pPr>
              <w:jc w:val="right"/>
              <w:ind w:right="644"/>
              <w:spacing w:after="0"/>
              <w:rPr>
                <w:sz w:val="20"/>
                <w:szCs w:val="20"/>
                <w:color w:val="auto"/>
              </w:rPr>
            </w:pPr>
            <w:r>
              <w:rPr>
                <w:rFonts w:ascii="Calibri" w:cs="Calibri" w:eastAsia="Calibri" w:hAnsi="Calibri"/>
                <w:sz w:val="15"/>
                <w:szCs w:val="15"/>
                <w:b w:val="1"/>
                <w:bCs w:val="1"/>
                <w:color w:val="FFFFFF"/>
              </w:rPr>
              <w:t>QaQ</w:t>
            </w:r>
          </w:p>
        </w:tc>
        <w:tc>
          <w:tcPr>
            <w:tcW w:w="680" w:type="dxa"/>
            <w:vAlign w:val="bottom"/>
            <w:tcBorders>
              <w:bottom w:val="single" w:sz="8" w:color="2AD2C9"/>
              <w:right w:val="single" w:sz="8" w:color="auto"/>
            </w:tcBorders>
            <w:shd w:val="clear" w:color="auto" w:fill="2AD2C9"/>
          </w:tcPr>
          <w:p>
            <w:pPr>
              <w:jc w:val="right"/>
              <w:ind w:right="344"/>
              <w:spacing w:after="0"/>
              <w:rPr>
                <w:sz w:val="20"/>
                <w:szCs w:val="20"/>
                <w:color w:val="auto"/>
              </w:rPr>
            </w:pPr>
            <w:r>
              <w:rPr>
                <w:rFonts w:ascii="Calibri" w:cs="Calibri" w:eastAsia="Calibri" w:hAnsi="Calibri"/>
                <w:sz w:val="15"/>
                <w:szCs w:val="15"/>
                <w:b w:val="1"/>
                <w:bCs w:val="1"/>
                <w:color w:val="FFFFFF"/>
              </w:rPr>
              <w:t>YoY</w:t>
            </w:r>
          </w:p>
        </w:tc>
      </w:tr>
      <w:tr>
        <w:trPr>
          <w:trHeight w:val="197"/>
        </w:trPr>
        <w:tc>
          <w:tcPr>
            <w:tcW w:w="5200" w:type="dxa"/>
            <w:vAlign w:val="bottom"/>
            <w:tcBorders>
              <w:top w:val="single" w:sz="8" w:color="auto"/>
              <w:left w:val="single" w:sz="8" w:color="auto"/>
              <w:right w:val="single" w:sz="8" w:color="auto"/>
            </w:tcBorders>
          </w:tcPr>
          <w:p>
            <w:pPr>
              <w:ind w:left="20"/>
              <w:spacing w:after="0" w:line="197" w:lineRule="exact"/>
              <w:rPr>
                <w:sz w:val="20"/>
                <w:szCs w:val="20"/>
                <w:color w:val="auto"/>
              </w:rPr>
            </w:pPr>
            <w:r>
              <w:rPr>
                <w:rFonts w:ascii="Calibri" w:cs="Calibri" w:eastAsia="Calibri" w:hAnsi="Calibri"/>
                <w:sz w:val="13"/>
                <w:szCs w:val="13"/>
                <w:color w:val="auto"/>
              </w:rPr>
              <w:t xml:space="preserve">Payments and transactonals </w:t>
            </w:r>
            <w:r>
              <w:rPr>
                <w:rFonts w:ascii="Calibri" w:cs="Calibri" w:eastAsia="Calibri" w:hAnsi="Calibri"/>
                <w:sz w:val="21"/>
                <w:szCs w:val="21"/>
                <w:color w:val="auto"/>
                <w:vertAlign w:val="superscript"/>
              </w:rPr>
              <w:t>(1)</w:t>
            </w:r>
          </w:p>
        </w:tc>
        <w:tc>
          <w:tcPr>
            <w:tcW w:w="1540" w:type="dxa"/>
            <w:vAlign w:val="bottom"/>
            <w:tcBorders>
              <w:top w:val="single" w:sz="8" w:color="auto"/>
            </w:tcBorders>
          </w:tcPr>
          <w:p>
            <w:pPr>
              <w:jc w:val="right"/>
              <w:ind w:right="144"/>
              <w:spacing w:after="0" w:line="180" w:lineRule="exact"/>
              <w:rPr>
                <w:sz w:val="20"/>
                <w:szCs w:val="20"/>
                <w:color w:val="auto"/>
              </w:rPr>
            </w:pPr>
            <w:r>
              <w:rPr>
                <w:rFonts w:ascii="Calibri" w:cs="Calibri" w:eastAsia="Calibri" w:hAnsi="Calibri"/>
                <w:sz w:val="15"/>
                <w:szCs w:val="15"/>
                <w:color w:val="auto"/>
              </w:rPr>
              <w:t>290,197</w:t>
            </w:r>
          </w:p>
        </w:tc>
        <w:tc>
          <w:tcPr>
            <w:tcW w:w="1380" w:type="dxa"/>
            <w:vAlign w:val="bottom"/>
            <w:tcBorders>
              <w:top w:val="single" w:sz="8" w:color="auto"/>
            </w:tcBorders>
          </w:tcPr>
          <w:p>
            <w:pPr>
              <w:jc w:val="right"/>
              <w:ind w:right="184"/>
              <w:spacing w:after="0" w:line="180" w:lineRule="exact"/>
              <w:rPr>
                <w:sz w:val="20"/>
                <w:szCs w:val="20"/>
                <w:color w:val="auto"/>
              </w:rPr>
            </w:pPr>
            <w:r>
              <w:rPr>
                <w:rFonts w:ascii="Calibri" w:cs="Calibri" w:eastAsia="Calibri" w:hAnsi="Calibri"/>
                <w:sz w:val="15"/>
                <w:szCs w:val="15"/>
                <w:color w:val="auto"/>
              </w:rPr>
              <w:t>333,779</w:t>
            </w:r>
          </w:p>
        </w:tc>
        <w:tc>
          <w:tcPr>
            <w:tcW w:w="1100" w:type="dxa"/>
            <w:vAlign w:val="bottom"/>
            <w:tcBorders>
              <w:top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325,994</w:t>
            </w:r>
          </w:p>
        </w:tc>
        <w:tc>
          <w:tcPr>
            <w:tcW w:w="1360" w:type="dxa"/>
            <w:vAlign w:val="bottom"/>
            <w:tcBorders>
              <w:top w:val="single" w:sz="8" w:color="auto"/>
            </w:tcBorders>
          </w:tcPr>
          <w:p>
            <w:pPr>
              <w:jc w:val="right"/>
              <w:ind w:right="284"/>
              <w:spacing w:after="0" w:line="180" w:lineRule="exact"/>
              <w:rPr>
                <w:sz w:val="20"/>
                <w:szCs w:val="20"/>
                <w:color w:val="auto"/>
              </w:rPr>
            </w:pPr>
            <w:r>
              <w:rPr>
                <w:rFonts w:ascii="Calibri" w:cs="Calibri" w:eastAsia="Calibri" w:hAnsi="Calibri"/>
                <w:sz w:val="15"/>
                <w:szCs w:val="15"/>
                <w:color w:val="auto"/>
              </w:rPr>
              <w:t>-2.33%</w:t>
            </w:r>
          </w:p>
        </w:tc>
        <w:tc>
          <w:tcPr>
            <w:tcW w:w="680" w:type="dxa"/>
            <w:vAlign w:val="bottom"/>
            <w:tcBorders>
              <w:top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12.34%</w:t>
            </w:r>
          </w:p>
        </w:tc>
      </w:tr>
      <w:tr>
        <w:trPr>
          <w:trHeight w:val="204"/>
        </w:trPr>
        <w:tc>
          <w:tcPr>
            <w:tcW w:w="5200" w:type="dxa"/>
            <w:vAlign w:val="bottom"/>
            <w:tcBorders>
              <w:left w:val="single" w:sz="8" w:color="auto"/>
              <w:right w:val="single" w:sz="8" w:color="auto"/>
            </w:tcBorders>
          </w:tcPr>
          <w:p>
            <w:pPr>
              <w:ind w:left="20"/>
              <w:spacing w:after="0" w:line="204" w:lineRule="exact"/>
              <w:rPr>
                <w:sz w:val="20"/>
                <w:szCs w:val="20"/>
                <w:color w:val="auto"/>
              </w:rPr>
            </w:pPr>
            <w:r>
              <w:rPr>
                <w:rFonts w:ascii="Calibri" w:cs="Calibri" w:eastAsia="Calibri" w:hAnsi="Calibri"/>
                <w:sz w:val="14"/>
                <w:szCs w:val="14"/>
                <w:color w:val="auto"/>
              </w:rPr>
              <w:t xml:space="preserve">Liability accounts </w:t>
            </w:r>
            <w:r>
              <w:rPr>
                <w:rFonts w:ascii="Calibri" w:cs="Calibri" w:eastAsia="Calibri" w:hAnsi="Calibri"/>
                <w:sz w:val="22"/>
                <w:szCs w:val="22"/>
                <w:color w:val="auto"/>
                <w:vertAlign w:val="superscript"/>
              </w:rPr>
              <w:t>(2)</w:t>
            </w:r>
          </w:p>
        </w:tc>
        <w:tc>
          <w:tcPr>
            <w:tcW w:w="154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217,956</w:t>
            </w:r>
          </w:p>
        </w:tc>
        <w:tc>
          <w:tcPr>
            <w:tcW w:w="1380" w:type="dxa"/>
            <w:vAlign w:val="bottom"/>
          </w:tcPr>
          <w:p>
            <w:pPr>
              <w:jc w:val="right"/>
              <w:ind w:right="184"/>
              <w:spacing w:after="0" w:line="180" w:lineRule="exact"/>
              <w:rPr>
                <w:sz w:val="20"/>
                <w:szCs w:val="20"/>
                <w:color w:val="auto"/>
              </w:rPr>
            </w:pPr>
            <w:r>
              <w:rPr>
                <w:rFonts w:ascii="Calibri" w:cs="Calibri" w:eastAsia="Calibri" w:hAnsi="Calibri"/>
                <w:sz w:val="15"/>
                <w:szCs w:val="15"/>
                <w:color w:val="auto"/>
              </w:rPr>
              <w:t>226,496</w:t>
            </w:r>
          </w:p>
        </w:tc>
        <w:tc>
          <w:tcPr>
            <w:tcW w:w="110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177,971</w:t>
            </w:r>
          </w:p>
        </w:tc>
        <w:tc>
          <w:tcPr>
            <w:tcW w:w="1360" w:type="dxa"/>
            <w:vAlign w:val="bottom"/>
          </w:tcPr>
          <w:p>
            <w:pPr>
              <w:jc w:val="right"/>
              <w:ind w:right="284"/>
              <w:spacing w:after="0" w:line="180" w:lineRule="exact"/>
              <w:rPr>
                <w:sz w:val="20"/>
                <w:szCs w:val="20"/>
                <w:color w:val="auto"/>
              </w:rPr>
            </w:pPr>
            <w:r>
              <w:rPr>
                <w:rFonts w:ascii="Calibri" w:cs="Calibri" w:eastAsia="Calibri" w:hAnsi="Calibri"/>
                <w:sz w:val="15"/>
                <w:szCs w:val="15"/>
                <w:color w:val="auto"/>
              </w:rPr>
              <w:t>-21.42%</w:t>
            </w:r>
          </w:p>
        </w:tc>
        <w:tc>
          <w:tcPr>
            <w:tcW w:w="6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-18.35%</w:t>
            </w:r>
          </w:p>
        </w:tc>
      </w:tr>
      <w:tr>
        <w:trPr>
          <w:trHeight w:val="204"/>
        </w:trPr>
        <w:tc>
          <w:tcPr>
            <w:tcW w:w="5200" w:type="dxa"/>
            <w:vAlign w:val="bottom"/>
            <w:tcBorders>
              <w:left w:val="single" w:sz="8" w:color="auto"/>
              <w:right w:val="single" w:sz="8" w:color="auto"/>
            </w:tcBorders>
          </w:tcPr>
          <w:p>
            <w:pPr>
              <w:ind w:left="20"/>
              <w:spacing w:after="0" w:line="204" w:lineRule="exact"/>
              <w:rPr>
                <w:sz w:val="20"/>
                <w:szCs w:val="20"/>
                <w:color w:val="auto"/>
              </w:rPr>
            </w:pPr>
            <w:r>
              <w:rPr>
                <w:rFonts w:ascii="Calibri" w:cs="Calibri" w:eastAsia="Calibri" w:hAnsi="Calibri"/>
                <w:sz w:val="14"/>
                <w:szCs w:val="14"/>
                <w:color w:val="auto"/>
              </w:rPr>
              <w:t xml:space="preserve">Loan Disbursement </w:t>
            </w:r>
            <w:r>
              <w:rPr>
                <w:rFonts w:ascii="Calibri" w:cs="Calibri" w:eastAsia="Calibri" w:hAnsi="Calibri"/>
                <w:sz w:val="22"/>
                <w:szCs w:val="22"/>
                <w:color w:val="auto"/>
                <w:vertAlign w:val="superscript"/>
              </w:rPr>
              <w:t>(3)</w:t>
            </w:r>
          </w:p>
        </w:tc>
        <w:tc>
          <w:tcPr>
            <w:tcW w:w="154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90,576</w:t>
            </w:r>
          </w:p>
        </w:tc>
        <w:tc>
          <w:tcPr>
            <w:tcW w:w="1380" w:type="dxa"/>
            <w:vAlign w:val="bottom"/>
          </w:tcPr>
          <w:p>
            <w:pPr>
              <w:jc w:val="right"/>
              <w:ind w:right="184"/>
              <w:spacing w:after="0" w:line="180" w:lineRule="exact"/>
              <w:rPr>
                <w:sz w:val="20"/>
                <w:szCs w:val="20"/>
                <w:color w:val="auto"/>
              </w:rPr>
            </w:pPr>
            <w:r>
              <w:rPr>
                <w:rFonts w:ascii="Calibri" w:cs="Calibri" w:eastAsia="Calibri" w:hAnsi="Calibri"/>
                <w:sz w:val="15"/>
                <w:szCs w:val="15"/>
                <w:color w:val="auto"/>
              </w:rPr>
              <w:t>97,336</w:t>
            </w:r>
          </w:p>
        </w:tc>
        <w:tc>
          <w:tcPr>
            <w:tcW w:w="110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95,201</w:t>
            </w:r>
          </w:p>
        </w:tc>
        <w:tc>
          <w:tcPr>
            <w:tcW w:w="1360" w:type="dxa"/>
            <w:vAlign w:val="bottom"/>
          </w:tcPr>
          <w:p>
            <w:pPr>
              <w:jc w:val="right"/>
              <w:ind w:right="284"/>
              <w:spacing w:after="0" w:line="180" w:lineRule="exact"/>
              <w:rPr>
                <w:sz w:val="20"/>
                <w:szCs w:val="20"/>
                <w:color w:val="auto"/>
              </w:rPr>
            </w:pPr>
            <w:r>
              <w:rPr>
                <w:rFonts w:ascii="Calibri" w:cs="Calibri" w:eastAsia="Calibri" w:hAnsi="Calibri"/>
                <w:sz w:val="15"/>
                <w:szCs w:val="15"/>
                <w:color w:val="auto"/>
              </w:rPr>
              <w:t>-2.19%</w:t>
            </w:r>
          </w:p>
        </w:tc>
        <w:tc>
          <w:tcPr>
            <w:tcW w:w="6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5.11%</w:t>
            </w:r>
          </w:p>
        </w:tc>
      </w:tr>
      <w:tr>
        <w:trPr>
          <w:trHeight w:val="179"/>
        </w:trPr>
        <w:tc>
          <w:tcPr>
            <w:tcW w:w="52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Of-balance sheet</w:t>
            </w:r>
          </w:p>
        </w:tc>
        <w:tc>
          <w:tcPr>
            <w:tcW w:w="154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60,370</w:t>
            </w:r>
          </w:p>
        </w:tc>
        <w:tc>
          <w:tcPr>
            <w:tcW w:w="1380" w:type="dxa"/>
            <w:vAlign w:val="bottom"/>
          </w:tcPr>
          <w:p>
            <w:pPr>
              <w:jc w:val="right"/>
              <w:ind w:right="184"/>
              <w:spacing w:after="0" w:line="180" w:lineRule="exact"/>
              <w:rPr>
                <w:sz w:val="20"/>
                <w:szCs w:val="20"/>
                <w:color w:val="auto"/>
              </w:rPr>
            </w:pPr>
            <w:r>
              <w:rPr>
                <w:rFonts w:ascii="Calibri" w:cs="Calibri" w:eastAsia="Calibri" w:hAnsi="Calibri"/>
                <w:sz w:val="15"/>
                <w:szCs w:val="15"/>
                <w:color w:val="auto"/>
              </w:rPr>
              <w:t>63,247</w:t>
            </w:r>
          </w:p>
        </w:tc>
        <w:tc>
          <w:tcPr>
            <w:tcW w:w="110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61,654</w:t>
            </w:r>
          </w:p>
        </w:tc>
        <w:tc>
          <w:tcPr>
            <w:tcW w:w="1360" w:type="dxa"/>
            <w:vAlign w:val="bottom"/>
          </w:tcPr>
          <w:p>
            <w:pPr>
              <w:jc w:val="right"/>
              <w:ind w:right="284"/>
              <w:spacing w:after="0" w:line="180" w:lineRule="exact"/>
              <w:rPr>
                <w:sz w:val="20"/>
                <w:szCs w:val="20"/>
                <w:color w:val="auto"/>
              </w:rPr>
            </w:pPr>
            <w:r>
              <w:rPr>
                <w:rFonts w:ascii="Calibri" w:cs="Calibri" w:eastAsia="Calibri" w:hAnsi="Calibri"/>
                <w:sz w:val="15"/>
                <w:szCs w:val="15"/>
                <w:color w:val="auto"/>
              </w:rPr>
              <w:t>-2.52%</w:t>
            </w:r>
          </w:p>
        </w:tc>
        <w:tc>
          <w:tcPr>
            <w:tcW w:w="6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2.13%</w:t>
            </w:r>
          </w:p>
        </w:tc>
      </w:tr>
      <w:tr>
        <w:trPr>
          <w:trHeight w:val="204"/>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Mibanco (Peru and Colombia)</w:t>
            </w:r>
          </w:p>
        </w:tc>
        <w:tc>
          <w:tcPr>
            <w:tcW w:w="1540" w:type="dxa"/>
            <w:vAlign w:val="bottom"/>
          </w:tcPr>
          <w:p>
            <w:pPr>
              <w:jc w:val="right"/>
              <w:ind w:right="144"/>
              <w:spacing w:after="0"/>
              <w:rPr>
                <w:sz w:val="20"/>
                <w:szCs w:val="20"/>
                <w:color w:val="auto"/>
              </w:rPr>
            </w:pPr>
            <w:r>
              <w:rPr>
                <w:rFonts w:ascii="Calibri" w:cs="Calibri" w:eastAsia="Calibri" w:hAnsi="Calibri"/>
                <w:sz w:val="15"/>
                <w:szCs w:val="15"/>
                <w:color w:val="auto"/>
              </w:rPr>
              <w:t>33,276</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34,164</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59,208</w:t>
            </w:r>
          </w:p>
        </w:tc>
        <w:tc>
          <w:tcPr>
            <w:tcW w:w="1360" w:type="dxa"/>
            <w:vAlign w:val="bottom"/>
          </w:tcPr>
          <w:p>
            <w:pPr>
              <w:jc w:val="right"/>
              <w:ind w:right="284"/>
              <w:spacing w:after="0"/>
              <w:rPr>
                <w:sz w:val="20"/>
                <w:szCs w:val="20"/>
                <w:color w:val="auto"/>
              </w:rPr>
            </w:pPr>
            <w:r>
              <w:rPr>
                <w:rFonts w:ascii="Calibri" w:cs="Calibri" w:eastAsia="Calibri" w:hAnsi="Calibri"/>
                <w:sz w:val="15"/>
                <w:szCs w:val="15"/>
                <w:color w:val="auto"/>
              </w:rPr>
              <w:t>73.30%</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77.93%</w:t>
            </w:r>
          </w:p>
        </w:tc>
      </w:tr>
      <w:tr>
        <w:trPr>
          <w:trHeight w:val="204"/>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Insurances</w:t>
            </w:r>
          </w:p>
        </w:tc>
        <w:tc>
          <w:tcPr>
            <w:tcW w:w="1540" w:type="dxa"/>
            <w:vAlign w:val="bottom"/>
          </w:tcPr>
          <w:p>
            <w:pPr>
              <w:jc w:val="right"/>
              <w:ind w:right="144"/>
              <w:spacing w:after="0"/>
              <w:rPr>
                <w:sz w:val="20"/>
                <w:szCs w:val="20"/>
                <w:color w:val="auto"/>
              </w:rPr>
            </w:pPr>
            <w:r>
              <w:rPr>
                <w:rFonts w:ascii="Calibri" w:cs="Calibri" w:eastAsia="Calibri" w:hAnsi="Calibri"/>
                <w:sz w:val="15"/>
                <w:szCs w:val="15"/>
                <w:color w:val="auto"/>
              </w:rPr>
              <w:t>30,303</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28,617</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31,102</w:t>
            </w:r>
          </w:p>
        </w:tc>
        <w:tc>
          <w:tcPr>
            <w:tcW w:w="1360" w:type="dxa"/>
            <w:vAlign w:val="bottom"/>
          </w:tcPr>
          <w:p>
            <w:pPr>
              <w:jc w:val="right"/>
              <w:ind w:right="284"/>
              <w:spacing w:after="0"/>
              <w:rPr>
                <w:sz w:val="20"/>
                <w:szCs w:val="20"/>
                <w:color w:val="auto"/>
              </w:rPr>
            </w:pPr>
            <w:r>
              <w:rPr>
                <w:rFonts w:ascii="Calibri" w:cs="Calibri" w:eastAsia="Calibri" w:hAnsi="Calibri"/>
                <w:sz w:val="15"/>
                <w:szCs w:val="15"/>
                <w:color w:val="auto"/>
              </w:rPr>
              <w:t>8.68%</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2.64%</w:t>
            </w:r>
          </w:p>
        </w:tc>
      </w:tr>
      <w:tr>
        <w:trPr>
          <w:trHeight w:val="204"/>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BCP Bolivia</w:t>
            </w:r>
          </w:p>
        </w:tc>
        <w:tc>
          <w:tcPr>
            <w:tcW w:w="1540" w:type="dxa"/>
            <w:vAlign w:val="bottom"/>
          </w:tcPr>
          <w:p>
            <w:pPr>
              <w:jc w:val="right"/>
              <w:ind w:right="144"/>
              <w:spacing w:after="0"/>
              <w:rPr>
                <w:sz w:val="20"/>
                <w:szCs w:val="20"/>
                <w:color w:val="auto"/>
              </w:rPr>
            </w:pPr>
            <w:r>
              <w:rPr>
                <w:rFonts w:ascii="Calibri" w:cs="Calibri" w:eastAsia="Calibri" w:hAnsi="Calibri"/>
                <w:sz w:val="15"/>
                <w:szCs w:val="15"/>
                <w:color w:val="auto"/>
              </w:rPr>
              <w:t>27,400</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24,479</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37,765</w:t>
            </w:r>
          </w:p>
        </w:tc>
        <w:tc>
          <w:tcPr>
            <w:tcW w:w="1360" w:type="dxa"/>
            <w:vAlign w:val="bottom"/>
          </w:tcPr>
          <w:p>
            <w:pPr>
              <w:jc w:val="right"/>
              <w:ind w:right="284"/>
              <w:spacing w:after="0"/>
              <w:rPr>
                <w:sz w:val="20"/>
                <w:szCs w:val="20"/>
                <w:color w:val="auto"/>
              </w:rPr>
            </w:pPr>
            <w:r>
              <w:rPr>
                <w:rFonts w:ascii="Calibri" w:cs="Calibri" w:eastAsia="Calibri" w:hAnsi="Calibri"/>
                <w:sz w:val="15"/>
                <w:szCs w:val="15"/>
                <w:color w:val="auto"/>
              </w:rPr>
              <w:t>54.28%</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37.83%</w:t>
            </w:r>
          </w:p>
        </w:tc>
      </w:tr>
      <w:tr>
        <w:trPr>
          <w:trHeight w:val="204"/>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Wealth Management and Corporate Finance</w:t>
            </w:r>
          </w:p>
        </w:tc>
        <w:tc>
          <w:tcPr>
            <w:tcW w:w="1540" w:type="dxa"/>
            <w:vAlign w:val="bottom"/>
          </w:tcPr>
          <w:p>
            <w:pPr>
              <w:jc w:val="right"/>
              <w:ind w:right="144"/>
              <w:spacing w:after="0"/>
              <w:rPr>
                <w:sz w:val="20"/>
                <w:szCs w:val="20"/>
                <w:color w:val="auto"/>
              </w:rPr>
            </w:pPr>
            <w:r>
              <w:rPr>
                <w:rFonts w:ascii="Calibri" w:cs="Calibri" w:eastAsia="Calibri" w:hAnsi="Calibri"/>
                <w:sz w:val="15"/>
                <w:szCs w:val="15"/>
                <w:color w:val="auto"/>
              </w:rPr>
              <w:t>18,785</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12,880</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15,254</w:t>
            </w:r>
          </w:p>
        </w:tc>
        <w:tc>
          <w:tcPr>
            <w:tcW w:w="1360" w:type="dxa"/>
            <w:vAlign w:val="bottom"/>
          </w:tcPr>
          <w:p>
            <w:pPr>
              <w:jc w:val="right"/>
              <w:ind w:right="284"/>
              <w:spacing w:after="0"/>
              <w:rPr>
                <w:sz w:val="20"/>
                <w:szCs w:val="20"/>
                <w:color w:val="auto"/>
              </w:rPr>
            </w:pPr>
            <w:r>
              <w:rPr>
                <w:rFonts w:ascii="Calibri" w:cs="Calibri" w:eastAsia="Calibri" w:hAnsi="Calibri"/>
                <w:sz w:val="15"/>
                <w:szCs w:val="15"/>
                <w:color w:val="auto"/>
              </w:rPr>
              <w:t>18.43%</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-18.80%</w:t>
            </w:r>
          </w:p>
        </w:tc>
      </w:tr>
      <w:tr>
        <w:trPr>
          <w:trHeight w:val="204"/>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ASB</w:t>
            </w:r>
          </w:p>
        </w:tc>
        <w:tc>
          <w:tcPr>
            <w:tcW w:w="1540" w:type="dxa"/>
            <w:vAlign w:val="bottom"/>
          </w:tcPr>
          <w:p>
            <w:pPr>
              <w:jc w:val="right"/>
              <w:ind w:right="144"/>
              <w:spacing w:after="0"/>
              <w:rPr>
                <w:sz w:val="20"/>
                <w:szCs w:val="20"/>
                <w:color w:val="auto"/>
              </w:rPr>
            </w:pPr>
            <w:r>
              <w:rPr>
                <w:rFonts w:ascii="Calibri" w:cs="Calibri" w:eastAsia="Calibri" w:hAnsi="Calibri"/>
                <w:sz w:val="15"/>
                <w:szCs w:val="15"/>
                <w:color w:val="auto"/>
              </w:rPr>
              <w:t>12,280</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11,040</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3,098</w:t>
            </w:r>
          </w:p>
        </w:tc>
        <w:tc>
          <w:tcPr>
            <w:tcW w:w="1360" w:type="dxa"/>
            <w:vAlign w:val="bottom"/>
          </w:tcPr>
          <w:p>
            <w:pPr>
              <w:jc w:val="right"/>
              <w:ind w:right="284"/>
              <w:spacing w:after="0"/>
              <w:rPr>
                <w:sz w:val="20"/>
                <w:szCs w:val="20"/>
                <w:color w:val="auto"/>
              </w:rPr>
            </w:pPr>
            <w:r>
              <w:rPr>
                <w:rFonts w:ascii="Calibri" w:cs="Calibri" w:eastAsia="Calibri" w:hAnsi="Calibri"/>
                <w:sz w:val="15"/>
                <w:szCs w:val="15"/>
                <w:color w:val="auto"/>
              </w:rPr>
              <w:t>-71.94%</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-74.77%</w:t>
            </w:r>
          </w:p>
        </w:tc>
      </w:tr>
      <w:tr>
        <w:trPr>
          <w:trHeight w:val="239"/>
        </w:trPr>
        <w:tc>
          <w:tcPr>
            <w:tcW w:w="5200" w:type="dxa"/>
            <w:vAlign w:val="bottom"/>
            <w:tcBorders>
              <w:left w:val="single" w:sz="8" w:color="auto"/>
              <w:bottom w:val="single" w:sz="8" w:color="auto"/>
              <w:right w:val="single" w:sz="8" w:color="auto"/>
            </w:tcBorders>
          </w:tcPr>
          <w:p>
            <w:pPr>
              <w:ind w:left="20"/>
              <w:spacing w:after="0" w:line="236" w:lineRule="exact"/>
              <w:rPr>
                <w:sz w:val="20"/>
                <w:szCs w:val="20"/>
                <w:color w:val="auto"/>
              </w:rPr>
            </w:pPr>
            <w:r>
              <w:rPr>
                <w:rFonts w:ascii="Calibri" w:cs="Calibri" w:eastAsia="Calibri" w:hAnsi="Calibri"/>
                <w:sz w:val="15"/>
                <w:szCs w:val="15"/>
                <w:color w:val="auto"/>
              </w:rPr>
              <w:t xml:space="preserve">Others </w:t>
            </w:r>
            <w:r>
              <w:rPr>
                <w:rFonts w:ascii="Calibri" w:cs="Calibri" w:eastAsia="Calibri" w:hAnsi="Calibri"/>
                <w:sz w:val="25"/>
                <w:szCs w:val="25"/>
                <w:color w:val="auto"/>
                <w:vertAlign w:val="superscript"/>
              </w:rPr>
              <w:t>(4)</w:t>
            </w:r>
          </w:p>
        </w:tc>
        <w:tc>
          <w:tcPr>
            <w:tcW w:w="1540" w:type="dxa"/>
            <w:vAlign w:val="bottom"/>
            <w:tcBorders>
              <w:bottom w:val="single" w:sz="8" w:color="auto"/>
            </w:tcBorders>
          </w:tcPr>
          <w:p>
            <w:pPr>
              <w:jc w:val="right"/>
              <w:ind w:right="144"/>
              <w:spacing w:after="0"/>
              <w:rPr>
                <w:sz w:val="20"/>
                <w:szCs w:val="20"/>
                <w:color w:val="auto"/>
              </w:rPr>
            </w:pPr>
            <w:r>
              <w:rPr>
                <w:rFonts w:ascii="Calibri" w:cs="Calibri" w:eastAsia="Calibri" w:hAnsi="Calibri"/>
                <w:sz w:val="15"/>
                <w:szCs w:val="15"/>
                <w:color w:val="auto"/>
              </w:rPr>
              <w:t>4,596</w:t>
            </w:r>
          </w:p>
        </w:tc>
        <w:tc>
          <w:tcPr>
            <w:tcW w:w="1380" w:type="dxa"/>
            <w:vAlign w:val="bottom"/>
            <w:tcBorders>
              <w:bottom w:val="single" w:sz="8" w:color="auto"/>
            </w:tcBorders>
          </w:tcPr>
          <w:p>
            <w:pPr>
              <w:jc w:val="right"/>
              <w:ind w:right="184"/>
              <w:spacing w:after="0"/>
              <w:rPr>
                <w:sz w:val="20"/>
                <w:szCs w:val="20"/>
                <w:color w:val="auto"/>
              </w:rPr>
            </w:pPr>
            <w:r>
              <w:rPr>
                <w:rFonts w:ascii="Calibri" w:cs="Calibri" w:eastAsia="Calibri" w:hAnsi="Calibri"/>
                <w:sz w:val="15"/>
                <w:szCs w:val="15"/>
                <w:color w:val="auto"/>
              </w:rPr>
              <w:t>-16,494</w:t>
            </w:r>
          </w:p>
        </w:tc>
        <w:tc>
          <w:tcPr>
            <w:tcW w:w="110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5"/>
                <w:szCs w:val="15"/>
                <w:color w:val="auto"/>
              </w:rPr>
              <w:t>12,830</w:t>
            </w:r>
          </w:p>
        </w:tc>
        <w:tc>
          <w:tcPr>
            <w:tcW w:w="1360" w:type="dxa"/>
            <w:vAlign w:val="bottom"/>
            <w:tcBorders>
              <w:bottom w:val="single" w:sz="8" w:color="auto"/>
            </w:tcBorders>
          </w:tcPr>
          <w:p>
            <w:pPr>
              <w:jc w:val="right"/>
              <w:ind w:right="284"/>
              <w:spacing w:after="0"/>
              <w:rPr>
                <w:sz w:val="20"/>
                <w:szCs w:val="20"/>
                <w:color w:val="auto"/>
              </w:rPr>
            </w:pPr>
            <w:r>
              <w:rPr>
                <w:rFonts w:ascii="Calibri" w:cs="Calibri" w:eastAsia="Calibri" w:hAnsi="Calibri"/>
                <w:sz w:val="15"/>
                <w:szCs w:val="15"/>
                <w:color w:val="auto"/>
              </w:rPr>
              <w:t>n.a</w:t>
            </w:r>
          </w:p>
        </w:tc>
        <w:tc>
          <w:tcPr>
            <w:tcW w:w="6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5"/>
                <w:szCs w:val="15"/>
                <w:color w:val="auto"/>
              </w:rPr>
              <w:t>179.15%</w:t>
            </w:r>
          </w:p>
        </w:tc>
      </w:tr>
      <w:tr>
        <w:trPr>
          <w:trHeight w:val="179"/>
        </w:trPr>
        <w:tc>
          <w:tcPr>
            <w:tcW w:w="52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Total</w:t>
            </w:r>
          </w:p>
        </w:tc>
        <w:tc>
          <w:tcPr>
            <w:tcW w:w="1540" w:type="dxa"/>
            <w:vAlign w:val="bottom"/>
          </w:tcPr>
          <w:p>
            <w:pPr>
              <w:jc w:val="right"/>
              <w:ind w:right="144"/>
              <w:spacing w:after="0" w:line="180" w:lineRule="exact"/>
              <w:rPr>
                <w:sz w:val="20"/>
                <w:szCs w:val="20"/>
                <w:color w:val="auto"/>
              </w:rPr>
            </w:pPr>
            <w:r>
              <w:rPr>
                <w:rFonts w:ascii="Calibri" w:cs="Calibri" w:eastAsia="Calibri" w:hAnsi="Calibri"/>
                <w:sz w:val="15"/>
                <w:szCs w:val="15"/>
                <w:b w:val="1"/>
                <w:bCs w:val="1"/>
                <w:color w:val="auto"/>
              </w:rPr>
              <w:t>785,739</w:t>
            </w:r>
          </w:p>
        </w:tc>
        <w:tc>
          <w:tcPr>
            <w:tcW w:w="1380" w:type="dxa"/>
            <w:vAlign w:val="bottom"/>
          </w:tcPr>
          <w:p>
            <w:pPr>
              <w:jc w:val="right"/>
              <w:ind w:right="184"/>
              <w:spacing w:after="0" w:line="180" w:lineRule="exact"/>
              <w:rPr>
                <w:sz w:val="20"/>
                <w:szCs w:val="20"/>
                <w:color w:val="auto"/>
              </w:rPr>
            </w:pPr>
            <w:r>
              <w:rPr>
                <w:rFonts w:ascii="Calibri" w:cs="Calibri" w:eastAsia="Calibri" w:hAnsi="Calibri"/>
                <w:sz w:val="15"/>
                <w:szCs w:val="15"/>
                <w:b w:val="1"/>
                <w:bCs w:val="1"/>
                <w:color w:val="auto"/>
              </w:rPr>
              <w:t>815,544</w:t>
            </w:r>
          </w:p>
        </w:tc>
        <w:tc>
          <w:tcPr>
            <w:tcW w:w="110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820,077</w:t>
            </w:r>
          </w:p>
        </w:tc>
        <w:tc>
          <w:tcPr>
            <w:tcW w:w="1360" w:type="dxa"/>
            <w:vAlign w:val="bottom"/>
          </w:tcPr>
          <w:p>
            <w:pPr>
              <w:jc w:val="right"/>
              <w:ind w:right="284"/>
              <w:spacing w:after="0" w:line="180" w:lineRule="exact"/>
              <w:rPr>
                <w:sz w:val="20"/>
                <w:szCs w:val="20"/>
                <w:color w:val="auto"/>
              </w:rPr>
            </w:pPr>
            <w:r>
              <w:rPr>
                <w:rFonts w:ascii="Calibri" w:cs="Calibri" w:eastAsia="Calibri" w:hAnsi="Calibri"/>
                <w:sz w:val="15"/>
                <w:szCs w:val="15"/>
                <w:b w:val="1"/>
                <w:bCs w:val="1"/>
                <w:color w:val="auto"/>
              </w:rPr>
              <w:t>0.56%</w:t>
            </w:r>
          </w:p>
        </w:tc>
        <w:tc>
          <w:tcPr>
            <w:tcW w:w="6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4.37%</w:t>
            </w:r>
          </w:p>
        </w:tc>
      </w:tr>
      <w:tr>
        <w:trPr>
          <w:trHeight w:val="27"/>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bl>
    <w:p>
      <w:pPr>
        <w:spacing w:after="0" w:line="192" w:lineRule="exact"/>
        <w:rPr>
          <w:sz w:val="20"/>
          <w:szCs w:val="20"/>
          <w:color w:val="auto"/>
        </w:rPr>
      </w:pPr>
    </w:p>
    <w:p>
      <w:pPr>
        <w:ind w:left="109" w:hanging="109"/>
        <w:spacing w:after="0"/>
        <w:tabs>
          <w:tab w:leader="none" w:pos="109" w:val="left"/>
        </w:tabs>
        <w:numPr>
          <w:ilvl w:val="0"/>
          <w:numId w:val="3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Corresponds to fees from: credit and debit cards; payments and collections.</w:t>
      </w:r>
    </w:p>
    <w:p>
      <w:pPr>
        <w:ind w:left="109" w:hanging="109"/>
        <w:spacing w:after="0" w:line="207" w:lineRule="auto"/>
        <w:tabs>
          <w:tab w:leader="none" w:pos="109" w:val="left"/>
        </w:tabs>
        <w:numPr>
          <w:ilvl w:val="0"/>
          <w:numId w:val="3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Corresponds to fees from: Account maintenance, interbank transfers, national money orders y international transfers.</w:t>
      </w:r>
    </w:p>
    <w:p>
      <w:pPr>
        <w:ind w:left="109" w:hanging="109"/>
        <w:spacing w:after="0" w:line="207" w:lineRule="auto"/>
        <w:tabs>
          <w:tab w:leader="none" w:pos="109" w:val="left"/>
        </w:tabs>
        <w:numPr>
          <w:ilvl w:val="0"/>
          <w:numId w:val="3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Corresponds to fees from retail and wholesale loan disbursements.</w:t>
      </w:r>
    </w:p>
    <w:p>
      <w:pPr>
        <w:ind w:left="109" w:hanging="109"/>
        <w:spacing w:after="0" w:line="233" w:lineRule="auto"/>
        <w:tabs>
          <w:tab w:leader="none" w:pos="109" w:val="left"/>
        </w:tabs>
        <w:numPr>
          <w:ilvl w:val="0"/>
          <w:numId w:val="3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Use of third-party network, other services to third parties and Commissions in foreign branches.</w:t>
      </w:r>
    </w:p>
    <w:p>
      <w:pPr>
        <w:spacing w:after="0" w:line="171"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Commissions for banking services rose slightly QoQ. This evoluton was driven primarily by:</w:t>
      </w:r>
    </w:p>
    <w:p>
      <w:pPr>
        <w:spacing w:after="0" w:line="341"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54" w:right="319" w:bottom="1440" w:gutter="0" w:footer="0" w:header="0"/>
        </w:sectPr>
      </w:pPr>
    </w:p>
    <w:bookmarkStart w:id="35" w:name="page36"/>
    <w:bookmarkEnd w:id="35"/>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324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3910" cy="43243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7153910" cy="2305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99" w:lineRule="exact"/>
        <w:rPr>
          <w:sz w:val="20"/>
          <w:szCs w:val="20"/>
          <w:color w:val="auto"/>
        </w:rPr>
      </w:pPr>
    </w:p>
    <w:p>
      <w:pPr>
        <w:ind w:left="269" w:hanging="269"/>
        <w:spacing w:after="0"/>
        <w:tabs>
          <w:tab w:leader="none" w:pos="269" w:val="left"/>
        </w:tabs>
        <w:numPr>
          <w:ilvl w:val="0"/>
          <w:numId w:val="34"/>
        </w:numPr>
        <w:rPr>
          <w:rFonts w:ascii="Calibri" w:cs="Calibri" w:eastAsia="Calibri" w:hAnsi="Calibri"/>
          <w:sz w:val="18"/>
          <w:szCs w:val="18"/>
          <w:b w:val="1"/>
          <w:bCs w:val="1"/>
          <w:color w:val="FFFFFF"/>
        </w:rPr>
      </w:pPr>
      <w:r>
        <w:rPr>
          <w:rFonts w:ascii="Calibri" w:cs="Calibri" w:eastAsia="Calibri" w:hAnsi="Calibri"/>
          <w:sz w:val="18"/>
          <w:szCs w:val="18"/>
          <w:b w:val="1"/>
          <w:bCs w:val="1"/>
          <w:color w:val="FFFFFF"/>
        </w:rPr>
        <w:t>Other Income</w:t>
      </w:r>
    </w:p>
    <w:p>
      <w:pPr>
        <w:spacing w:after="0" w:line="274" w:lineRule="exact"/>
        <w:rPr>
          <w:rFonts w:ascii="Calibri" w:cs="Calibri" w:eastAsia="Calibri" w:hAnsi="Calibri"/>
          <w:sz w:val="18"/>
          <w:szCs w:val="18"/>
          <w:b w:val="1"/>
          <w:bCs w:val="1"/>
          <w:color w:val="FFFFFF"/>
        </w:rPr>
      </w:pPr>
    </w:p>
    <w:p>
      <w:pPr>
        <w:ind w:left="1089" w:hanging="272"/>
        <w:spacing w:after="0"/>
        <w:tabs>
          <w:tab w:leader="none" w:pos="1089" w:val="left"/>
        </w:tabs>
        <w:numPr>
          <w:ilvl w:val="1"/>
          <w:numId w:val="34"/>
        </w:numPr>
        <w:rPr>
          <w:rFonts w:ascii="Calibri" w:cs="Calibri" w:eastAsia="Calibri" w:hAnsi="Calibri"/>
          <w:sz w:val="15"/>
          <w:szCs w:val="15"/>
          <w:color w:val="auto"/>
        </w:rPr>
      </w:pPr>
      <w:r>
        <w:rPr>
          <w:rFonts w:ascii="Calibri" w:cs="Calibri" w:eastAsia="Calibri" w:hAnsi="Calibri"/>
          <w:sz w:val="15"/>
          <w:szCs w:val="15"/>
          <w:b w:val="1"/>
          <w:bCs w:val="1"/>
          <w:color w:val="auto"/>
        </w:rPr>
        <w:t xml:space="preserve">Others: </w:t>
      </w:r>
      <w:r>
        <w:rPr>
          <w:rFonts w:ascii="Calibri" w:cs="Calibri" w:eastAsia="Calibri" w:hAnsi="Calibri"/>
          <w:sz w:val="15"/>
          <w:szCs w:val="15"/>
          <w:color w:val="auto"/>
        </w:rPr>
        <w:t>Last quarter, fees paid to acquirers were renegotated, which generated extraordinary payments in 4Q22. In 1Q23, this efect was reversed.</w:t>
      </w:r>
    </w:p>
    <w:p>
      <w:pPr>
        <w:ind w:left="1089" w:hanging="272"/>
        <w:spacing w:after="0" w:line="237" w:lineRule="auto"/>
        <w:tabs>
          <w:tab w:leader="none" w:pos="1089" w:val="left"/>
        </w:tabs>
        <w:numPr>
          <w:ilvl w:val="1"/>
          <w:numId w:val="34"/>
        </w:numPr>
        <w:rPr>
          <w:rFonts w:ascii="Calibri" w:cs="Calibri" w:eastAsia="Calibri" w:hAnsi="Calibri"/>
          <w:sz w:val="15"/>
          <w:szCs w:val="15"/>
          <w:color w:val="auto"/>
        </w:rPr>
      </w:pPr>
      <w:r>
        <w:rPr>
          <w:rFonts w:ascii="Calibri" w:cs="Calibri" w:eastAsia="Calibri" w:hAnsi="Calibri"/>
          <w:sz w:val="15"/>
          <w:szCs w:val="15"/>
          <w:b w:val="1"/>
          <w:bCs w:val="1"/>
          <w:color w:val="auto"/>
        </w:rPr>
        <w:t xml:space="preserve">Mibanco: </w:t>
      </w:r>
      <w:r>
        <w:rPr>
          <w:rFonts w:ascii="Calibri" w:cs="Calibri" w:eastAsia="Calibri" w:hAnsi="Calibri"/>
          <w:sz w:val="15"/>
          <w:szCs w:val="15"/>
          <w:color w:val="auto"/>
        </w:rPr>
        <w:t>Which registered a drop in fees paid to third-partes for business-channeling agreements afer the bank negotated beter conditons.</w:t>
      </w:r>
    </w:p>
    <w:p>
      <w:pPr>
        <w:spacing w:after="0" w:line="2" w:lineRule="exact"/>
        <w:rPr>
          <w:rFonts w:ascii="Calibri" w:cs="Calibri" w:eastAsia="Calibri" w:hAnsi="Calibri"/>
          <w:sz w:val="15"/>
          <w:szCs w:val="15"/>
          <w:color w:val="auto"/>
        </w:rPr>
      </w:pPr>
    </w:p>
    <w:p>
      <w:pPr>
        <w:ind w:left="1089" w:hanging="272"/>
        <w:spacing w:after="0" w:line="236" w:lineRule="auto"/>
        <w:tabs>
          <w:tab w:leader="none" w:pos="1089" w:val="left"/>
        </w:tabs>
        <w:numPr>
          <w:ilvl w:val="1"/>
          <w:numId w:val="34"/>
        </w:numPr>
        <w:rPr>
          <w:rFonts w:ascii="Calibri" w:cs="Calibri" w:eastAsia="Calibri" w:hAnsi="Calibri"/>
          <w:sz w:val="15"/>
          <w:szCs w:val="15"/>
          <w:color w:val="auto"/>
        </w:rPr>
      </w:pPr>
      <w:r>
        <w:rPr>
          <w:rFonts w:ascii="Calibri" w:cs="Calibri" w:eastAsia="Calibri" w:hAnsi="Calibri"/>
          <w:sz w:val="15"/>
          <w:szCs w:val="15"/>
          <w:b w:val="1"/>
          <w:bCs w:val="1"/>
          <w:color w:val="auto"/>
        </w:rPr>
        <w:t>BCP Bolivia</w:t>
      </w:r>
      <w:r>
        <w:rPr>
          <w:rFonts w:ascii="Calibri" w:cs="Calibri" w:eastAsia="Calibri" w:hAnsi="Calibri"/>
          <w:sz w:val="15"/>
          <w:szCs w:val="15"/>
          <w:color w:val="auto"/>
        </w:rPr>
        <w:t>: Which reported growth in fees from foreign transfers afer the interest rate on transfers was raised from 2.5% to 7.5% of the total transacton amount. This</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ofset the drop in FX transactons due to the politcal juncture.</w:t>
      </w:r>
    </w:p>
    <w:p>
      <w:pPr>
        <w:spacing w:after="0" w:line="204"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The aforementoned was partally ofset by:</w:t>
      </w:r>
    </w:p>
    <w:p>
      <w:pPr>
        <w:spacing w:after="0" w:line="203" w:lineRule="exact"/>
        <w:rPr>
          <w:sz w:val="20"/>
          <w:szCs w:val="20"/>
          <w:color w:val="auto"/>
        </w:rPr>
      </w:pPr>
    </w:p>
    <w:p>
      <w:pPr>
        <w:ind w:left="809"/>
        <w:spacing w:after="0"/>
        <w:rPr>
          <w:sz w:val="20"/>
          <w:szCs w:val="20"/>
          <w:color w:val="auto"/>
        </w:rPr>
      </w:pPr>
      <w:r>
        <w:rPr>
          <w:rFonts w:ascii="Calibri" w:cs="Calibri" w:eastAsia="Calibri" w:hAnsi="Calibri"/>
          <w:sz w:val="15"/>
          <w:szCs w:val="15"/>
          <w:b w:val="1"/>
          <w:bCs w:val="1"/>
          <w:color w:val="auto"/>
        </w:rPr>
        <w:t xml:space="preserve">Passive and Transactonal Accounts </w:t>
      </w:r>
      <w:r>
        <w:rPr>
          <w:rFonts w:ascii="Calibri" w:cs="Calibri" w:eastAsia="Calibri" w:hAnsi="Calibri"/>
          <w:sz w:val="15"/>
          <w:szCs w:val="15"/>
          <w:color w:val="auto"/>
        </w:rPr>
        <w:t>due to:</w:t>
      </w:r>
    </w:p>
    <w:p>
      <w:pPr>
        <w:spacing w:after="0" w:line="2" w:lineRule="exact"/>
        <w:rPr>
          <w:sz w:val="20"/>
          <w:szCs w:val="20"/>
          <w:color w:val="auto"/>
        </w:rPr>
      </w:pPr>
    </w:p>
    <w:p>
      <w:pPr>
        <w:ind w:left="1089" w:hanging="272"/>
        <w:spacing w:after="0" w:line="236" w:lineRule="auto"/>
        <w:tabs>
          <w:tab w:leader="none" w:pos="1089" w:val="left"/>
        </w:tabs>
        <w:numPr>
          <w:ilvl w:val="0"/>
          <w:numId w:val="35"/>
        </w:numPr>
        <w:rPr>
          <w:rFonts w:ascii="Calibri" w:cs="Calibri" w:eastAsia="Calibri" w:hAnsi="Calibri"/>
          <w:sz w:val="15"/>
          <w:szCs w:val="15"/>
          <w:color w:val="auto"/>
        </w:rPr>
      </w:pPr>
      <w:r>
        <w:rPr>
          <w:rFonts w:ascii="Calibri" w:cs="Calibri" w:eastAsia="Calibri" w:hAnsi="Calibri"/>
          <w:sz w:val="15"/>
          <w:szCs w:val="15"/>
          <w:color w:val="auto"/>
        </w:rPr>
        <w:t>The eliminaton of inter-city fees in 4Q22 for both savings and current accounts. In the last few months of 2022, these fees were eliminated, but only in some channels. In 1Q23, the process to eliminate fees across channels was completed. Accordingly, 1Q23 refects the brunt of the impact of this change.</w:t>
      </w:r>
    </w:p>
    <w:p>
      <w:pPr>
        <w:spacing w:after="0" w:line="204" w:lineRule="exact"/>
        <w:rPr>
          <w:sz w:val="20"/>
          <w:szCs w:val="20"/>
          <w:color w:val="auto"/>
        </w:rPr>
      </w:pPr>
    </w:p>
    <w:p>
      <w:pPr>
        <w:ind w:left="29"/>
        <w:spacing w:after="0"/>
        <w:rPr>
          <w:sz w:val="20"/>
          <w:szCs w:val="20"/>
          <w:color w:val="auto"/>
        </w:rPr>
      </w:pPr>
      <w:r>
        <w:rPr>
          <w:rFonts w:ascii="Calibri" w:cs="Calibri" w:eastAsia="Calibri" w:hAnsi="Calibri"/>
          <w:sz w:val="15"/>
          <w:szCs w:val="15"/>
          <w:b w:val="1"/>
          <w:bCs w:val="1"/>
          <w:color w:val="auto"/>
        </w:rPr>
        <w:t xml:space="preserve">YoY, </w:t>
      </w:r>
      <w:r>
        <w:rPr>
          <w:rFonts w:ascii="Calibri" w:cs="Calibri" w:eastAsia="Calibri" w:hAnsi="Calibri"/>
          <w:sz w:val="15"/>
          <w:szCs w:val="15"/>
          <w:color w:val="auto"/>
        </w:rPr>
        <w:t>growth in banking fees was driven by:</w:t>
      </w:r>
    </w:p>
    <w:p>
      <w:pPr>
        <w:spacing w:after="0" w:line="127" w:lineRule="exact"/>
        <w:rPr>
          <w:sz w:val="20"/>
          <w:szCs w:val="20"/>
          <w:color w:val="auto"/>
        </w:rPr>
      </w:pPr>
    </w:p>
    <w:p>
      <w:pPr>
        <w:ind w:left="1089" w:hanging="272"/>
        <w:spacing w:after="0" w:line="236" w:lineRule="auto"/>
        <w:tabs>
          <w:tab w:leader="none" w:pos="1089" w:val="left"/>
        </w:tabs>
        <w:numPr>
          <w:ilvl w:val="0"/>
          <w:numId w:val="36"/>
        </w:numPr>
        <w:rPr>
          <w:rFonts w:ascii="Calibri" w:cs="Calibri" w:eastAsia="Calibri" w:hAnsi="Calibri"/>
          <w:sz w:val="15"/>
          <w:szCs w:val="15"/>
          <w:color w:val="auto"/>
        </w:rPr>
      </w:pPr>
      <w:r>
        <w:rPr>
          <w:rFonts w:ascii="Calibri" w:cs="Calibri" w:eastAsia="Calibri" w:hAnsi="Calibri"/>
          <w:sz w:val="15"/>
          <w:szCs w:val="15"/>
          <w:b w:val="1"/>
          <w:bCs w:val="1"/>
          <w:color w:val="auto"/>
        </w:rPr>
        <w:t xml:space="preserve">Payment methods and services venues: </w:t>
      </w:r>
      <w:r>
        <w:rPr>
          <w:rFonts w:ascii="Calibri" w:cs="Calibri" w:eastAsia="Calibri" w:hAnsi="Calibri"/>
          <w:sz w:val="15"/>
          <w:szCs w:val="15"/>
          <w:color w:val="auto"/>
        </w:rPr>
        <w:t>which was driven by growth in transactons and on-going migraton to digital channels and POS, which, unlike cash, generate fee</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income. YoY growth in billing for debit and credit cards stood at 19% and 26% respectvely.</w:t>
      </w:r>
    </w:p>
    <w:p>
      <w:pPr>
        <w:spacing w:after="0" w:line="2" w:lineRule="exact"/>
        <w:rPr>
          <w:rFonts w:ascii="Calibri" w:cs="Calibri" w:eastAsia="Calibri" w:hAnsi="Calibri"/>
          <w:sz w:val="15"/>
          <w:szCs w:val="15"/>
          <w:color w:val="auto"/>
        </w:rPr>
      </w:pPr>
    </w:p>
    <w:p>
      <w:pPr>
        <w:ind w:left="1089" w:hanging="272"/>
        <w:spacing w:after="0" w:line="236" w:lineRule="auto"/>
        <w:tabs>
          <w:tab w:leader="none" w:pos="1089" w:val="left"/>
        </w:tabs>
        <w:numPr>
          <w:ilvl w:val="0"/>
          <w:numId w:val="36"/>
        </w:numPr>
        <w:rPr>
          <w:rFonts w:ascii="Calibri" w:cs="Calibri" w:eastAsia="Calibri" w:hAnsi="Calibri"/>
          <w:sz w:val="15"/>
          <w:szCs w:val="15"/>
          <w:color w:val="auto"/>
        </w:rPr>
      </w:pPr>
      <w:r>
        <w:rPr>
          <w:rFonts w:ascii="Calibri" w:cs="Calibri" w:eastAsia="Calibri" w:hAnsi="Calibri"/>
          <w:sz w:val="15"/>
          <w:szCs w:val="15"/>
          <w:b w:val="1"/>
          <w:bCs w:val="1"/>
          <w:color w:val="auto"/>
        </w:rPr>
        <w:t xml:space="preserve">Mibanco: </w:t>
      </w:r>
      <w:r>
        <w:rPr>
          <w:rFonts w:ascii="Calibri" w:cs="Calibri" w:eastAsia="Calibri" w:hAnsi="Calibri"/>
          <w:sz w:val="15"/>
          <w:szCs w:val="15"/>
          <w:color w:val="auto"/>
        </w:rPr>
        <w:t>spurred by the same reasons as those discussed for the QoQ evoluton and by a drop in fees paid to third partes for business-channeling agreements afer the</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bank negotated more favorable contract conditons.</w:t>
      </w:r>
    </w:p>
    <w:p>
      <w:pPr>
        <w:spacing w:after="0" w:line="204"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Growth in YoY terms was partally ofset by the same drivers as those that ofset expansion QoQ.</w:t>
      </w:r>
    </w:p>
    <w:p>
      <w:pPr>
        <w:spacing w:after="0" w:line="203"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6.2 Other non-core income</w:t>
      </w:r>
    </w:p>
    <w:p>
      <w:pPr>
        <w:spacing w:after="0" w:line="114" w:lineRule="exact"/>
        <w:rPr>
          <w:sz w:val="20"/>
          <w:szCs w:val="20"/>
          <w:color w:val="auto"/>
        </w:rPr>
      </w:pPr>
    </w:p>
    <w:tbl>
      <w:tblPr>
        <w:tblLayout w:type="fixed"/>
        <w:tblInd w:w="19" w:type="dxa"/>
        <w:tblCellMar>
          <w:top w:w="0" w:type="dxa"/>
          <w:left w:w="0" w:type="dxa"/>
          <w:bottom w:w="0" w:type="dxa"/>
          <w:right w:w="0" w:type="dxa"/>
        </w:tblCellMar>
      </w:tblPr>
      <w:tr>
        <w:trPr>
          <w:trHeight w:val="227"/>
        </w:trPr>
        <w:tc>
          <w:tcPr>
            <w:tcW w:w="520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Non-core Other income</w:t>
            </w:r>
          </w:p>
        </w:tc>
        <w:tc>
          <w:tcPr>
            <w:tcW w:w="1500" w:type="dxa"/>
            <w:vAlign w:val="bottom"/>
            <w:tcBorders>
              <w:top w:val="single" w:sz="8" w:color="auto"/>
            </w:tcBorders>
            <w:shd w:val="clear" w:color="auto" w:fill="2AD2C9"/>
          </w:tcPr>
          <w:p>
            <w:pPr>
              <w:spacing w:after="0"/>
              <w:rPr>
                <w:sz w:val="19"/>
                <w:szCs w:val="19"/>
                <w:color w:val="auto"/>
              </w:rPr>
            </w:pPr>
          </w:p>
        </w:tc>
        <w:tc>
          <w:tcPr>
            <w:tcW w:w="1180" w:type="dxa"/>
            <w:vAlign w:val="bottom"/>
            <w:tcBorders>
              <w:top w:val="single" w:sz="8" w:color="auto"/>
            </w:tcBorders>
            <w:shd w:val="clear" w:color="auto" w:fill="2AD2C9"/>
          </w:tcPr>
          <w:p>
            <w:pPr>
              <w:jc w:val="right"/>
              <w:ind w:right="364"/>
              <w:spacing w:after="0"/>
              <w:rPr>
                <w:sz w:val="20"/>
                <w:szCs w:val="20"/>
                <w:color w:val="auto"/>
              </w:rPr>
            </w:pPr>
            <w:r>
              <w:rPr>
                <w:rFonts w:ascii="Arial" w:cs="Arial" w:eastAsia="Arial" w:hAnsi="Arial"/>
                <w:sz w:val="15"/>
                <w:szCs w:val="15"/>
                <w:b w:val="1"/>
                <w:bCs w:val="1"/>
                <w:color w:val="FFFFFF"/>
              </w:rPr>
              <w:t>Quarter</w:t>
            </w:r>
          </w:p>
        </w:tc>
        <w:tc>
          <w:tcPr>
            <w:tcW w:w="1340" w:type="dxa"/>
            <w:vAlign w:val="bottom"/>
            <w:tcBorders>
              <w:top w:val="single" w:sz="8" w:color="auto"/>
              <w:right w:val="single" w:sz="8" w:color="auto"/>
            </w:tcBorders>
            <w:shd w:val="clear" w:color="auto" w:fill="2AD2C9"/>
          </w:tcPr>
          <w:p>
            <w:pPr>
              <w:spacing w:after="0"/>
              <w:rPr>
                <w:sz w:val="19"/>
                <w:szCs w:val="19"/>
                <w:color w:val="auto"/>
              </w:rPr>
            </w:pPr>
          </w:p>
        </w:tc>
        <w:tc>
          <w:tcPr>
            <w:tcW w:w="2040" w:type="dxa"/>
            <w:vAlign w:val="bottom"/>
            <w:tcBorders>
              <w:top w:val="single" w:sz="8" w:color="auto"/>
              <w:right w:val="single" w:sz="8" w:color="auto"/>
            </w:tcBorders>
            <w:gridSpan w:val="2"/>
            <w:shd w:val="clear" w:color="auto" w:fill="2AD2C9"/>
          </w:tcPr>
          <w:p>
            <w:pPr>
              <w:ind w:left="700"/>
              <w:spacing w:after="0"/>
              <w:rPr>
                <w:sz w:val="20"/>
                <w:szCs w:val="20"/>
                <w:color w:val="auto"/>
              </w:rPr>
            </w:pPr>
            <w:r>
              <w:rPr>
                <w:rFonts w:ascii="Calibri" w:cs="Calibri" w:eastAsia="Calibri" w:hAnsi="Calibri"/>
                <w:sz w:val="15"/>
                <w:szCs w:val="15"/>
                <w:b w:val="1"/>
                <w:bCs w:val="1"/>
                <w:color w:val="FFFFFF"/>
              </w:rPr>
              <w:t>% Change</w:t>
            </w:r>
          </w:p>
        </w:tc>
      </w:tr>
      <w:tr>
        <w:trPr>
          <w:trHeight w:val="212"/>
        </w:trPr>
        <w:tc>
          <w:tcPr>
            <w:tcW w:w="5200" w:type="dxa"/>
            <w:vAlign w:val="bottom"/>
            <w:tcBorders>
              <w:left w:val="single" w:sz="8" w:color="auto"/>
              <w:bottom w:val="single" w:sz="8" w:color="2AD2C9"/>
              <w:right w:val="single" w:sz="8" w:color="auto"/>
            </w:tcBorders>
            <w:shd w:val="clear" w:color="auto" w:fill="2AD2C9"/>
          </w:tcPr>
          <w:p>
            <w:pPr>
              <w:ind w:left="20"/>
              <w:spacing w:after="0" w:line="180" w:lineRule="exact"/>
              <w:rPr>
                <w:sz w:val="20"/>
                <w:szCs w:val="20"/>
                <w:color w:val="auto"/>
              </w:rPr>
            </w:pPr>
            <w:r>
              <w:rPr>
                <w:rFonts w:ascii="Calibri" w:cs="Calibri" w:eastAsia="Calibri" w:hAnsi="Calibri"/>
                <w:sz w:val="15"/>
                <w:szCs w:val="15"/>
                <w:b w:val="1"/>
                <w:bCs w:val="1"/>
                <w:color w:val="FFFFFF"/>
              </w:rPr>
              <w:t>(S/ 000)</w:t>
            </w:r>
          </w:p>
        </w:tc>
        <w:tc>
          <w:tcPr>
            <w:tcW w:w="1500" w:type="dxa"/>
            <w:vAlign w:val="bottom"/>
            <w:tcBorders>
              <w:bottom w:val="single" w:sz="8" w:color="2AD2C9"/>
            </w:tcBorders>
            <w:shd w:val="clear" w:color="auto" w:fill="2AD2C9"/>
          </w:tcPr>
          <w:p>
            <w:pPr>
              <w:jc w:val="right"/>
              <w:ind w:right="604"/>
              <w:spacing w:after="0" w:line="180" w:lineRule="exact"/>
              <w:rPr>
                <w:sz w:val="20"/>
                <w:szCs w:val="20"/>
                <w:color w:val="auto"/>
              </w:rPr>
            </w:pPr>
            <w:r>
              <w:rPr>
                <w:rFonts w:ascii="Calibri" w:cs="Calibri" w:eastAsia="Calibri" w:hAnsi="Calibri"/>
                <w:sz w:val="15"/>
                <w:szCs w:val="15"/>
                <w:b w:val="1"/>
                <w:bCs w:val="1"/>
                <w:color w:val="FFFFFF"/>
              </w:rPr>
              <w:t>1Q22</w:t>
            </w:r>
          </w:p>
        </w:tc>
        <w:tc>
          <w:tcPr>
            <w:tcW w:w="1180" w:type="dxa"/>
            <w:vAlign w:val="bottom"/>
            <w:tcBorders>
              <w:bottom w:val="single" w:sz="8" w:color="2AD2C9"/>
            </w:tcBorders>
            <w:shd w:val="clear" w:color="auto" w:fill="2AD2C9"/>
          </w:tcPr>
          <w:p>
            <w:pPr>
              <w:jc w:val="right"/>
              <w:ind w:right="444"/>
              <w:spacing w:after="0" w:line="180" w:lineRule="exact"/>
              <w:rPr>
                <w:sz w:val="20"/>
                <w:szCs w:val="20"/>
                <w:color w:val="auto"/>
              </w:rPr>
            </w:pPr>
            <w:r>
              <w:rPr>
                <w:rFonts w:ascii="Calibri" w:cs="Calibri" w:eastAsia="Calibri" w:hAnsi="Calibri"/>
                <w:sz w:val="15"/>
                <w:szCs w:val="15"/>
                <w:b w:val="1"/>
                <w:bCs w:val="1"/>
                <w:color w:val="FFFFFF"/>
              </w:rPr>
              <w:t>4Q22</w:t>
            </w:r>
          </w:p>
        </w:tc>
        <w:tc>
          <w:tcPr>
            <w:tcW w:w="1340" w:type="dxa"/>
            <w:vAlign w:val="bottom"/>
            <w:tcBorders>
              <w:bottom w:val="single" w:sz="8" w:color="2AD2C9"/>
              <w:right w:val="single" w:sz="8" w:color="auto"/>
            </w:tcBorders>
            <w:shd w:val="clear" w:color="auto" w:fill="2AD2C9"/>
          </w:tcPr>
          <w:p>
            <w:pPr>
              <w:jc w:val="right"/>
              <w:ind w:right="442"/>
              <w:spacing w:after="0" w:line="180" w:lineRule="exact"/>
              <w:rPr>
                <w:sz w:val="20"/>
                <w:szCs w:val="20"/>
                <w:color w:val="auto"/>
              </w:rPr>
            </w:pPr>
            <w:r>
              <w:rPr>
                <w:rFonts w:ascii="Calibri" w:cs="Calibri" w:eastAsia="Calibri" w:hAnsi="Calibri"/>
                <w:sz w:val="15"/>
                <w:szCs w:val="15"/>
                <w:b w:val="1"/>
                <w:bCs w:val="1"/>
                <w:color w:val="FFFFFF"/>
              </w:rPr>
              <w:t>1Q23</w:t>
            </w:r>
          </w:p>
        </w:tc>
        <w:tc>
          <w:tcPr>
            <w:tcW w:w="1000" w:type="dxa"/>
            <w:vAlign w:val="bottom"/>
            <w:tcBorders>
              <w:bottom w:val="single" w:sz="8" w:color="2AD2C9"/>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7"/>
              </w:rPr>
              <w:t>QoQ</w:t>
            </w:r>
          </w:p>
        </w:tc>
        <w:tc>
          <w:tcPr>
            <w:tcW w:w="1040" w:type="dxa"/>
            <w:vAlign w:val="bottom"/>
            <w:tcBorders>
              <w:bottom w:val="single" w:sz="8" w:color="2AD2C9"/>
              <w:right w:val="single" w:sz="8" w:color="auto"/>
            </w:tcBorders>
            <w:shd w:val="clear" w:color="auto" w:fill="2AD2C9"/>
          </w:tcPr>
          <w:p>
            <w:pPr>
              <w:ind w:left="400"/>
              <w:spacing w:after="0" w:line="180" w:lineRule="exact"/>
              <w:rPr>
                <w:sz w:val="20"/>
                <w:szCs w:val="20"/>
                <w:color w:val="auto"/>
              </w:rPr>
            </w:pPr>
            <w:r>
              <w:rPr>
                <w:rFonts w:ascii="Calibri" w:cs="Calibri" w:eastAsia="Calibri" w:hAnsi="Calibri"/>
                <w:sz w:val="15"/>
                <w:szCs w:val="15"/>
                <w:b w:val="1"/>
                <w:bCs w:val="1"/>
                <w:color w:val="FFFFFF"/>
              </w:rPr>
              <w:t>YoY</w:t>
            </w:r>
          </w:p>
        </w:tc>
      </w:tr>
      <w:tr>
        <w:trPr>
          <w:trHeight w:val="179"/>
        </w:trPr>
        <w:tc>
          <w:tcPr>
            <w:tcW w:w="5200" w:type="dxa"/>
            <w:vAlign w:val="bottom"/>
            <w:tcBorders>
              <w:top w:val="single" w:sz="8" w:color="auto"/>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Net gain on securites</w:t>
            </w:r>
          </w:p>
        </w:tc>
        <w:tc>
          <w:tcPr>
            <w:tcW w:w="1500" w:type="dxa"/>
            <w:vAlign w:val="bottom"/>
            <w:tcBorders>
              <w:top w:val="single" w:sz="8" w:color="auto"/>
            </w:tcBorders>
          </w:tcPr>
          <w:p>
            <w:pPr>
              <w:jc w:val="right"/>
              <w:ind w:right="104"/>
              <w:spacing w:after="0" w:line="180" w:lineRule="exact"/>
              <w:rPr>
                <w:sz w:val="20"/>
                <w:szCs w:val="20"/>
                <w:color w:val="auto"/>
              </w:rPr>
            </w:pPr>
            <w:r>
              <w:rPr>
                <w:rFonts w:ascii="Calibri" w:cs="Calibri" w:eastAsia="Calibri" w:hAnsi="Calibri"/>
                <w:sz w:val="15"/>
                <w:szCs w:val="15"/>
                <w:color w:val="auto"/>
              </w:rPr>
              <w:t>(56,866)</w:t>
            </w:r>
          </w:p>
        </w:tc>
        <w:tc>
          <w:tcPr>
            <w:tcW w:w="1180" w:type="dxa"/>
            <w:vAlign w:val="bottom"/>
            <w:tcBorders>
              <w:top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77,512</w:t>
            </w:r>
          </w:p>
        </w:tc>
        <w:tc>
          <w:tcPr>
            <w:tcW w:w="1340" w:type="dxa"/>
            <w:vAlign w:val="bottom"/>
            <w:tcBorders>
              <w:top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70,036</w:t>
            </w:r>
          </w:p>
        </w:tc>
        <w:tc>
          <w:tcPr>
            <w:tcW w:w="1000" w:type="dxa"/>
            <w:vAlign w:val="bottom"/>
            <w:tcBorders>
              <w:top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8"/>
              </w:rPr>
              <w:t>-9.6%</w:t>
            </w:r>
          </w:p>
        </w:tc>
        <w:tc>
          <w:tcPr>
            <w:tcW w:w="1040" w:type="dxa"/>
            <w:vAlign w:val="bottom"/>
            <w:tcBorders>
              <w:top w:val="single" w:sz="8" w:color="auto"/>
              <w:right w:val="single" w:sz="8" w:color="auto"/>
            </w:tcBorders>
          </w:tcPr>
          <w:p>
            <w:pPr>
              <w:ind w:left="420"/>
              <w:spacing w:after="0" w:line="180" w:lineRule="exact"/>
              <w:rPr>
                <w:sz w:val="20"/>
                <w:szCs w:val="20"/>
                <w:color w:val="auto"/>
              </w:rPr>
            </w:pPr>
            <w:r>
              <w:rPr>
                <w:rFonts w:ascii="Calibri" w:cs="Calibri" w:eastAsia="Calibri" w:hAnsi="Calibri"/>
                <w:sz w:val="15"/>
                <w:szCs w:val="15"/>
                <w:color w:val="auto"/>
              </w:rPr>
              <w:t>n.a</w:t>
            </w:r>
          </w:p>
        </w:tc>
      </w:tr>
      <w:tr>
        <w:trPr>
          <w:trHeight w:val="222"/>
        </w:trPr>
        <w:tc>
          <w:tcPr>
            <w:tcW w:w="5200" w:type="dxa"/>
            <w:vAlign w:val="bottom"/>
            <w:tcBorders>
              <w:left w:val="single" w:sz="8" w:color="auto"/>
              <w:right w:val="single" w:sz="8" w:color="auto"/>
            </w:tcBorders>
          </w:tcPr>
          <w:p>
            <w:pPr>
              <w:ind w:left="20"/>
              <w:spacing w:after="0" w:line="221" w:lineRule="exact"/>
              <w:rPr>
                <w:sz w:val="20"/>
                <w:szCs w:val="20"/>
                <w:color w:val="auto"/>
              </w:rPr>
            </w:pPr>
            <w:r>
              <w:rPr>
                <w:rFonts w:ascii="Calibri" w:cs="Calibri" w:eastAsia="Calibri" w:hAnsi="Calibri"/>
                <w:sz w:val="15"/>
                <w:szCs w:val="15"/>
                <w:color w:val="auto"/>
              </w:rPr>
              <w:t xml:space="preserve">Net gain from associates </w:t>
            </w:r>
            <w:r>
              <w:rPr>
                <w:rFonts w:ascii="Calibri" w:cs="Calibri" w:eastAsia="Calibri" w:hAnsi="Calibri"/>
                <w:sz w:val="24"/>
                <w:szCs w:val="24"/>
                <w:color w:val="auto"/>
                <w:vertAlign w:val="superscript"/>
              </w:rPr>
              <w:t>(1)</w:t>
            </w:r>
          </w:p>
        </w:tc>
        <w:tc>
          <w:tcPr>
            <w:tcW w:w="1500" w:type="dxa"/>
            <w:vAlign w:val="bottom"/>
          </w:tcPr>
          <w:p>
            <w:pPr>
              <w:jc w:val="right"/>
              <w:ind w:right="104"/>
              <w:spacing w:after="0"/>
              <w:rPr>
                <w:sz w:val="20"/>
                <w:szCs w:val="20"/>
                <w:color w:val="auto"/>
              </w:rPr>
            </w:pPr>
            <w:r>
              <w:rPr>
                <w:rFonts w:ascii="Calibri" w:cs="Calibri" w:eastAsia="Calibri" w:hAnsi="Calibri"/>
                <w:sz w:val="15"/>
                <w:szCs w:val="15"/>
                <w:color w:val="auto"/>
              </w:rPr>
              <w:t>24,014</w:t>
            </w:r>
          </w:p>
        </w:tc>
        <w:tc>
          <w:tcPr>
            <w:tcW w:w="1180" w:type="dxa"/>
            <w:vAlign w:val="bottom"/>
          </w:tcPr>
          <w:p>
            <w:pPr>
              <w:jc w:val="right"/>
              <w:spacing w:after="0"/>
              <w:rPr>
                <w:sz w:val="20"/>
                <w:szCs w:val="20"/>
                <w:color w:val="auto"/>
              </w:rPr>
            </w:pPr>
            <w:r>
              <w:rPr>
                <w:rFonts w:ascii="Calibri" w:cs="Calibri" w:eastAsia="Calibri" w:hAnsi="Calibri"/>
                <w:sz w:val="15"/>
                <w:szCs w:val="15"/>
                <w:color w:val="auto"/>
              </w:rPr>
              <w:t>25,422</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27,212</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7.0%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13.3%</w:t>
            </w:r>
          </w:p>
        </w:tc>
      </w:tr>
      <w:tr>
        <w:trPr>
          <w:trHeight w:val="179"/>
        </w:trPr>
        <w:tc>
          <w:tcPr>
            <w:tcW w:w="52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Net gain on derivatves held for trading</w:t>
            </w:r>
          </w:p>
        </w:tc>
        <w:tc>
          <w:tcPr>
            <w:tcW w:w="1500" w:type="dxa"/>
            <w:vAlign w:val="bottom"/>
          </w:tcPr>
          <w:p>
            <w:pPr>
              <w:jc w:val="right"/>
              <w:ind w:right="104"/>
              <w:spacing w:after="0" w:line="180" w:lineRule="exact"/>
              <w:rPr>
                <w:sz w:val="20"/>
                <w:szCs w:val="20"/>
                <w:color w:val="auto"/>
              </w:rPr>
            </w:pPr>
            <w:r>
              <w:rPr>
                <w:rFonts w:ascii="Calibri" w:cs="Calibri" w:eastAsia="Calibri" w:hAnsi="Calibri"/>
                <w:sz w:val="15"/>
                <w:szCs w:val="15"/>
                <w:color w:val="auto"/>
              </w:rPr>
              <w:t>(5,982)</w:t>
            </w:r>
          </w:p>
        </w:tc>
        <w:tc>
          <w:tcPr>
            <w:tcW w:w="1180" w:type="dxa"/>
            <w:vAlign w:val="bottom"/>
          </w:tcPr>
          <w:p>
            <w:pPr>
              <w:jc w:val="right"/>
              <w:spacing w:after="0" w:line="180" w:lineRule="exact"/>
              <w:rPr>
                <w:sz w:val="20"/>
                <w:szCs w:val="20"/>
                <w:color w:val="auto"/>
              </w:rPr>
            </w:pPr>
            <w:r>
              <w:rPr>
                <w:rFonts w:ascii="Calibri" w:cs="Calibri" w:eastAsia="Calibri" w:hAnsi="Calibri"/>
                <w:sz w:val="15"/>
                <w:szCs w:val="15"/>
                <w:color w:val="auto"/>
              </w:rPr>
              <w:t>5,857</w:t>
            </w:r>
          </w:p>
        </w:tc>
        <w:tc>
          <w:tcPr>
            <w:tcW w:w="13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(6,570)</w:t>
            </w:r>
          </w:p>
        </w:tc>
        <w:tc>
          <w:tcPr>
            <w:tcW w:w="1000" w:type="dxa"/>
            <w:vAlign w:val="bottom"/>
          </w:tcPr>
          <w:p>
            <w:pPr>
              <w:jc w:val="center"/>
              <w:spacing w:after="0" w:line="180" w:lineRule="exact"/>
              <w:rPr>
                <w:sz w:val="20"/>
                <w:szCs w:val="20"/>
                <w:color w:val="auto"/>
              </w:rPr>
            </w:pPr>
            <w:r>
              <w:rPr>
                <w:rFonts w:ascii="Calibri" w:cs="Calibri" w:eastAsia="Calibri" w:hAnsi="Calibri"/>
                <w:sz w:val="15"/>
                <w:szCs w:val="15"/>
                <w:color w:val="auto"/>
              </w:rPr>
              <w:t>n.a</w:t>
            </w:r>
          </w:p>
        </w:tc>
        <w:tc>
          <w:tcPr>
            <w:tcW w:w="10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9.8%</w:t>
            </w:r>
          </w:p>
        </w:tc>
      </w:tr>
      <w:tr>
        <w:trPr>
          <w:trHeight w:val="204"/>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Net gain from exchange diferences</w:t>
            </w:r>
          </w:p>
        </w:tc>
        <w:tc>
          <w:tcPr>
            <w:tcW w:w="1500" w:type="dxa"/>
            <w:vAlign w:val="bottom"/>
          </w:tcPr>
          <w:p>
            <w:pPr>
              <w:jc w:val="right"/>
              <w:ind w:right="104"/>
              <w:spacing w:after="0"/>
              <w:rPr>
                <w:sz w:val="20"/>
                <w:szCs w:val="20"/>
                <w:color w:val="auto"/>
              </w:rPr>
            </w:pPr>
            <w:r>
              <w:rPr>
                <w:rFonts w:ascii="Calibri" w:cs="Calibri" w:eastAsia="Calibri" w:hAnsi="Calibri"/>
                <w:sz w:val="15"/>
                <w:szCs w:val="15"/>
                <w:color w:val="auto"/>
              </w:rPr>
              <w:t>(8,363)</w:t>
            </w:r>
          </w:p>
        </w:tc>
        <w:tc>
          <w:tcPr>
            <w:tcW w:w="1180" w:type="dxa"/>
            <w:vAlign w:val="bottom"/>
          </w:tcPr>
          <w:p>
            <w:pPr>
              <w:jc w:val="right"/>
              <w:spacing w:after="0"/>
              <w:rPr>
                <w:sz w:val="20"/>
                <w:szCs w:val="20"/>
                <w:color w:val="auto"/>
              </w:rPr>
            </w:pPr>
            <w:r>
              <w:rPr>
                <w:rFonts w:ascii="Calibri" w:cs="Calibri" w:eastAsia="Calibri" w:hAnsi="Calibri"/>
                <w:sz w:val="15"/>
                <w:szCs w:val="15"/>
                <w:color w:val="auto"/>
              </w:rPr>
              <w:t>22,039</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22,963</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4.2%</w:t>
            </w:r>
          </w:p>
        </w:tc>
        <w:tc>
          <w:tcPr>
            <w:tcW w:w="1040" w:type="dxa"/>
            <w:vAlign w:val="bottom"/>
            <w:tcBorders>
              <w:right w:val="single" w:sz="8" w:color="auto"/>
            </w:tcBorders>
          </w:tcPr>
          <w:p>
            <w:pPr>
              <w:ind w:left="420"/>
              <w:spacing w:after="0"/>
              <w:rPr>
                <w:sz w:val="20"/>
                <w:szCs w:val="20"/>
                <w:color w:val="auto"/>
              </w:rPr>
            </w:pPr>
            <w:r>
              <w:rPr>
                <w:rFonts w:ascii="Calibri" w:cs="Calibri" w:eastAsia="Calibri" w:hAnsi="Calibri"/>
                <w:sz w:val="15"/>
                <w:szCs w:val="15"/>
                <w:color w:val="auto"/>
              </w:rPr>
              <w:t>n.a</w:t>
            </w:r>
          </w:p>
        </w:tc>
      </w:tr>
      <w:tr>
        <w:trPr>
          <w:trHeight w:val="204"/>
        </w:trPr>
        <w:tc>
          <w:tcPr>
            <w:tcW w:w="5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Other non-fnancial income</w:t>
            </w:r>
          </w:p>
        </w:tc>
        <w:tc>
          <w:tcPr>
            <w:tcW w:w="1500" w:type="dxa"/>
            <w:vAlign w:val="bottom"/>
          </w:tcPr>
          <w:p>
            <w:pPr>
              <w:jc w:val="right"/>
              <w:ind w:right="104"/>
              <w:spacing w:after="0"/>
              <w:rPr>
                <w:sz w:val="20"/>
                <w:szCs w:val="20"/>
                <w:color w:val="auto"/>
              </w:rPr>
            </w:pPr>
            <w:r>
              <w:rPr>
                <w:rFonts w:ascii="Calibri" w:cs="Calibri" w:eastAsia="Calibri" w:hAnsi="Calibri"/>
                <w:sz w:val="15"/>
                <w:szCs w:val="15"/>
                <w:color w:val="auto"/>
              </w:rPr>
              <w:t>135,257</w:t>
            </w:r>
          </w:p>
        </w:tc>
        <w:tc>
          <w:tcPr>
            <w:tcW w:w="1180" w:type="dxa"/>
            <w:vAlign w:val="bottom"/>
          </w:tcPr>
          <w:p>
            <w:pPr>
              <w:jc w:val="right"/>
              <w:spacing w:after="0"/>
              <w:rPr>
                <w:sz w:val="20"/>
                <w:szCs w:val="20"/>
                <w:color w:val="auto"/>
              </w:rPr>
            </w:pPr>
            <w:r>
              <w:rPr>
                <w:rFonts w:ascii="Calibri" w:cs="Calibri" w:eastAsia="Calibri" w:hAnsi="Calibri"/>
                <w:sz w:val="15"/>
                <w:szCs w:val="15"/>
                <w:color w:val="auto"/>
              </w:rPr>
              <w:t>19,630</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84,127</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7"/>
              </w:rPr>
              <w:t>328.6%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-37.8%</w:t>
            </w:r>
          </w:p>
        </w:tc>
      </w:tr>
      <w:tr>
        <w:trPr>
          <w:trHeight w:val="35"/>
        </w:trPr>
        <w:tc>
          <w:tcPr>
            <w:tcW w:w="520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179"/>
        </w:trPr>
        <w:tc>
          <w:tcPr>
            <w:tcW w:w="520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Total other income Non-Core</w:t>
            </w:r>
          </w:p>
        </w:tc>
        <w:tc>
          <w:tcPr>
            <w:tcW w:w="1500" w:type="dxa"/>
            <w:vAlign w:val="bottom"/>
          </w:tcPr>
          <w:p>
            <w:pPr>
              <w:jc w:val="right"/>
              <w:ind w:right="104"/>
              <w:spacing w:after="0" w:line="180" w:lineRule="exact"/>
              <w:rPr>
                <w:sz w:val="20"/>
                <w:szCs w:val="20"/>
                <w:color w:val="auto"/>
              </w:rPr>
            </w:pPr>
            <w:r>
              <w:rPr>
                <w:rFonts w:ascii="Calibri" w:cs="Calibri" w:eastAsia="Calibri" w:hAnsi="Calibri"/>
                <w:sz w:val="15"/>
                <w:szCs w:val="15"/>
                <w:b w:val="1"/>
                <w:bCs w:val="1"/>
                <w:color w:val="auto"/>
              </w:rPr>
              <w:t>88,060</w:t>
            </w:r>
          </w:p>
        </w:tc>
        <w:tc>
          <w:tcPr>
            <w:tcW w:w="1180" w:type="dxa"/>
            <w:vAlign w:val="bottom"/>
          </w:tcPr>
          <w:p>
            <w:pPr>
              <w:jc w:val="right"/>
              <w:spacing w:after="0" w:line="180" w:lineRule="exact"/>
              <w:rPr>
                <w:sz w:val="20"/>
                <w:szCs w:val="20"/>
                <w:color w:val="auto"/>
              </w:rPr>
            </w:pPr>
            <w:r>
              <w:rPr>
                <w:rFonts w:ascii="Calibri" w:cs="Calibri" w:eastAsia="Calibri" w:hAnsi="Calibri"/>
                <w:sz w:val="15"/>
                <w:szCs w:val="15"/>
                <w:b w:val="1"/>
                <w:bCs w:val="1"/>
                <w:color w:val="auto"/>
              </w:rPr>
              <w:t>150,460</w:t>
            </w:r>
          </w:p>
        </w:tc>
        <w:tc>
          <w:tcPr>
            <w:tcW w:w="13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197,768</w:t>
            </w:r>
          </w:p>
        </w:tc>
        <w:tc>
          <w:tcPr>
            <w:tcW w:w="1000" w:type="dxa"/>
            <w:vAlign w:val="bottom"/>
          </w:tcPr>
          <w:p>
            <w:pPr>
              <w:jc w:val="center"/>
              <w:spacing w:after="0" w:line="180" w:lineRule="exact"/>
              <w:rPr>
                <w:sz w:val="20"/>
                <w:szCs w:val="20"/>
                <w:color w:val="auto"/>
              </w:rPr>
            </w:pPr>
            <w:r>
              <w:rPr>
                <w:rFonts w:ascii="Calibri" w:cs="Calibri" w:eastAsia="Calibri" w:hAnsi="Calibri"/>
                <w:sz w:val="15"/>
                <w:szCs w:val="15"/>
                <w:b w:val="1"/>
                <w:bCs w:val="1"/>
                <w:color w:val="auto"/>
                <w:w w:val="95"/>
              </w:rPr>
              <w:t>31.4%</w:t>
            </w:r>
          </w:p>
        </w:tc>
        <w:tc>
          <w:tcPr>
            <w:tcW w:w="10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rPr>
              <w:t>124.6%</w:t>
            </w:r>
          </w:p>
        </w:tc>
      </w:tr>
      <w:tr>
        <w:trPr>
          <w:trHeight w:val="27"/>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97"/>
        </w:trPr>
        <w:tc>
          <w:tcPr>
            <w:tcW w:w="5200" w:type="dxa"/>
            <w:vAlign w:val="bottom"/>
          </w:tcPr>
          <w:p>
            <w:pPr>
              <w:spacing w:after="0"/>
              <w:rPr>
                <w:sz w:val="20"/>
                <w:szCs w:val="20"/>
                <w:color w:val="auto"/>
              </w:rPr>
            </w:pPr>
            <w:r>
              <w:rPr>
                <w:rFonts w:ascii="Times New Roman" w:cs="Times New Roman" w:eastAsia="Times New Roman" w:hAnsi="Times New Roman"/>
                <w:sz w:val="8"/>
                <w:szCs w:val="8"/>
                <w:color w:val="auto"/>
              </w:rPr>
              <w:t>(1) Includes gains on other investments, which are mainly attributable to the Banmedica result</w:t>
            </w:r>
          </w:p>
        </w:tc>
        <w:tc>
          <w:tcPr>
            <w:tcW w:w="1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487"/>
        </w:trPr>
        <w:tc>
          <w:tcPr>
            <w:tcW w:w="5200" w:type="dxa"/>
            <w:vAlign w:val="bottom"/>
          </w:tcPr>
          <w:p>
            <w:pPr>
              <w:ind w:left="1480"/>
              <w:spacing w:after="0"/>
              <w:rPr>
                <w:sz w:val="20"/>
                <w:szCs w:val="20"/>
                <w:color w:val="auto"/>
              </w:rPr>
            </w:pPr>
            <w:r>
              <w:rPr>
                <w:rFonts w:ascii="Calibri" w:cs="Calibri" w:eastAsia="Calibri" w:hAnsi="Calibri"/>
                <w:sz w:val="17"/>
                <w:szCs w:val="17"/>
                <w:b w:val="1"/>
                <w:bCs w:val="1"/>
                <w:color w:val="auto"/>
              </w:rPr>
              <w:t>QoQ evoluton of non-core income</w:t>
            </w:r>
          </w:p>
        </w:tc>
        <w:tc>
          <w:tcPr>
            <w:tcW w:w="1500" w:type="dxa"/>
            <w:vAlign w:val="bottom"/>
          </w:tcPr>
          <w:p>
            <w:pPr>
              <w:spacing w:after="0"/>
              <w:rPr>
                <w:sz w:val="24"/>
                <w:szCs w:val="24"/>
                <w:color w:val="auto"/>
              </w:rPr>
            </w:pPr>
          </w:p>
        </w:tc>
        <w:tc>
          <w:tcPr>
            <w:tcW w:w="3520" w:type="dxa"/>
            <w:vAlign w:val="bottom"/>
            <w:gridSpan w:val="3"/>
          </w:tcPr>
          <w:p>
            <w:pPr>
              <w:ind w:left="660"/>
              <w:spacing w:after="0"/>
              <w:rPr>
                <w:sz w:val="20"/>
                <w:szCs w:val="20"/>
                <w:color w:val="auto"/>
              </w:rPr>
            </w:pPr>
            <w:r>
              <w:rPr>
                <w:rFonts w:ascii="Calibri" w:cs="Calibri" w:eastAsia="Calibri" w:hAnsi="Calibri"/>
                <w:sz w:val="17"/>
                <w:szCs w:val="17"/>
                <w:b w:val="1"/>
                <w:bCs w:val="1"/>
                <w:color w:val="auto"/>
              </w:rPr>
              <w:t>YoY evoluton of non-core income</w:t>
            </w:r>
          </w:p>
        </w:tc>
        <w:tc>
          <w:tcPr>
            <w:tcW w:w="1040" w:type="dxa"/>
            <w:vAlign w:val="bottom"/>
          </w:tcPr>
          <w:p>
            <w:pPr>
              <w:spacing w:after="0"/>
              <w:rPr>
                <w:sz w:val="24"/>
                <w:szCs w:val="24"/>
                <w:color w:val="auto"/>
              </w:rPr>
            </w:pPr>
          </w:p>
        </w:tc>
      </w:tr>
      <w:tr>
        <w:trPr>
          <w:trHeight w:val="231"/>
        </w:trPr>
        <w:tc>
          <w:tcPr>
            <w:tcW w:w="5200" w:type="dxa"/>
            <w:vAlign w:val="bottom"/>
          </w:tcPr>
          <w:p>
            <w:pPr>
              <w:ind w:left="2080"/>
              <w:spacing w:after="0"/>
              <w:rPr>
                <w:sz w:val="20"/>
                <w:szCs w:val="20"/>
                <w:color w:val="auto"/>
              </w:rPr>
            </w:pPr>
            <w:r>
              <w:rPr>
                <w:rFonts w:ascii="Calibri" w:cs="Calibri" w:eastAsia="Calibri" w:hAnsi="Calibri"/>
                <w:sz w:val="18"/>
                <w:szCs w:val="18"/>
                <w:color w:val="auto"/>
              </w:rPr>
              <w:t>(millions of soles)</w:t>
            </w:r>
          </w:p>
        </w:tc>
        <w:tc>
          <w:tcPr>
            <w:tcW w:w="1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(millions of soles)</w:t>
            </w: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15240</wp:posOffset>
            </wp:positionV>
            <wp:extent cx="1988185" cy="18300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88185" cy="1830070"/>
                    </a:xfrm>
                    <a:prstGeom prst="rect">
                      <a:avLst/>
                    </a:prstGeom>
                    <a:noFill/>
                  </pic:spPr>
                </pic:pic>
              </a:graphicData>
            </a:graphic>
          </wp:anchor>
        </w:drawing>
        <w:drawing>
          <wp:anchor simplePos="0" relativeHeight="251657728" behindDoc="1" locked="0" layoutInCell="0" allowOverlap="1">
            <wp:simplePos x="0" y="0"/>
            <wp:positionH relativeFrom="column">
              <wp:posOffset>4466590</wp:posOffset>
            </wp:positionH>
            <wp:positionV relativeFrom="paragraph">
              <wp:posOffset>15240</wp:posOffset>
            </wp:positionV>
            <wp:extent cx="1945005" cy="1793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45005" cy="179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
        <w:spacing w:after="0"/>
        <w:rPr>
          <w:sz w:val="20"/>
          <w:szCs w:val="20"/>
          <w:color w:val="auto"/>
        </w:rPr>
      </w:pPr>
      <w:r>
        <w:rPr>
          <w:rFonts w:ascii="Calibri" w:cs="Calibri" w:eastAsia="Calibri" w:hAnsi="Calibri"/>
          <w:sz w:val="11"/>
          <w:szCs w:val="11"/>
          <w:color w:val="auto"/>
        </w:rPr>
        <w:t>(1) Others includes Grupo Credito, Credicorp Individual, eliminatons and others</w:t>
      </w:r>
    </w:p>
    <w:p>
      <w:pPr>
        <w:spacing w:after="0" w:line="200" w:lineRule="exact"/>
        <w:rPr>
          <w:sz w:val="20"/>
          <w:szCs w:val="20"/>
          <w:color w:val="auto"/>
        </w:rPr>
      </w:pPr>
    </w:p>
    <w:p>
      <w:pPr>
        <w:spacing w:after="0" w:line="208"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54" w:right="319" w:bottom="1440" w:gutter="0" w:footer="0" w:header="0"/>
        </w:sectPr>
      </w:pPr>
    </w:p>
    <w:bookmarkStart w:id="36" w:name="page37"/>
    <w:bookmarkEnd w:id="36"/>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10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06. Other Income</w:t>
      </w:r>
    </w:p>
    <w:p>
      <w:pPr>
        <w:spacing w:after="0" w:line="251" w:lineRule="exact"/>
        <w:rPr>
          <w:sz w:val="20"/>
          <w:szCs w:val="20"/>
          <w:color w:val="auto"/>
        </w:rPr>
      </w:pPr>
    </w:p>
    <w:p>
      <w:pPr>
        <w:spacing w:after="0"/>
        <w:rPr>
          <w:sz w:val="20"/>
          <w:szCs w:val="20"/>
          <w:color w:val="auto"/>
        </w:rPr>
      </w:pPr>
      <w:r>
        <w:rPr>
          <w:rFonts w:ascii="Calibri" w:cs="Calibri" w:eastAsia="Calibri" w:hAnsi="Calibri"/>
          <w:sz w:val="15"/>
          <w:szCs w:val="15"/>
          <w:color w:val="auto"/>
        </w:rPr>
        <w:t>Other non-core income rose QoQ, which was driven mainly by:</w:t>
      </w:r>
    </w:p>
    <w:p>
      <w:pPr>
        <w:spacing w:after="0" w:line="180" w:lineRule="exact"/>
        <w:rPr>
          <w:sz w:val="20"/>
          <w:szCs w:val="20"/>
          <w:color w:val="auto"/>
        </w:rPr>
      </w:pPr>
    </w:p>
    <w:p>
      <w:pPr>
        <w:ind w:left="540" w:hanging="277"/>
        <w:spacing w:after="0"/>
        <w:tabs>
          <w:tab w:leader="none" w:pos="540" w:val="left"/>
        </w:tabs>
        <w:numPr>
          <w:ilvl w:val="0"/>
          <w:numId w:val="37"/>
        </w:numPr>
        <w:rPr>
          <w:rFonts w:ascii="Arial" w:cs="Arial" w:eastAsia="Arial" w:hAnsi="Arial"/>
          <w:sz w:val="15"/>
          <w:szCs w:val="15"/>
          <w:color w:val="auto"/>
        </w:rPr>
      </w:pPr>
      <w:r>
        <w:rPr>
          <w:rFonts w:ascii="Calibri" w:cs="Calibri" w:eastAsia="Calibri" w:hAnsi="Calibri"/>
          <w:sz w:val="15"/>
          <w:szCs w:val="15"/>
          <w:b w:val="1"/>
          <w:bCs w:val="1"/>
          <w:color w:val="auto"/>
        </w:rPr>
        <w:t xml:space="preserve">Universal Banking: </w:t>
      </w:r>
      <w:r>
        <w:rPr>
          <w:rFonts w:ascii="Calibri" w:cs="Calibri" w:eastAsia="Calibri" w:hAnsi="Calibri"/>
          <w:sz w:val="15"/>
          <w:szCs w:val="15"/>
          <w:color w:val="auto"/>
        </w:rPr>
        <w:t>Due to income from the sale of an overdue and judicial recovery portolio in retail banking.</w:t>
      </w:r>
    </w:p>
    <w:p>
      <w:pPr>
        <w:spacing w:after="0" w:line="184" w:lineRule="exact"/>
        <w:rPr>
          <w:sz w:val="20"/>
          <w:szCs w:val="20"/>
          <w:color w:val="auto"/>
        </w:rPr>
      </w:pPr>
    </w:p>
    <w:p>
      <w:pPr>
        <w:spacing w:after="0"/>
        <w:rPr>
          <w:sz w:val="20"/>
          <w:szCs w:val="20"/>
          <w:color w:val="auto"/>
        </w:rPr>
      </w:pPr>
      <w:r>
        <w:rPr>
          <w:rFonts w:ascii="Calibri" w:cs="Calibri" w:eastAsia="Calibri" w:hAnsi="Calibri"/>
          <w:sz w:val="14"/>
          <w:szCs w:val="14"/>
          <w:color w:val="auto"/>
        </w:rPr>
        <w:t>The aforementoned was partally ofset by a drop in the Net gain on securites in the Miscellaneous line, which was driven by a drop in the value of Credicorp’s investments in mutual funds.</w:t>
      </w:r>
    </w:p>
    <w:p>
      <w:pPr>
        <w:spacing w:after="0" w:line="188" w:lineRule="exact"/>
        <w:rPr>
          <w:sz w:val="20"/>
          <w:szCs w:val="20"/>
          <w:color w:val="auto"/>
        </w:rPr>
      </w:pPr>
    </w:p>
    <w:p>
      <w:pPr>
        <w:spacing w:after="0"/>
        <w:rPr>
          <w:sz w:val="20"/>
          <w:szCs w:val="20"/>
          <w:color w:val="auto"/>
        </w:rPr>
      </w:pPr>
      <w:r>
        <w:rPr>
          <w:rFonts w:ascii="Calibri" w:cs="Calibri" w:eastAsia="Calibri" w:hAnsi="Calibri"/>
          <w:sz w:val="15"/>
          <w:szCs w:val="15"/>
          <w:color w:val="auto"/>
        </w:rPr>
        <w:t>Other Non-Core Income rose YoY, which was primarily atributable to:</w:t>
      </w:r>
    </w:p>
    <w:p>
      <w:pPr>
        <w:spacing w:after="0" w:line="184" w:lineRule="exact"/>
        <w:rPr>
          <w:sz w:val="20"/>
          <w:szCs w:val="20"/>
          <w:color w:val="auto"/>
        </w:rPr>
      </w:pPr>
    </w:p>
    <w:p>
      <w:pPr>
        <w:ind w:left="540" w:hanging="277"/>
        <w:spacing w:after="0" w:line="236" w:lineRule="auto"/>
        <w:tabs>
          <w:tab w:leader="none" w:pos="540" w:val="left"/>
        </w:tabs>
        <w:numPr>
          <w:ilvl w:val="0"/>
          <w:numId w:val="38"/>
        </w:numPr>
        <w:rPr>
          <w:rFonts w:ascii="Arial" w:cs="Arial" w:eastAsia="Arial" w:hAnsi="Arial"/>
          <w:sz w:val="15"/>
          <w:szCs w:val="15"/>
          <w:color w:val="auto"/>
        </w:rPr>
      </w:pPr>
      <w:r>
        <w:rPr>
          <w:rFonts w:ascii="Calibri" w:cs="Calibri" w:eastAsia="Calibri" w:hAnsi="Calibri"/>
          <w:sz w:val="15"/>
          <w:szCs w:val="15"/>
          <w:b w:val="1"/>
          <w:bCs w:val="1"/>
          <w:color w:val="auto"/>
        </w:rPr>
        <w:t xml:space="preserve">Insurance and Pensions: </w:t>
      </w:r>
      <w:r>
        <w:rPr>
          <w:rFonts w:ascii="Calibri" w:cs="Calibri" w:eastAsia="Calibri" w:hAnsi="Calibri"/>
          <w:sz w:val="15"/>
          <w:szCs w:val="15"/>
          <w:color w:val="auto"/>
        </w:rPr>
        <w:t>Growth in the Net gain on securites due to a drop in losses reported on fxed income investments in 1Q22 and to an improvement in the EPS business,</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where we share 50% of profts, and which generated a direct impact on the investment in the associates line</w:t>
      </w:r>
      <w:r>
        <w:rPr>
          <w:rFonts w:ascii="Calibri" w:cs="Calibri" w:eastAsia="Calibri" w:hAnsi="Calibri"/>
          <w:sz w:val="15"/>
          <w:szCs w:val="15"/>
          <w:b w:val="1"/>
          <w:bCs w:val="1"/>
          <w:color w:val="auto"/>
        </w:rPr>
        <w:t>.</w:t>
      </w:r>
    </w:p>
    <w:p>
      <w:pPr>
        <w:ind w:left="540" w:hanging="277"/>
        <w:spacing w:after="0" w:line="237" w:lineRule="auto"/>
        <w:tabs>
          <w:tab w:leader="none" w:pos="540" w:val="left"/>
        </w:tabs>
        <w:numPr>
          <w:ilvl w:val="0"/>
          <w:numId w:val="38"/>
        </w:numPr>
        <w:rPr>
          <w:rFonts w:ascii="Arial" w:cs="Arial" w:eastAsia="Arial" w:hAnsi="Arial"/>
          <w:sz w:val="15"/>
          <w:szCs w:val="15"/>
          <w:color w:val="auto"/>
        </w:rPr>
      </w:pPr>
      <w:r>
        <w:rPr>
          <w:rFonts w:ascii="Calibri" w:cs="Calibri" w:eastAsia="Calibri" w:hAnsi="Calibri"/>
          <w:sz w:val="15"/>
          <w:szCs w:val="15"/>
          <w:b w:val="1"/>
          <w:bCs w:val="1"/>
          <w:color w:val="auto"/>
        </w:rPr>
        <w:t xml:space="preserve">Others: </w:t>
      </w:r>
      <w:r>
        <w:rPr>
          <w:rFonts w:ascii="Calibri" w:cs="Calibri" w:eastAsia="Calibri" w:hAnsi="Calibri"/>
          <w:sz w:val="15"/>
          <w:szCs w:val="15"/>
          <w:color w:val="auto"/>
        </w:rPr>
        <w:t>Atributable to an increase in the value of Credicorp’s investments for the purchase of Investment Grade Bonds.</w:t>
      </w:r>
    </w:p>
    <w:p>
      <w:pPr>
        <w:spacing w:after="0" w:line="24" w:lineRule="exact"/>
        <w:rPr>
          <w:rFonts w:ascii="Arial" w:cs="Arial" w:eastAsia="Arial" w:hAnsi="Arial"/>
          <w:sz w:val="15"/>
          <w:szCs w:val="15"/>
          <w:color w:val="auto"/>
        </w:rPr>
      </w:pPr>
    </w:p>
    <w:p>
      <w:pPr>
        <w:ind w:left="540" w:hanging="277"/>
        <w:spacing w:after="0" w:line="207" w:lineRule="auto"/>
        <w:tabs>
          <w:tab w:leader="none" w:pos="540" w:val="left"/>
        </w:tabs>
        <w:numPr>
          <w:ilvl w:val="0"/>
          <w:numId w:val="38"/>
        </w:numPr>
        <w:rPr>
          <w:rFonts w:ascii="Arial" w:cs="Arial" w:eastAsia="Arial" w:hAnsi="Arial"/>
          <w:sz w:val="15"/>
          <w:szCs w:val="15"/>
          <w:color w:val="auto"/>
        </w:rPr>
      </w:pPr>
      <w:r>
        <w:rPr>
          <w:rFonts w:ascii="Calibri" w:cs="Calibri" w:eastAsia="Calibri" w:hAnsi="Calibri"/>
          <w:sz w:val="15"/>
          <w:szCs w:val="15"/>
          <w:b w:val="1"/>
          <w:bCs w:val="1"/>
          <w:color w:val="auto"/>
        </w:rPr>
        <w:t xml:space="preserve">Investment Banking and Wealth Management: </w:t>
      </w:r>
      <w:r>
        <w:rPr>
          <w:rFonts w:ascii="Calibri" w:cs="Calibri" w:eastAsia="Calibri" w:hAnsi="Calibri"/>
          <w:sz w:val="15"/>
          <w:szCs w:val="15"/>
          <w:color w:val="auto"/>
        </w:rPr>
        <w:t>Due to positve results through the trading strategies at Credicorp Capital Colombia and ASB.</w:t>
      </w: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37" w:name="page38"/>
    <w:bookmarkEnd w:id="37"/>
    <w:p>
      <w:pPr>
        <w:jc w:val="both"/>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10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2" w:lineRule="exact"/>
        <w:rPr>
          <w:sz w:val="20"/>
          <w:szCs w:val="20"/>
          <w:color w:val="auto"/>
        </w:rPr>
      </w:pPr>
    </w:p>
    <w:p>
      <w:pPr>
        <w:spacing w:after="0"/>
        <w:rPr>
          <w:sz w:val="20"/>
          <w:szCs w:val="20"/>
          <w:color w:val="auto"/>
        </w:rPr>
      </w:pPr>
      <w:r>
        <w:rPr>
          <w:rFonts w:ascii="Calibri" w:cs="Calibri" w:eastAsia="Calibri" w:hAnsi="Calibri"/>
          <w:sz w:val="44"/>
          <w:szCs w:val="44"/>
          <w:b w:val="1"/>
          <w:bCs w:val="1"/>
          <w:color w:val="E93CAC"/>
        </w:rPr>
        <w:t xml:space="preserve">07 </w:t>
      </w:r>
      <w:r>
        <w:rPr>
          <w:rFonts w:ascii="Calibri" w:cs="Calibri" w:eastAsia="Calibri" w:hAnsi="Calibri"/>
          <w:sz w:val="27"/>
          <w:szCs w:val="27"/>
          <w:b w:val="1"/>
          <w:bCs w:val="1"/>
          <w:color w:val="E93CAC"/>
        </w:rPr>
        <w:t>Insurance Underwritng Results</w:t>
      </w:r>
    </w:p>
    <w:p>
      <w:pPr>
        <w:spacing w:after="0" w:line="164" w:lineRule="exact"/>
        <w:rPr>
          <w:sz w:val="20"/>
          <w:szCs w:val="20"/>
          <w:color w:val="auto"/>
        </w:rPr>
      </w:pPr>
    </w:p>
    <w:p>
      <w:pPr>
        <w:ind w:left="20"/>
        <w:spacing w:after="0"/>
        <w:rPr>
          <w:sz w:val="20"/>
          <w:szCs w:val="20"/>
          <w:color w:val="auto"/>
        </w:rPr>
      </w:pPr>
      <w:r>
        <w:rPr>
          <w:rFonts w:ascii="Calibri" w:cs="Calibri" w:eastAsia="Calibri" w:hAnsi="Calibri"/>
          <w:sz w:val="21"/>
          <w:szCs w:val="21"/>
          <w:color w:val="E93CAC"/>
        </w:rPr>
        <w:t>Introducton of IFRS 17</w:t>
      </w:r>
    </w:p>
    <w:p>
      <w:pPr>
        <w:spacing w:after="0" w:line="122"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Insurance contracts combine service and fnancial aspects and, in many cases, generate long-term variable cash fows. To adequately refect the impact of these aspects, IFRS 17 combines measuring future cash fows with reportng of insurance contract results during the period that the service is provided. This requires companies to present separate results for insurance, reinsurance and fnancial results.</w:t>
      </w:r>
    </w:p>
    <w:p>
      <w:pPr>
        <w:spacing w:after="0" w:line="127" w:lineRule="exact"/>
        <w:rPr>
          <w:sz w:val="20"/>
          <w:szCs w:val="20"/>
          <w:color w:val="auto"/>
        </w:rPr>
      </w:pPr>
    </w:p>
    <w:p>
      <w:pPr>
        <w:jc w:val="both"/>
        <w:spacing w:after="0" w:line="236" w:lineRule="auto"/>
        <w:rPr>
          <w:sz w:val="20"/>
          <w:szCs w:val="20"/>
          <w:color w:val="auto"/>
        </w:rPr>
      </w:pPr>
      <w:r>
        <w:rPr>
          <w:rFonts w:ascii="Calibri" w:cs="Calibri" w:eastAsia="Calibri" w:hAnsi="Calibri"/>
          <w:sz w:val="15"/>
          <w:szCs w:val="15"/>
          <w:color w:val="auto"/>
        </w:rPr>
        <w:t>IFRS was issued in 2017 to replace IFRS 4 “Insurance Contracts” to ensure that companies apply consistent criteria to improve the usefulness, transparency and comparability of Financial Statements. The standard went into efect in January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128905</wp:posOffset>
            </wp:positionV>
            <wp:extent cx="6433820" cy="12827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33820" cy="1282700"/>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p>
      <w:pPr>
        <w:spacing w:after="0" w:line="245" w:lineRule="exact"/>
        <w:rPr>
          <w:sz w:val="20"/>
          <w:szCs w:val="20"/>
          <w:color w:val="auto"/>
        </w:rPr>
      </w:pPr>
    </w:p>
    <w:p>
      <w:pPr>
        <w:ind w:left="2560"/>
        <w:spacing w:after="0"/>
        <w:rPr>
          <w:sz w:val="20"/>
          <w:szCs w:val="20"/>
          <w:color w:val="auto"/>
        </w:rPr>
      </w:pPr>
      <w:r>
        <w:rPr>
          <w:rFonts w:ascii="Arial" w:cs="Arial" w:eastAsia="Arial" w:hAnsi="Arial"/>
          <w:sz w:val="15"/>
          <w:szCs w:val="15"/>
          <w:b w:val="1"/>
          <w:bCs w:val="1"/>
          <w:color w:val="auto"/>
        </w:rPr>
        <w:t>Components</w:t>
      </w:r>
    </w:p>
    <w:p>
      <w:pPr>
        <w:spacing w:after="0" w:line="338" w:lineRule="exact"/>
        <w:rPr>
          <w:sz w:val="20"/>
          <w:szCs w:val="20"/>
          <w:color w:val="auto"/>
        </w:rPr>
      </w:pPr>
    </w:p>
    <w:p>
      <w:pPr>
        <w:ind w:left="620"/>
        <w:spacing w:after="0" w:line="236" w:lineRule="auto"/>
        <w:rPr>
          <w:sz w:val="20"/>
          <w:szCs w:val="20"/>
          <w:color w:val="auto"/>
        </w:rPr>
      </w:pPr>
      <w:r>
        <w:rPr>
          <w:rFonts w:ascii="Calibri" w:cs="Calibri" w:eastAsia="Calibri" w:hAnsi="Calibri"/>
          <w:sz w:val="14"/>
          <w:szCs w:val="14"/>
          <w:b w:val="1"/>
          <w:bCs w:val="1"/>
          <w:color w:val="auto"/>
        </w:rPr>
        <w:t xml:space="preserve">Cash fows </w:t>
      </w:r>
      <w:r>
        <w:rPr>
          <w:rFonts w:ascii="Calibri" w:cs="Calibri" w:eastAsia="Calibri" w:hAnsi="Calibri"/>
          <w:sz w:val="14"/>
          <w:szCs w:val="14"/>
          <w:color w:val="auto"/>
        </w:rPr>
        <w:t>(premiums, claims and expenses), adjusted according to the discount rate.</w:t>
      </w:r>
      <w:r>
        <w:rPr>
          <w:rFonts w:ascii="Calibri" w:cs="Calibri" w:eastAsia="Calibri" w:hAnsi="Calibri"/>
          <w:sz w:val="14"/>
          <w:szCs w:val="14"/>
          <w:b w:val="1"/>
          <w:bCs w:val="1"/>
          <w:color w:val="auto"/>
        </w:rPr>
        <w:t xml:space="preserve"> Risk adjustment (RA)</w:t>
      </w:r>
      <w:r>
        <w:rPr>
          <w:rFonts w:ascii="Calibri" w:cs="Calibri" w:eastAsia="Calibri" w:hAnsi="Calibri"/>
          <w:sz w:val="14"/>
          <w:szCs w:val="14"/>
          <w:color w:val="auto"/>
        </w:rPr>
        <w:t>, compensaton required for assuming non-fnancial risk.</w:t>
      </w:r>
      <w:r>
        <w:rPr>
          <w:rFonts w:ascii="Calibri" w:cs="Calibri" w:eastAsia="Calibri" w:hAnsi="Calibri"/>
          <w:sz w:val="14"/>
          <w:szCs w:val="14"/>
          <w:b w:val="1"/>
          <w:bCs w:val="1"/>
          <w:color w:val="auto"/>
        </w:rPr>
        <w:t xml:space="preserve"> Contractual service margin (CSM)</w:t>
      </w:r>
      <w:r>
        <w:rPr>
          <w:rFonts w:ascii="Calibri" w:cs="Calibri" w:eastAsia="Calibri" w:hAnsi="Calibri"/>
          <w:sz w:val="14"/>
          <w:szCs w:val="14"/>
          <w:color w:val="auto"/>
        </w:rPr>
        <w:t>, which represents unearned underwritng income</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that is recognized as income during the coverage period</w:t>
      </w:r>
    </w:p>
    <w:p>
      <w:pPr>
        <w:spacing w:after="0" w:line="167" w:lineRule="exact"/>
        <w:rPr>
          <w:sz w:val="20"/>
          <w:szCs w:val="20"/>
          <w:color w:val="auto"/>
        </w:rPr>
      </w:pPr>
    </w:p>
    <w:p>
      <w:pPr>
        <w:ind w:left="620"/>
        <w:spacing w:after="0" w:line="233" w:lineRule="auto"/>
        <w:rPr>
          <w:sz w:val="20"/>
          <w:szCs w:val="20"/>
          <w:color w:val="auto"/>
        </w:rPr>
      </w:pPr>
      <w:r>
        <w:rPr>
          <w:rFonts w:ascii="Calibri" w:cs="Calibri" w:eastAsia="Calibri" w:hAnsi="Calibri"/>
          <w:sz w:val="14"/>
          <w:szCs w:val="14"/>
          <w:color w:val="auto"/>
        </w:rPr>
        <w:t>These components are subject to updates of cash fows based on estmates of the amount, temporality and risk of fows and discount rates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5"/>
          <w:szCs w:val="15"/>
          <w:b w:val="1"/>
          <w:bCs w:val="1"/>
          <w:color w:val="auto"/>
        </w:rPr>
        <w:t>Benefits</w:t>
      </w:r>
    </w:p>
    <w:p>
      <w:pPr>
        <w:spacing w:after="0" w:line="304" w:lineRule="exact"/>
        <w:rPr>
          <w:sz w:val="20"/>
          <w:szCs w:val="20"/>
          <w:color w:val="auto"/>
        </w:rPr>
      </w:pPr>
    </w:p>
    <w:p>
      <w:pPr>
        <w:jc w:val="both"/>
        <w:ind w:right="640"/>
        <w:spacing w:after="0" w:line="233" w:lineRule="auto"/>
        <w:rPr>
          <w:sz w:val="20"/>
          <w:szCs w:val="20"/>
          <w:color w:val="auto"/>
        </w:rPr>
      </w:pPr>
      <w:r>
        <w:rPr>
          <w:rFonts w:ascii="Calibri" w:cs="Calibri" w:eastAsia="Calibri" w:hAnsi="Calibri"/>
          <w:sz w:val="14"/>
          <w:szCs w:val="14"/>
          <w:b w:val="1"/>
          <w:bCs w:val="1"/>
          <w:color w:val="auto"/>
        </w:rPr>
        <w:t xml:space="preserve">Improves the comparability of insurance enttes at a global level. </w:t>
      </w:r>
      <w:r>
        <w:rPr>
          <w:rFonts w:ascii="Calibri" w:cs="Calibri" w:eastAsia="Calibri" w:hAnsi="Calibri"/>
          <w:sz w:val="14"/>
          <w:szCs w:val="14"/>
          <w:color w:val="auto"/>
        </w:rPr>
        <w:t>IFRS 4 allowed</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enttes to use a broad range of accountng practces for insurance contracts.</w:t>
      </w:r>
    </w:p>
    <w:p>
      <w:pPr>
        <w:spacing w:after="0" w:line="133" w:lineRule="exact"/>
        <w:rPr>
          <w:sz w:val="20"/>
          <w:szCs w:val="20"/>
          <w:color w:val="auto"/>
        </w:rPr>
      </w:pPr>
    </w:p>
    <w:p>
      <w:pPr>
        <w:jc w:val="both"/>
        <w:ind w:right="620"/>
        <w:spacing w:after="0" w:line="235" w:lineRule="auto"/>
        <w:rPr>
          <w:sz w:val="20"/>
          <w:szCs w:val="20"/>
          <w:color w:val="auto"/>
        </w:rPr>
      </w:pPr>
      <w:r>
        <w:rPr>
          <w:rFonts w:ascii="Calibri" w:cs="Calibri" w:eastAsia="Calibri" w:hAnsi="Calibri"/>
          <w:sz w:val="14"/>
          <w:szCs w:val="14"/>
          <w:b w:val="1"/>
          <w:bCs w:val="1"/>
          <w:color w:val="auto"/>
        </w:rPr>
        <w:t xml:space="preserve">Adequately refects the economic value of insurance contracts. </w:t>
      </w:r>
      <w:r>
        <w:rPr>
          <w:rFonts w:ascii="Calibri" w:cs="Calibri" w:eastAsia="Calibri" w:hAnsi="Calibri"/>
          <w:sz w:val="14"/>
          <w:szCs w:val="14"/>
          <w:color w:val="auto"/>
        </w:rPr>
        <w:t>Some previous</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practces for insurance accountng permited under IFRS did not adequately refect true underlying fnancial situatons or the fnancial yields of these insurance contracts.</w:t>
      </w:r>
    </w:p>
    <w:p>
      <w:pPr>
        <w:spacing w:after="0" w:line="11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Provides beter informaton to users of fnancial statements.</w:t>
      </w:r>
    </w:p>
    <w:p>
      <w:pPr>
        <w:spacing w:after="0" w:line="200" w:lineRule="exact"/>
        <w:rPr>
          <w:sz w:val="20"/>
          <w:szCs w:val="20"/>
          <w:color w:val="auto"/>
        </w:rPr>
      </w:pPr>
    </w:p>
    <w:p>
      <w:pPr>
        <w:sectPr>
          <w:pgSz w:w="11900" w:h="16838" w:orient="portrait"/>
          <w:cols w:equalWidth="0" w:num="2">
            <w:col w:w="5440" w:space="340"/>
            <w:col w:w="5480"/>
          </w:cols>
          <w:pgMar w:left="320" w:top="331" w:right="31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Calibri" w:cs="Calibri" w:eastAsia="Calibri" w:hAnsi="Calibri"/>
          <w:sz w:val="21"/>
          <w:szCs w:val="21"/>
          <w:color w:val="E93CAC"/>
        </w:rPr>
        <w:t>Valuaton methods</w:t>
      </w:r>
    </w:p>
    <w:p>
      <w:pPr>
        <w:spacing w:after="0" w:line="119" w:lineRule="exact"/>
        <w:rPr>
          <w:sz w:val="20"/>
          <w:szCs w:val="20"/>
          <w:color w:val="auto"/>
        </w:rPr>
      </w:pPr>
    </w:p>
    <w:p>
      <w:pPr>
        <w:spacing w:after="0"/>
        <w:rPr>
          <w:sz w:val="20"/>
          <w:szCs w:val="20"/>
          <w:color w:val="auto"/>
        </w:rPr>
      </w:pPr>
      <w:r>
        <w:rPr>
          <w:rFonts w:ascii="Calibri" w:cs="Calibri" w:eastAsia="Calibri" w:hAnsi="Calibri"/>
          <w:sz w:val="15"/>
          <w:szCs w:val="15"/>
          <w:color w:val="auto"/>
        </w:rPr>
        <w:t>IFRS 17 introduces diferent approaches to valuing underwritng provisions based on the product’s characteristcs (Contract duraton, cash fow)</w:t>
      </w:r>
    </w:p>
    <w:p>
      <w:pPr>
        <w:spacing w:after="0" w:line="123" w:lineRule="exact"/>
        <w:rPr>
          <w:sz w:val="20"/>
          <w:szCs w:val="20"/>
          <w:color w:val="auto"/>
        </w:rPr>
      </w:pPr>
    </w:p>
    <w:p>
      <w:pPr>
        <w:ind w:left="540" w:hanging="277"/>
        <w:spacing w:after="0"/>
        <w:tabs>
          <w:tab w:leader="none" w:pos="540" w:val="left"/>
        </w:tabs>
        <w:numPr>
          <w:ilvl w:val="0"/>
          <w:numId w:val="39"/>
        </w:numPr>
        <w:rPr>
          <w:rFonts w:ascii="Arial" w:cs="Arial" w:eastAsia="Arial" w:hAnsi="Arial"/>
          <w:sz w:val="15"/>
          <w:szCs w:val="15"/>
          <w:color w:val="auto"/>
        </w:rPr>
      </w:pPr>
      <w:r>
        <w:rPr>
          <w:rFonts w:ascii="Calibri" w:cs="Calibri" w:eastAsia="Calibri" w:hAnsi="Calibri"/>
          <w:sz w:val="15"/>
          <w:szCs w:val="15"/>
          <w:b w:val="1"/>
          <w:bCs w:val="1"/>
          <w:color w:val="auto"/>
        </w:rPr>
        <w:t xml:space="preserve">Premium Allocaton Approach (PAA): </w:t>
      </w:r>
      <w:r>
        <w:rPr>
          <w:rFonts w:ascii="Calibri" w:cs="Calibri" w:eastAsia="Calibri" w:hAnsi="Calibri"/>
          <w:sz w:val="15"/>
          <w:szCs w:val="15"/>
          <w:color w:val="auto"/>
        </w:rPr>
        <w:t>simplifcaton of the general measurement model.</w:t>
      </w:r>
    </w:p>
    <w:p>
      <w:pPr>
        <w:spacing w:after="0" w:line="23" w:lineRule="exact"/>
        <w:rPr>
          <w:rFonts w:ascii="Arial" w:cs="Arial" w:eastAsia="Arial" w:hAnsi="Arial"/>
          <w:sz w:val="15"/>
          <w:szCs w:val="15"/>
          <w:color w:val="auto"/>
        </w:rPr>
      </w:pPr>
    </w:p>
    <w:p>
      <w:pPr>
        <w:ind w:left="540" w:hanging="277"/>
        <w:spacing w:after="0" w:line="207" w:lineRule="auto"/>
        <w:tabs>
          <w:tab w:leader="none" w:pos="540" w:val="left"/>
        </w:tabs>
        <w:numPr>
          <w:ilvl w:val="0"/>
          <w:numId w:val="39"/>
        </w:numPr>
        <w:rPr>
          <w:rFonts w:ascii="Arial" w:cs="Arial" w:eastAsia="Arial" w:hAnsi="Arial"/>
          <w:sz w:val="15"/>
          <w:szCs w:val="15"/>
          <w:color w:val="auto"/>
        </w:rPr>
      </w:pPr>
      <w:r>
        <w:rPr>
          <w:rFonts w:ascii="Calibri" w:cs="Calibri" w:eastAsia="Calibri" w:hAnsi="Calibri"/>
          <w:sz w:val="15"/>
          <w:szCs w:val="15"/>
          <w:b w:val="1"/>
          <w:bCs w:val="1"/>
          <w:color w:val="auto"/>
        </w:rPr>
        <w:t xml:space="preserve">Building Block Approach (BBA): </w:t>
      </w:r>
      <w:r>
        <w:rPr>
          <w:rFonts w:ascii="Calibri" w:cs="Calibri" w:eastAsia="Calibri" w:hAnsi="Calibri"/>
          <w:sz w:val="15"/>
          <w:szCs w:val="15"/>
          <w:color w:val="auto"/>
        </w:rPr>
        <w:t>general measurement model for default valuaton of insurance contracts.</w:t>
      </w:r>
    </w:p>
    <w:p>
      <w:pPr>
        <w:spacing w:after="0" w:line="23" w:lineRule="exact"/>
        <w:rPr>
          <w:rFonts w:ascii="Arial" w:cs="Arial" w:eastAsia="Arial" w:hAnsi="Arial"/>
          <w:sz w:val="15"/>
          <w:szCs w:val="15"/>
          <w:color w:val="auto"/>
        </w:rPr>
      </w:pPr>
    </w:p>
    <w:p>
      <w:pPr>
        <w:ind w:left="540" w:hanging="277"/>
        <w:spacing w:after="0" w:line="207" w:lineRule="auto"/>
        <w:tabs>
          <w:tab w:leader="none" w:pos="540" w:val="left"/>
        </w:tabs>
        <w:numPr>
          <w:ilvl w:val="0"/>
          <w:numId w:val="39"/>
        </w:numPr>
        <w:rPr>
          <w:rFonts w:ascii="Arial" w:cs="Arial" w:eastAsia="Arial" w:hAnsi="Arial"/>
          <w:sz w:val="15"/>
          <w:szCs w:val="15"/>
          <w:color w:val="auto"/>
        </w:rPr>
      </w:pPr>
      <w:r>
        <w:rPr>
          <w:rFonts w:ascii="Calibri" w:cs="Calibri" w:eastAsia="Calibri" w:hAnsi="Calibri"/>
          <w:sz w:val="15"/>
          <w:szCs w:val="15"/>
          <w:b w:val="1"/>
          <w:bCs w:val="1"/>
          <w:color w:val="auto"/>
        </w:rPr>
        <w:t xml:space="preserve">Variable Fee Approach (VFA): </w:t>
      </w:r>
      <w:r>
        <w:rPr>
          <w:rFonts w:ascii="Calibri" w:cs="Calibri" w:eastAsia="Calibri" w:hAnsi="Calibri"/>
          <w:sz w:val="15"/>
          <w:szCs w:val="15"/>
          <w:color w:val="auto"/>
        </w:rPr>
        <w:t>model for contract valuaton where cash fows depend on the value of the underlying assets that back said contracts.</w:t>
      </w: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type w:val="continuous"/>
        </w:sectPr>
      </w:pPr>
    </w:p>
    <w:bookmarkStart w:id="38" w:name="page39"/>
    <w:bookmarkEnd w:id="38"/>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10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153910" cy="2305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07. Insurance Underwritng Results</w:t>
      </w:r>
    </w:p>
    <w:p>
      <w:pPr>
        <w:spacing w:after="0" w:line="274" w:lineRule="exact"/>
        <w:rPr>
          <w:sz w:val="20"/>
          <w:szCs w:val="20"/>
          <w:color w:val="auto"/>
        </w:rPr>
      </w:pPr>
    </w:p>
    <w:p>
      <w:pPr>
        <w:ind w:left="9"/>
        <w:spacing w:after="0"/>
        <w:rPr>
          <w:sz w:val="20"/>
          <w:szCs w:val="20"/>
          <w:color w:val="auto"/>
        </w:rPr>
      </w:pPr>
      <w:r>
        <w:rPr>
          <w:rFonts w:ascii="Calibri" w:cs="Calibri" w:eastAsia="Calibri" w:hAnsi="Calibri"/>
          <w:sz w:val="21"/>
          <w:szCs w:val="21"/>
          <w:color w:val="E93CAC"/>
        </w:rPr>
        <w:t>Insurance Underwritng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153910" cy="4464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3910" cy="446405"/>
                    </a:xfrm>
                    <a:prstGeom prst="rect">
                      <a:avLst/>
                    </a:prstGeom>
                    <a:noFill/>
                  </pic:spPr>
                </pic:pic>
              </a:graphicData>
            </a:graphic>
          </wp:anchor>
        </w:drawing>
      </w:r>
    </w:p>
    <w:p>
      <w:pPr>
        <w:spacing w:after="0" w:line="193" w:lineRule="exact"/>
        <w:rPr>
          <w:sz w:val="20"/>
          <w:szCs w:val="20"/>
          <w:color w:val="auto"/>
        </w:rPr>
      </w:pPr>
    </w:p>
    <w:p>
      <w:pPr>
        <w:jc w:val="both"/>
        <w:ind w:left="109" w:right="100"/>
        <w:spacing w:after="0" w:line="237" w:lineRule="auto"/>
        <w:rPr>
          <w:sz w:val="20"/>
          <w:szCs w:val="20"/>
          <w:color w:val="auto"/>
        </w:rPr>
      </w:pPr>
      <w:r>
        <w:rPr>
          <w:rFonts w:ascii="Calibri" w:cs="Calibri" w:eastAsia="Calibri" w:hAnsi="Calibri"/>
          <w:sz w:val="15"/>
          <w:szCs w:val="15"/>
          <w:color w:val="FFFFFF"/>
        </w:rPr>
        <w:t>The insurance underwritng result rose 43.4% YoY due to an improvement in the results of Life Insurance. This evoluton was atenuated by a drop in P&amp;C’s results. The uptck in Life was mainly driven by D&amp;S and Credit Life, which refects growth in premiums due to an increase in sales and price adjustments and to a drop in claims for both regular cases and COVID-19. The decrease in P&amp;C’s results refects an uptck in claims in P&amp;C Risks and Cars.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-332105</wp:posOffset>
            </wp:positionV>
            <wp:extent cx="7082155" cy="396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82155" cy="396240"/>
                    </a:xfrm>
                    <a:prstGeom prst="rect">
                      <a:avLst/>
                    </a:prstGeom>
                    <a:noFill/>
                  </pic:spPr>
                </pic:pic>
              </a:graphicData>
            </a:graphic>
          </wp:anchor>
        </w:drawing>
      </w:r>
    </w:p>
    <w:p>
      <w:pPr>
        <w:spacing w:after="0" w:line="264" w:lineRule="exact"/>
        <w:rPr>
          <w:sz w:val="20"/>
          <w:szCs w:val="20"/>
          <w:color w:val="auto"/>
        </w:rPr>
      </w:pPr>
    </w:p>
    <w:tbl>
      <w:tblPr>
        <w:tblLayout w:type="fixed"/>
        <w:tblInd w:w="19" w:type="dxa"/>
        <w:tblCellMar>
          <w:top w:w="0" w:type="dxa"/>
          <w:left w:w="0" w:type="dxa"/>
          <w:bottom w:w="0" w:type="dxa"/>
          <w:right w:w="0" w:type="dxa"/>
        </w:tblCellMar>
      </w:tblPr>
      <w:tr>
        <w:trPr>
          <w:trHeight w:val="182"/>
        </w:trPr>
        <w:tc>
          <w:tcPr>
            <w:tcW w:w="2460" w:type="dxa"/>
            <w:vAlign w:val="bottom"/>
            <w:tcBorders>
              <w:top w:val="single" w:sz="8" w:color="auto"/>
              <w:left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14"/>
                <w:szCs w:val="14"/>
                <w:b w:val="1"/>
                <w:bCs w:val="1"/>
                <w:color w:val="FFFFFF"/>
              </w:rPr>
              <w:t>Insurance Underwriting Results</w:t>
            </w:r>
          </w:p>
        </w:tc>
        <w:tc>
          <w:tcPr>
            <w:tcW w:w="1540" w:type="dxa"/>
            <w:vAlign w:val="bottom"/>
            <w:tcBorders>
              <w:top w:val="single" w:sz="8" w:color="auto"/>
              <w:right w:val="single" w:sz="8" w:color="auto"/>
            </w:tcBorders>
            <w:gridSpan w:val="2"/>
            <w:shd w:val="clear" w:color="auto" w:fill="2AD2C9"/>
          </w:tcPr>
          <w:p>
            <w:pPr>
              <w:ind w:left="520"/>
              <w:spacing w:after="0"/>
              <w:rPr>
                <w:sz w:val="20"/>
                <w:szCs w:val="20"/>
                <w:color w:val="auto"/>
              </w:rPr>
            </w:pPr>
            <w:r>
              <w:rPr>
                <w:rFonts w:ascii="Arial" w:cs="Arial" w:eastAsia="Arial" w:hAnsi="Arial"/>
                <w:sz w:val="14"/>
                <w:szCs w:val="14"/>
                <w:b w:val="1"/>
                <w:bCs w:val="1"/>
                <w:color w:val="FFFFFF"/>
              </w:rPr>
              <w:t>Quarter</w:t>
            </w:r>
          </w:p>
        </w:tc>
        <w:tc>
          <w:tcPr>
            <w:tcW w:w="72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2"/>
                <w:szCs w:val="12"/>
                <w:b w:val="1"/>
                <w:bCs w:val="1"/>
                <w:color w:val="FFFFFF"/>
                <w:w w:val="99"/>
              </w:rPr>
              <w:t>% Change</w:t>
            </w:r>
          </w:p>
        </w:tc>
        <w:tc>
          <w:tcPr>
            <w:tcW w:w="900" w:type="dxa"/>
            <w:vAlign w:val="bottom"/>
            <w:tcBorders>
              <w:top w:val="single" w:sz="8" w:color="auto"/>
            </w:tcBorders>
            <w:shd w:val="clear" w:color="auto" w:fill="2AD2C9"/>
          </w:tcPr>
          <w:p>
            <w:pPr>
              <w:ind w:left="660"/>
              <w:spacing w:after="0"/>
              <w:rPr>
                <w:sz w:val="20"/>
                <w:szCs w:val="20"/>
                <w:color w:val="auto"/>
              </w:rPr>
            </w:pPr>
            <w:r>
              <w:rPr>
                <w:rFonts w:ascii="Arial" w:cs="Arial" w:eastAsia="Arial" w:hAnsi="Arial"/>
                <w:sz w:val="14"/>
                <w:szCs w:val="14"/>
                <w:b w:val="1"/>
                <w:bCs w:val="1"/>
                <w:color w:val="FFFFFF"/>
                <w:w w:val="88"/>
              </w:rPr>
              <w:t>Life</w:t>
            </w:r>
          </w:p>
        </w:tc>
        <w:tc>
          <w:tcPr>
            <w:tcW w:w="680" w:type="dxa"/>
            <w:vAlign w:val="bottom"/>
            <w:tcBorders>
              <w:top w:val="single" w:sz="8" w:color="auto"/>
              <w:right w:val="single" w:sz="8" w:color="auto"/>
            </w:tcBorders>
            <w:shd w:val="clear" w:color="auto" w:fill="2AD2C9"/>
          </w:tcPr>
          <w:p>
            <w:pPr>
              <w:spacing w:after="0"/>
              <w:rPr>
                <w:sz w:val="15"/>
                <w:szCs w:val="15"/>
                <w:color w:val="auto"/>
              </w:rPr>
            </w:pPr>
          </w:p>
        </w:tc>
        <w:tc>
          <w:tcPr>
            <w:tcW w:w="72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2"/>
                <w:szCs w:val="12"/>
                <w:b w:val="1"/>
                <w:bCs w:val="1"/>
                <w:color w:val="FFFFFF"/>
                <w:w w:val="99"/>
              </w:rPr>
              <w:t>% Change</w:t>
            </w:r>
          </w:p>
        </w:tc>
        <w:tc>
          <w:tcPr>
            <w:tcW w:w="1580" w:type="dxa"/>
            <w:vAlign w:val="bottom"/>
            <w:tcBorders>
              <w:top w:val="single" w:sz="8" w:color="auto"/>
              <w:right w:val="single" w:sz="8" w:color="auto"/>
            </w:tcBorders>
            <w:gridSpan w:val="2"/>
            <w:shd w:val="clear" w:color="auto" w:fill="2AD2C9"/>
          </w:tcPr>
          <w:p>
            <w:pPr>
              <w:ind w:left="640"/>
              <w:spacing w:after="0"/>
              <w:rPr>
                <w:sz w:val="20"/>
                <w:szCs w:val="20"/>
                <w:color w:val="auto"/>
              </w:rPr>
            </w:pPr>
            <w:r>
              <w:rPr>
                <w:rFonts w:ascii="Arial" w:cs="Arial" w:eastAsia="Arial" w:hAnsi="Arial"/>
                <w:sz w:val="14"/>
                <w:szCs w:val="14"/>
                <w:b w:val="1"/>
                <w:bCs w:val="1"/>
                <w:color w:val="FFFFFF"/>
              </w:rPr>
              <w:t>P&amp;C</w:t>
            </w:r>
          </w:p>
        </w:tc>
        <w:tc>
          <w:tcPr>
            <w:tcW w:w="72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2"/>
                <w:szCs w:val="12"/>
                <w:b w:val="1"/>
                <w:bCs w:val="1"/>
                <w:color w:val="FFFFFF"/>
                <w:w w:val="99"/>
              </w:rPr>
              <w:t>% Change</w:t>
            </w:r>
          </w:p>
        </w:tc>
        <w:tc>
          <w:tcPr>
            <w:tcW w:w="1320" w:type="dxa"/>
            <w:vAlign w:val="bottom"/>
            <w:tcBorders>
              <w:top w:val="single" w:sz="8" w:color="auto"/>
              <w:right w:val="single" w:sz="8" w:color="auto"/>
            </w:tcBorders>
            <w:gridSpan w:val="2"/>
            <w:shd w:val="clear" w:color="auto" w:fill="2AD2C9"/>
          </w:tcPr>
          <w:p>
            <w:pPr>
              <w:ind w:left="220"/>
              <w:spacing w:after="0"/>
              <w:rPr>
                <w:sz w:val="20"/>
                <w:szCs w:val="20"/>
                <w:color w:val="auto"/>
              </w:rPr>
            </w:pPr>
            <w:r>
              <w:rPr>
                <w:rFonts w:ascii="Arial" w:cs="Arial" w:eastAsia="Arial" w:hAnsi="Arial"/>
                <w:sz w:val="14"/>
                <w:szCs w:val="14"/>
                <w:b w:val="1"/>
                <w:bCs w:val="1"/>
                <w:color w:val="FFFFFF"/>
              </w:rPr>
              <w:t>Crediseguros</w:t>
            </w:r>
          </w:p>
        </w:tc>
        <w:tc>
          <w:tcPr>
            <w:tcW w:w="620" w:type="dxa"/>
            <w:vAlign w:val="bottom"/>
            <w:tcBorders>
              <w:top w:val="single" w:sz="8" w:color="auto"/>
              <w:right w:val="single" w:sz="8" w:color="auto"/>
            </w:tcBorders>
            <w:shd w:val="clear" w:color="auto" w:fill="2AD2C9"/>
          </w:tcPr>
          <w:p>
            <w:pPr>
              <w:jc w:val="right"/>
              <w:spacing w:after="0"/>
              <w:rPr>
                <w:sz w:val="20"/>
                <w:szCs w:val="20"/>
                <w:color w:val="auto"/>
              </w:rPr>
            </w:pPr>
            <w:r>
              <w:rPr>
                <w:rFonts w:ascii="Arial" w:cs="Arial" w:eastAsia="Arial" w:hAnsi="Arial"/>
                <w:sz w:val="12"/>
                <w:szCs w:val="12"/>
                <w:b w:val="1"/>
                <w:bCs w:val="1"/>
                <w:color w:val="FFFFFF"/>
                <w:w w:val="99"/>
              </w:rPr>
              <w:t>% Change</w:t>
            </w:r>
          </w:p>
        </w:tc>
      </w:tr>
      <w:tr>
        <w:trPr>
          <w:trHeight w:val="162"/>
        </w:trPr>
        <w:tc>
          <w:tcPr>
            <w:tcW w:w="246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760" w:type="dxa"/>
            <w:vAlign w:val="bottom"/>
            <w:tcBorders>
              <w:bottom w:val="single" w:sz="8" w:color="auto"/>
            </w:tcBorders>
            <w:shd w:val="clear" w:color="auto" w:fill="2AD2C9"/>
          </w:tcPr>
          <w:p>
            <w:pPr>
              <w:jc w:val="center"/>
              <w:spacing w:after="0" w:line="159" w:lineRule="exact"/>
              <w:rPr>
                <w:sz w:val="20"/>
                <w:szCs w:val="20"/>
                <w:color w:val="auto"/>
              </w:rPr>
            </w:pPr>
            <w:r>
              <w:rPr>
                <w:rFonts w:ascii="Arial" w:cs="Arial" w:eastAsia="Arial" w:hAnsi="Arial"/>
                <w:sz w:val="14"/>
                <w:szCs w:val="14"/>
                <w:b w:val="1"/>
                <w:bCs w:val="1"/>
                <w:color w:val="FFFFFF"/>
                <w:w w:val="99"/>
              </w:rPr>
              <w:t>1Q22</w:t>
            </w:r>
          </w:p>
        </w:tc>
        <w:tc>
          <w:tcPr>
            <w:tcW w:w="780" w:type="dxa"/>
            <w:vAlign w:val="bottom"/>
            <w:tcBorders>
              <w:bottom w:val="single" w:sz="8" w:color="auto"/>
              <w:right w:val="single" w:sz="8" w:color="auto"/>
            </w:tcBorders>
            <w:shd w:val="clear" w:color="auto" w:fill="2AD2C9"/>
          </w:tcPr>
          <w:p>
            <w:pPr>
              <w:jc w:val="center"/>
              <w:spacing w:after="0" w:line="159" w:lineRule="exact"/>
              <w:rPr>
                <w:sz w:val="20"/>
                <w:szCs w:val="20"/>
                <w:color w:val="auto"/>
              </w:rPr>
            </w:pPr>
            <w:r>
              <w:rPr>
                <w:rFonts w:ascii="Arial" w:cs="Arial" w:eastAsia="Arial" w:hAnsi="Arial"/>
                <w:sz w:val="14"/>
                <w:szCs w:val="14"/>
                <w:b w:val="1"/>
                <w:bCs w:val="1"/>
                <w:color w:val="FFFFFF"/>
                <w:w w:val="93"/>
              </w:rPr>
              <w:t>1Q23</w:t>
            </w:r>
          </w:p>
        </w:tc>
        <w:tc>
          <w:tcPr>
            <w:tcW w:w="720" w:type="dxa"/>
            <w:vAlign w:val="bottom"/>
            <w:tcBorders>
              <w:bottom w:val="single" w:sz="8" w:color="auto"/>
              <w:right w:val="single" w:sz="8" w:color="auto"/>
            </w:tcBorders>
            <w:shd w:val="clear" w:color="auto" w:fill="2AD2C9"/>
          </w:tcPr>
          <w:p>
            <w:pPr>
              <w:jc w:val="center"/>
              <w:spacing w:after="0" w:line="159" w:lineRule="exact"/>
              <w:rPr>
                <w:sz w:val="20"/>
                <w:szCs w:val="20"/>
                <w:color w:val="auto"/>
              </w:rPr>
            </w:pPr>
            <w:r>
              <w:rPr>
                <w:rFonts w:ascii="Arial" w:cs="Arial" w:eastAsia="Arial" w:hAnsi="Arial"/>
                <w:sz w:val="14"/>
                <w:szCs w:val="14"/>
                <w:b w:val="1"/>
                <w:bCs w:val="1"/>
                <w:color w:val="FFFFFF"/>
                <w:w w:val="95"/>
              </w:rPr>
              <w:t>YoY</w:t>
            </w:r>
          </w:p>
        </w:tc>
        <w:tc>
          <w:tcPr>
            <w:tcW w:w="900" w:type="dxa"/>
            <w:vAlign w:val="bottom"/>
            <w:tcBorders>
              <w:bottom w:val="single" w:sz="8" w:color="auto"/>
            </w:tcBorders>
            <w:shd w:val="clear" w:color="auto" w:fill="2AD2C9"/>
          </w:tcPr>
          <w:p>
            <w:pPr>
              <w:jc w:val="center"/>
              <w:ind w:right="57"/>
              <w:spacing w:after="0" w:line="159" w:lineRule="exact"/>
              <w:rPr>
                <w:sz w:val="20"/>
                <w:szCs w:val="20"/>
                <w:color w:val="auto"/>
              </w:rPr>
            </w:pPr>
            <w:r>
              <w:rPr>
                <w:rFonts w:ascii="Arial" w:cs="Arial" w:eastAsia="Arial" w:hAnsi="Arial"/>
                <w:sz w:val="14"/>
                <w:szCs w:val="14"/>
                <w:b w:val="1"/>
                <w:bCs w:val="1"/>
                <w:color w:val="FFFFFF"/>
                <w:w w:val="99"/>
              </w:rPr>
              <w:t>1Q22</w:t>
            </w:r>
          </w:p>
        </w:tc>
        <w:tc>
          <w:tcPr>
            <w:tcW w:w="680" w:type="dxa"/>
            <w:vAlign w:val="bottom"/>
            <w:tcBorders>
              <w:bottom w:val="single" w:sz="8" w:color="auto"/>
              <w:right w:val="single" w:sz="8" w:color="auto"/>
            </w:tcBorders>
            <w:shd w:val="clear" w:color="auto" w:fill="2AD2C9"/>
          </w:tcPr>
          <w:p>
            <w:pPr>
              <w:jc w:val="center"/>
              <w:ind w:right="76"/>
              <w:spacing w:after="0" w:line="159" w:lineRule="exact"/>
              <w:rPr>
                <w:sz w:val="20"/>
                <w:szCs w:val="20"/>
                <w:color w:val="auto"/>
              </w:rPr>
            </w:pPr>
            <w:r>
              <w:rPr>
                <w:rFonts w:ascii="Arial" w:cs="Arial" w:eastAsia="Arial" w:hAnsi="Arial"/>
                <w:sz w:val="14"/>
                <w:szCs w:val="14"/>
                <w:b w:val="1"/>
                <w:bCs w:val="1"/>
                <w:color w:val="FFFFFF"/>
                <w:w w:val="99"/>
              </w:rPr>
              <w:t>1Q23</w:t>
            </w:r>
          </w:p>
        </w:tc>
        <w:tc>
          <w:tcPr>
            <w:tcW w:w="720" w:type="dxa"/>
            <w:vAlign w:val="bottom"/>
            <w:tcBorders>
              <w:bottom w:val="single" w:sz="8" w:color="auto"/>
              <w:right w:val="single" w:sz="8" w:color="auto"/>
            </w:tcBorders>
            <w:shd w:val="clear" w:color="auto" w:fill="2AD2C9"/>
          </w:tcPr>
          <w:p>
            <w:pPr>
              <w:jc w:val="center"/>
              <w:spacing w:after="0" w:line="159" w:lineRule="exact"/>
              <w:rPr>
                <w:sz w:val="20"/>
                <w:szCs w:val="20"/>
                <w:color w:val="auto"/>
              </w:rPr>
            </w:pPr>
            <w:r>
              <w:rPr>
                <w:rFonts w:ascii="Arial" w:cs="Arial" w:eastAsia="Arial" w:hAnsi="Arial"/>
                <w:sz w:val="14"/>
                <w:szCs w:val="14"/>
                <w:b w:val="1"/>
                <w:bCs w:val="1"/>
                <w:color w:val="FFFFFF"/>
                <w:w w:val="95"/>
              </w:rPr>
              <w:t>YoY</w:t>
            </w:r>
          </w:p>
        </w:tc>
        <w:tc>
          <w:tcPr>
            <w:tcW w:w="780" w:type="dxa"/>
            <w:vAlign w:val="bottom"/>
            <w:tcBorders>
              <w:bottom w:val="single" w:sz="8" w:color="auto"/>
            </w:tcBorders>
            <w:shd w:val="clear" w:color="auto" w:fill="2AD2C9"/>
          </w:tcPr>
          <w:p>
            <w:pPr>
              <w:jc w:val="center"/>
              <w:spacing w:after="0" w:line="159" w:lineRule="exact"/>
              <w:rPr>
                <w:sz w:val="20"/>
                <w:szCs w:val="20"/>
                <w:color w:val="auto"/>
              </w:rPr>
            </w:pPr>
            <w:r>
              <w:rPr>
                <w:rFonts w:ascii="Arial" w:cs="Arial" w:eastAsia="Arial" w:hAnsi="Arial"/>
                <w:sz w:val="14"/>
                <w:szCs w:val="14"/>
                <w:b w:val="1"/>
                <w:bCs w:val="1"/>
                <w:color w:val="FFFFFF"/>
                <w:w w:val="99"/>
              </w:rPr>
              <w:t>1Q22</w:t>
            </w:r>
          </w:p>
        </w:tc>
        <w:tc>
          <w:tcPr>
            <w:tcW w:w="800" w:type="dxa"/>
            <w:vAlign w:val="bottom"/>
            <w:tcBorders>
              <w:bottom w:val="single" w:sz="8" w:color="auto"/>
              <w:right w:val="single" w:sz="8" w:color="auto"/>
            </w:tcBorders>
            <w:shd w:val="clear" w:color="auto" w:fill="2AD2C9"/>
          </w:tcPr>
          <w:p>
            <w:pPr>
              <w:jc w:val="center"/>
              <w:spacing w:after="0" w:line="159" w:lineRule="exact"/>
              <w:rPr>
                <w:sz w:val="20"/>
                <w:szCs w:val="20"/>
                <w:color w:val="auto"/>
              </w:rPr>
            </w:pPr>
            <w:r>
              <w:rPr>
                <w:rFonts w:ascii="Arial" w:cs="Arial" w:eastAsia="Arial" w:hAnsi="Arial"/>
                <w:sz w:val="14"/>
                <w:szCs w:val="14"/>
                <w:b w:val="1"/>
                <w:bCs w:val="1"/>
                <w:color w:val="FFFFFF"/>
                <w:w w:val="99"/>
              </w:rPr>
              <w:t>1Q23</w:t>
            </w:r>
          </w:p>
        </w:tc>
        <w:tc>
          <w:tcPr>
            <w:tcW w:w="720" w:type="dxa"/>
            <w:vAlign w:val="bottom"/>
            <w:tcBorders>
              <w:bottom w:val="single" w:sz="8" w:color="auto"/>
              <w:right w:val="single" w:sz="8" w:color="auto"/>
            </w:tcBorders>
            <w:shd w:val="clear" w:color="auto" w:fill="2AD2C9"/>
          </w:tcPr>
          <w:p>
            <w:pPr>
              <w:jc w:val="center"/>
              <w:spacing w:after="0" w:line="159" w:lineRule="exact"/>
              <w:rPr>
                <w:sz w:val="20"/>
                <w:szCs w:val="20"/>
                <w:color w:val="auto"/>
              </w:rPr>
            </w:pPr>
            <w:r>
              <w:rPr>
                <w:rFonts w:ascii="Arial" w:cs="Arial" w:eastAsia="Arial" w:hAnsi="Arial"/>
                <w:sz w:val="14"/>
                <w:szCs w:val="14"/>
                <w:b w:val="1"/>
                <w:bCs w:val="1"/>
                <w:color w:val="FFFFFF"/>
                <w:w w:val="95"/>
              </w:rPr>
              <w:t>YoY</w:t>
            </w:r>
          </w:p>
        </w:tc>
        <w:tc>
          <w:tcPr>
            <w:tcW w:w="660" w:type="dxa"/>
            <w:vAlign w:val="bottom"/>
            <w:tcBorders>
              <w:bottom w:val="single" w:sz="8" w:color="auto"/>
            </w:tcBorders>
            <w:shd w:val="clear" w:color="auto" w:fill="2AD2C9"/>
          </w:tcPr>
          <w:p>
            <w:pPr>
              <w:jc w:val="center"/>
              <w:spacing w:after="0" w:line="159" w:lineRule="exact"/>
              <w:rPr>
                <w:sz w:val="20"/>
                <w:szCs w:val="20"/>
                <w:color w:val="auto"/>
              </w:rPr>
            </w:pPr>
            <w:r>
              <w:rPr>
                <w:rFonts w:ascii="Arial" w:cs="Arial" w:eastAsia="Arial" w:hAnsi="Arial"/>
                <w:sz w:val="14"/>
                <w:szCs w:val="14"/>
                <w:b w:val="1"/>
                <w:bCs w:val="1"/>
                <w:color w:val="FFFFFF"/>
                <w:w w:val="99"/>
              </w:rPr>
              <w:t>1Q22</w:t>
            </w:r>
          </w:p>
        </w:tc>
        <w:tc>
          <w:tcPr>
            <w:tcW w:w="660" w:type="dxa"/>
            <w:vAlign w:val="bottom"/>
            <w:tcBorders>
              <w:bottom w:val="single" w:sz="8" w:color="auto"/>
              <w:right w:val="single" w:sz="8" w:color="auto"/>
            </w:tcBorders>
            <w:shd w:val="clear" w:color="auto" w:fill="2AD2C9"/>
          </w:tcPr>
          <w:p>
            <w:pPr>
              <w:jc w:val="center"/>
              <w:spacing w:after="0" w:line="159" w:lineRule="exact"/>
              <w:rPr>
                <w:sz w:val="20"/>
                <w:szCs w:val="20"/>
                <w:color w:val="auto"/>
              </w:rPr>
            </w:pPr>
            <w:r>
              <w:rPr>
                <w:rFonts w:ascii="Arial" w:cs="Arial" w:eastAsia="Arial" w:hAnsi="Arial"/>
                <w:sz w:val="14"/>
                <w:szCs w:val="14"/>
                <w:b w:val="1"/>
                <w:bCs w:val="1"/>
                <w:color w:val="FFFFFF"/>
                <w:w w:val="93"/>
              </w:rPr>
              <w:t>1Q23</w:t>
            </w:r>
          </w:p>
        </w:tc>
        <w:tc>
          <w:tcPr>
            <w:tcW w:w="620" w:type="dxa"/>
            <w:vAlign w:val="bottom"/>
            <w:tcBorders>
              <w:bottom w:val="single" w:sz="8" w:color="auto"/>
              <w:right w:val="single" w:sz="8" w:color="auto"/>
            </w:tcBorders>
            <w:shd w:val="clear" w:color="auto" w:fill="2AD2C9"/>
          </w:tcPr>
          <w:p>
            <w:pPr>
              <w:jc w:val="right"/>
              <w:ind w:right="138"/>
              <w:spacing w:after="0" w:line="159" w:lineRule="exact"/>
              <w:rPr>
                <w:sz w:val="20"/>
                <w:szCs w:val="20"/>
                <w:color w:val="auto"/>
              </w:rPr>
            </w:pPr>
            <w:r>
              <w:rPr>
                <w:rFonts w:ascii="Arial" w:cs="Arial" w:eastAsia="Arial" w:hAnsi="Arial"/>
                <w:sz w:val="14"/>
                <w:szCs w:val="14"/>
                <w:b w:val="1"/>
                <w:bCs w:val="1"/>
                <w:color w:val="FFFFFF"/>
              </w:rPr>
              <w:t>YoY</w:t>
            </w:r>
          </w:p>
        </w:tc>
      </w:tr>
      <w:tr>
        <w:trPr>
          <w:trHeight w:val="128"/>
        </w:trPr>
        <w:tc>
          <w:tcPr>
            <w:tcW w:w="246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2"/>
                <w:szCs w:val="12"/>
                <w:color w:val="auto"/>
              </w:rPr>
              <w:t>Income from Insurance Contracts</w:t>
            </w:r>
          </w:p>
        </w:tc>
        <w:tc>
          <w:tcPr>
            <w:tcW w:w="760" w:type="dxa"/>
            <w:vAlign w:val="bottom"/>
          </w:tcPr>
          <w:p>
            <w:pPr>
              <w:jc w:val="center"/>
              <w:spacing w:after="0" w:line="128" w:lineRule="exact"/>
              <w:rPr>
                <w:sz w:val="20"/>
                <w:szCs w:val="20"/>
                <w:color w:val="auto"/>
              </w:rPr>
            </w:pPr>
            <w:r>
              <w:rPr>
                <w:rFonts w:ascii="Arial" w:cs="Arial" w:eastAsia="Arial" w:hAnsi="Arial"/>
                <w:sz w:val="12"/>
                <w:szCs w:val="12"/>
                <w:color w:val="auto"/>
              </w:rPr>
              <w:t>843,862</w:t>
            </w:r>
          </w:p>
        </w:tc>
        <w:tc>
          <w:tcPr>
            <w:tcW w:w="78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rPr>
              <w:t>957,336</w:t>
            </w:r>
          </w:p>
        </w:tc>
        <w:tc>
          <w:tcPr>
            <w:tcW w:w="7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9"/>
              </w:rPr>
              <w:t>13.4%</w:t>
            </w:r>
          </w:p>
        </w:tc>
        <w:tc>
          <w:tcPr>
            <w:tcW w:w="900" w:type="dxa"/>
            <w:vAlign w:val="bottom"/>
          </w:tcPr>
          <w:p>
            <w:pPr>
              <w:jc w:val="center"/>
              <w:ind w:right="77"/>
              <w:spacing w:after="0" w:line="128" w:lineRule="exact"/>
              <w:rPr>
                <w:sz w:val="20"/>
                <w:szCs w:val="20"/>
                <w:color w:val="auto"/>
              </w:rPr>
            </w:pPr>
            <w:r>
              <w:rPr>
                <w:rFonts w:ascii="Arial" w:cs="Arial" w:eastAsia="Arial" w:hAnsi="Arial"/>
                <w:sz w:val="12"/>
                <w:szCs w:val="12"/>
                <w:color w:val="auto"/>
              </w:rPr>
              <w:t>454,746</w:t>
            </w:r>
          </w:p>
        </w:tc>
        <w:tc>
          <w:tcPr>
            <w:tcW w:w="680" w:type="dxa"/>
            <w:vAlign w:val="bottom"/>
            <w:tcBorders>
              <w:right w:val="single" w:sz="8" w:color="auto"/>
            </w:tcBorders>
          </w:tcPr>
          <w:p>
            <w:pPr>
              <w:jc w:val="center"/>
              <w:ind w:right="96"/>
              <w:spacing w:after="0" w:line="128" w:lineRule="exact"/>
              <w:rPr>
                <w:sz w:val="20"/>
                <w:szCs w:val="20"/>
                <w:color w:val="auto"/>
              </w:rPr>
            </w:pPr>
            <w:r>
              <w:rPr>
                <w:rFonts w:ascii="Arial" w:cs="Arial" w:eastAsia="Arial" w:hAnsi="Arial"/>
                <w:sz w:val="12"/>
                <w:szCs w:val="12"/>
                <w:color w:val="auto"/>
              </w:rPr>
              <w:t>562,481</w:t>
            </w:r>
          </w:p>
        </w:tc>
        <w:tc>
          <w:tcPr>
            <w:tcW w:w="7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9"/>
              </w:rPr>
              <w:t>23.7%</w:t>
            </w:r>
          </w:p>
        </w:tc>
        <w:tc>
          <w:tcPr>
            <w:tcW w:w="780" w:type="dxa"/>
            <w:vAlign w:val="bottom"/>
          </w:tcPr>
          <w:p>
            <w:pPr>
              <w:jc w:val="center"/>
              <w:spacing w:after="0" w:line="128" w:lineRule="exact"/>
              <w:rPr>
                <w:sz w:val="20"/>
                <w:szCs w:val="20"/>
                <w:color w:val="auto"/>
              </w:rPr>
            </w:pPr>
            <w:r>
              <w:rPr>
                <w:rFonts w:ascii="Arial" w:cs="Arial" w:eastAsia="Arial" w:hAnsi="Arial"/>
                <w:sz w:val="12"/>
                <w:szCs w:val="12"/>
                <w:color w:val="auto"/>
                <w:w w:val="96"/>
              </w:rPr>
              <w:t>369,575</w:t>
            </w:r>
          </w:p>
        </w:tc>
        <w:tc>
          <w:tcPr>
            <w:tcW w:w="80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rPr>
              <w:t>373,248</w:t>
            </w:r>
          </w:p>
        </w:tc>
        <w:tc>
          <w:tcPr>
            <w:tcW w:w="7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4"/>
              </w:rPr>
              <w:t>1.0%</w:t>
            </w:r>
          </w:p>
        </w:tc>
        <w:tc>
          <w:tcPr>
            <w:tcW w:w="660" w:type="dxa"/>
            <w:vAlign w:val="bottom"/>
          </w:tcPr>
          <w:p>
            <w:pPr>
              <w:jc w:val="center"/>
              <w:spacing w:after="0" w:line="128" w:lineRule="exact"/>
              <w:rPr>
                <w:sz w:val="20"/>
                <w:szCs w:val="20"/>
                <w:color w:val="auto"/>
              </w:rPr>
            </w:pPr>
            <w:r>
              <w:rPr>
                <w:rFonts w:ascii="Arial" w:cs="Arial" w:eastAsia="Arial" w:hAnsi="Arial"/>
                <w:sz w:val="12"/>
                <w:szCs w:val="12"/>
                <w:color w:val="auto"/>
              </w:rPr>
              <w:t>19,541</w:t>
            </w:r>
          </w:p>
        </w:tc>
        <w:tc>
          <w:tcPr>
            <w:tcW w:w="66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7"/>
              </w:rPr>
              <w:t>21,607</w:t>
            </w:r>
          </w:p>
        </w:tc>
        <w:tc>
          <w:tcPr>
            <w:tcW w:w="620" w:type="dxa"/>
            <w:vAlign w:val="bottom"/>
            <w:tcBorders>
              <w:right w:val="single" w:sz="8" w:color="auto"/>
            </w:tcBorders>
          </w:tcPr>
          <w:p>
            <w:pPr>
              <w:jc w:val="right"/>
              <w:spacing w:after="0" w:line="128" w:lineRule="exact"/>
              <w:rPr>
                <w:sz w:val="20"/>
                <w:szCs w:val="20"/>
                <w:color w:val="auto"/>
              </w:rPr>
            </w:pPr>
            <w:r>
              <w:rPr>
                <w:rFonts w:ascii="Arial" w:cs="Arial" w:eastAsia="Arial" w:hAnsi="Arial"/>
                <w:sz w:val="12"/>
                <w:szCs w:val="12"/>
                <w:color w:val="auto"/>
              </w:rPr>
              <w:t>10.6%</w:t>
            </w:r>
          </w:p>
        </w:tc>
      </w:tr>
      <w:tr>
        <w:trPr>
          <w:trHeight w:val="136"/>
        </w:trPr>
        <w:tc>
          <w:tcPr>
            <w:tcW w:w="24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Expenses for Insurance Contracts</w:t>
            </w:r>
          </w:p>
        </w:tc>
        <w:tc>
          <w:tcPr>
            <w:tcW w:w="760" w:type="dxa"/>
            <w:vAlign w:val="bottom"/>
          </w:tcPr>
          <w:p>
            <w:pPr>
              <w:jc w:val="center"/>
              <w:spacing w:after="0" w:line="136" w:lineRule="exact"/>
              <w:rPr>
                <w:sz w:val="20"/>
                <w:szCs w:val="20"/>
                <w:color w:val="auto"/>
              </w:rPr>
            </w:pPr>
            <w:r>
              <w:rPr>
                <w:rFonts w:ascii="Arial" w:cs="Arial" w:eastAsia="Arial" w:hAnsi="Arial"/>
                <w:sz w:val="12"/>
                <w:szCs w:val="12"/>
                <w:color w:val="auto"/>
              </w:rPr>
              <w:t>(534,603)</w:t>
            </w:r>
          </w:p>
        </w:tc>
        <w:tc>
          <w:tcPr>
            <w:tcW w:w="7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(550,459)</w:t>
            </w:r>
          </w:p>
        </w:tc>
        <w:tc>
          <w:tcPr>
            <w:tcW w:w="7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3.0%</w:t>
            </w:r>
          </w:p>
        </w:tc>
        <w:tc>
          <w:tcPr>
            <w:tcW w:w="900" w:type="dxa"/>
            <w:vAlign w:val="bottom"/>
          </w:tcPr>
          <w:p>
            <w:pPr>
              <w:jc w:val="center"/>
              <w:ind w:right="77"/>
              <w:spacing w:after="0" w:line="136" w:lineRule="exact"/>
              <w:rPr>
                <w:sz w:val="20"/>
                <w:szCs w:val="20"/>
                <w:color w:val="auto"/>
              </w:rPr>
            </w:pPr>
            <w:r>
              <w:rPr>
                <w:rFonts w:ascii="Arial" w:cs="Arial" w:eastAsia="Arial" w:hAnsi="Arial"/>
                <w:sz w:val="12"/>
                <w:szCs w:val="12"/>
                <w:color w:val="auto"/>
              </w:rPr>
              <w:t>(282,567)</w:t>
            </w:r>
          </w:p>
        </w:tc>
        <w:tc>
          <w:tcPr>
            <w:tcW w:w="680" w:type="dxa"/>
            <w:vAlign w:val="bottom"/>
            <w:tcBorders>
              <w:right w:val="single" w:sz="8" w:color="auto"/>
            </w:tcBorders>
          </w:tcPr>
          <w:p>
            <w:pPr>
              <w:jc w:val="center"/>
              <w:ind w:right="96"/>
              <w:spacing w:after="0" w:line="136" w:lineRule="exact"/>
              <w:rPr>
                <w:sz w:val="20"/>
                <w:szCs w:val="20"/>
                <w:color w:val="auto"/>
              </w:rPr>
            </w:pPr>
            <w:r>
              <w:rPr>
                <w:rFonts w:ascii="Arial" w:cs="Arial" w:eastAsia="Arial" w:hAnsi="Arial"/>
                <w:sz w:val="12"/>
                <w:szCs w:val="12"/>
                <w:color w:val="auto"/>
              </w:rPr>
              <w:t>(270,629)</w:t>
            </w:r>
          </w:p>
        </w:tc>
        <w:tc>
          <w:tcPr>
            <w:tcW w:w="7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5"/>
              </w:rPr>
              <w:t>-4.2%</w:t>
            </w:r>
          </w:p>
        </w:tc>
        <w:tc>
          <w:tcPr>
            <w:tcW w:w="780" w:type="dxa"/>
            <w:vAlign w:val="bottom"/>
          </w:tcPr>
          <w:p>
            <w:pPr>
              <w:jc w:val="center"/>
              <w:spacing w:after="0" w:line="136" w:lineRule="exact"/>
              <w:rPr>
                <w:sz w:val="20"/>
                <w:szCs w:val="20"/>
                <w:color w:val="auto"/>
              </w:rPr>
            </w:pPr>
            <w:r>
              <w:rPr>
                <w:rFonts w:ascii="Arial" w:cs="Arial" w:eastAsia="Arial" w:hAnsi="Arial"/>
                <w:sz w:val="12"/>
                <w:szCs w:val="12"/>
                <w:color w:val="auto"/>
                <w:w w:val="97"/>
              </w:rPr>
              <w:t>(240,078)</w:t>
            </w:r>
          </w:p>
        </w:tc>
        <w:tc>
          <w:tcPr>
            <w:tcW w:w="8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(272,680)</w:t>
            </w:r>
          </w:p>
        </w:tc>
        <w:tc>
          <w:tcPr>
            <w:tcW w:w="7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13.6%</w:t>
            </w:r>
          </w:p>
        </w:tc>
        <w:tc>
          <w:tcPr>
            <w:tcW w:w="660" w:type="dxa"/>
            <w:vAlign w:val="bottom"/>
          </w:tcPr>
          <w:p>
            <w:pPr>
              <w:jc w:val="center"/>
              <w:spacing w:after="0" w:line="136" w:lineRule="exact"/>
              <w:rPr>
                <w:sz w:val="20"/>
                <w:szCs w:val="20"/>
                <w:color w:val="auto"/>
              </w:rPr>
            </w:pPr>
            <w:r>
              <w:rPr>
                <w:rFonts w:ascii="Arial" w:cs="Arial" w:eastAsia="Arial" w:hAnsi="Arial"/>
                <w:sz w:val="12"/>
                <w:szCs w:val="12"/>
                <w:color w:val="auto"/>
                <w:w w:val="98"/>
              </w:rPr>
              <w:t>(11,957)</w:t>
            </w:r>
          </w:p>
        </w:tc>
        <w:tc>
          <w:tcPr>
            <w:tcW w:w="6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(7,150)</w:t>
            </w:r>
          </w:p>
        </w:tc>
        <w:tc>
          <w:tcPr>
            <w:tcW w:w="62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-40.2%</w:t>
            </w:r>
          </w:p>
        </w:tc>
      </w:tr>
      <w:tr>
        <w:trPr>
          <w:trHeight w:val="136"/>
        </w:trPr>
        <w:tc>
          <w:tcPr>
            <w:tcW w:w="24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b w:val="1"/>
                <w:bCs w:val="1"/>
                <w:color w:val="auto"/>
              </w:rPr>
              <w:t>Insurance Results</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309,258</w:t>
            </w:r>
          </w:p>
        </w:tc>
        <w:tc>
          <w:tcPr>
            <w:tcW w:w="7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rPr>
              <w:t>406,877</w:t>
            </w:r>
          </w:p>
        </w:tc>
        <w:tc>
          <w:tcPr>
            <w:tcW w:w="7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9"/>
              </w:rPr>
              <w:t>31.6%</w:t>
            </w:r>
          </w:p>
        </w:tc>
        <w:tc>
          <w:tcPr>
            <w:tcW w:w="900" w:type="dxa"/>
            <w:vAlign w:val="bottom"/>
          </w:tcPr>
          <w:p>
            <w:pPr>
              <w:jc w:val="center"/>
              <w:ind w:right="77"/>
              <w:spacing w:after="0" w:line="136" w:lineRule="exact"/>
              <w:rPr>
                <w:sz w:val="20"/>
                <w:szCs w:val="20"/>
                <w:color w:val="auto"/>
              </w:rPr>
            </w:pPr>
            <w:r>
              <w:rPr>
                <w:rFonts w:ascii="Arial" w:cs="Arial" w:eastAsia="Arial" w:hAnsi="Arial"/>
                <w:sz w:val="12"/>
                <w:szCs w:val="12"/>
                <w:b w:val="1"/>
                <w:bCs w:val="1"/>
                <w:color w:val="auto"/>
              </w:rPr>
              <w:t>172,178</w:t>
            </w:r>
          </w:p>
        </w:tc>
        <w:tc>
          <w:tcPr>
            <w:tcW w:w="680" w:type="dxa"/>
            <w:vAlign w:val="bottom"/>
            <w:tcBorders>
              <w:right w:val="single" w:sz="8" w:color="auto"/>
            </w:tcBorders>
          </w:tcPr>
          <w:p>
            <w:pPr>
              <w:jc w:val="center"/>
              <w:ind w:right="96"/>
              <w:spacing w:after="0" w:line="136" w:lineRule="exact"/>
              <w:rPr>
                <w:sz w:val="20"/>
                <w:szCs w:val="20"/>
                <w:color w:val="auto"/>
              </w:rPr>
            </w:pPr>
            <w:r>
              <w:rPr>
                <w:rFonts w:ascii="Arial" w:cs="Arial" w:eastAsia="Arial" w:hAnsi="Arial"/>
                <w:sz w:val="12"/>
                <w:szCs w:val="12"/>
                <w:b w:val="1"/>
                <w:bCs w:val="1"/>
                <w:color w:val="auto"/>
              </w:rPr>
              <w:t>291,852</w:t>
            </w:r>
          </w:p>
        </w:tc>
        <w:tc>
          <w:tcPr>
            <w:tcW w:w="7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9"/>
              </w:rPr>
              <w:t>69.5%</w:t>
            </w: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129,496</w:t>
            </w:r>
          </w:p>
        </w:tc>
        <w:tc>
          <w:tcPr>
            <w:tcW w:w="8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rPr>
              <w:t>100,567</w:t>
            </w:r>
          </w:p>
        </w:tc>
        <w:tc>
          <w:tcPr>
            <w:tcW w:w="7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9"/>
              </w:rPr>
              <w:t>-22.3%</w:t>
            </w:r>
          </w:p>
        </w:tc>
        <w:tc>
          <w:tcPr>
            <w:tcW w:w="6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7,584</w:t>
            </w:r>
          </w:p>
        </w:tc>
        <w:tc>
          <w:tcPr>
            <w:tcW w:w="6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7"/>
              </w:rPr>
              <w:t>14,457</w:t>
            </w:r>
          </w:p>
        </w:tc>
        <w:tc>
          <w:tcPr>
            <w:tcW w:w="62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90.6%</w:t>
            </w:r>
          </w:p>
        </w:tc>
      </w:tr>
      <w:tr>
        <w:trPr>
          <w:trHeight w:val="136"/>
        </w:trPr>
        <w:tc>
          <w:tcPr>
            <w:tcW w:w="24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Reinsurance Results</w:t>
            </w:r>
          </w:p>
        </w:tc>
        <w:tc>
          <w:tcPr>
            <w:tcW w:w="760" w:type="dxa"/>
            <w:vAlign w:val="bottom"/>
          </w:tcPr>
          <w:p>
            <w:pPr>
              <w:jc w:val="center"/>
              <w:spacing w:after="0" w:line="136" w:lineRule="exact"/>
              <w:rPr>
                <w:sz w:val="20"/>
                <w:szCs w:val="20"/>
                <w:color w:val="auto"/>
              </w:rPr>
            </w:pPr>
            <w:r>
              <w:rPr>
                <w:rFonts w:ascii="Arial" w:cs="Arial" w:eastAsia="Arial" w:hAnsi="Arial"/>
                <w:sz w:val="12"/>
                <w:szCs w:val="12"/>
                <w:color w:val="auto"/>
              </w:rPr>
              <w:t>(102,591)</w:t>
            </w:r>
          </w:p>
        </w:tc>
        <w:tc>
          <w:tcPr>
            <w:tcW w:w="7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(110,536)</w:t>
            </w:r>
          </w:p>
        </w:tc>
        <w:tc>
          <w:tcPr>
            <w:tcW w:w="7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7.7%</w:t>
            </w:r>
          </w:p>
        </w:tc>
        <w:tc>
          <w:tcPr>
            <w:tcW w:w="900" w:type="dxa"/>
            <w:vAlign w:val="bottom"/>
          </w:tcPr>
          <w:p>
            <w:pPr>
              <w:jc w:val="center"/>
              <w:ind w:right="57"/>
              <w:spacing w:after="0" w:line="136" w:lineRule="exact"/>
              <w:rPr>
                <w:sz w:val="20"/>
                <w:szCs w:val="20"/>
                <w:color w:val="auto"/>
              </w:rPr>
            </w:pPr>
            <w:r>
              <w:rPr>
                <w:rFonts w:ascii="Arial" w:cs="Arial" w:eastAsia="Arial" w:hAnsi="Arial"/>
                <w:sz w:val="12"/>
                <w:szCs w:val="12"/>
                <w:color w:val="auto"/>
                <w:w w:val="99"/>
              </w:rPr>
              <w:t>5,414</w:t>
            </w:r>
          </w:p>
        </w:tc>
        <w:tc>
          <w:tcPr>
            <w:tcW w:w="680" w:type="dxa"/>
            <w:vAlign w:val="bottom"/>
            <w:tcBorders>
              <w:right w:val="single" w:sz="8" w:color="auto"/>
            </w:tcBorders>
          </w:tcPr>
          <w:p>
            <w:pPr>
              <w:jc w:val="center"/>
              <w:ind w:right="76"/>
              <w:spacing w:after="0" w:line="136" w:lineRule="exact"/>
              <w:rPr>
                <w:sz w:val="20"/>
                <w:szCs w:val="20"/>
                <w:color w:val="auto"/>
              </w:rPr>
            </w:pPr>
            <w:r>
              <w:rPr>
                <w:rFonts w:ascii="Arial" w:cs="Arial" w:eastAsia="Arial" w:hAnsi="Arial"/>
                <w:sz w:val="12"/>
                <w:szCs w:val="12"/>
                <w:color w:val="auto"/>
              </w:rPr>
              <w:t>(24,326)</w:t>
            </w:r>
          </w:p>
        </w:tc>
        <w:tc>
          <w:tcPr>
            <w:tcW w:w="7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-549.3%</w:t>
            </w:r>
          </w:p>
        </w:tc>
        <w:tc>
          <w:tcPr>
            <w:tcW w:w="780" w:type="dxa"/>
            <w:vAlign w:val="bottom"/>
          </w:tcPr>
          <w:p>
            <w:pPr>
              <w:jc w:val="center"/>
              <w:spacing w:after="0" w:line="136" w:lineRule="exact"/>
              <w:rPr>
                <w:sz w:val="20"/>
                <w:szCs w:val="20"/>
                <w:color w:val="auto"/>
              </w:rPr>
            </w:pPr>
            <w:r>
              <w:rPr>
                <w:rFonts w:ascii="Arial" w:cs="Arial" w:eastAsia="Arial" w:hAnsi="Arial"/>
                <w:sz w:val="12"/>
                <w:szCs w:val="12"/>
                <w:color w:val="auto"/>
                <w:w w:val="97"/>
              </w:rPr>
              <w:t>(105,364)</w:t>
            </w:r>
          </w:p>
        </w:tc>
        <w:tc>
          <w:tcPr>
            <w:tcW w:w="8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(85,541)</w:t>
            </w:r>
          </w:p>
        </w:tc>
        <w:tc>
          <w:tcPr>
            <w:tcW w:w="7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-18.8%</w:t>
            </w:r>
          </w:p>
        </w:tc>
        <w:tc>
          <w:tcPr>
            <w:tcW w:w="660" w:type="dxa"/>
            <w:vAlign w:val="bottom"/>
          </w:tcPr>
          <w:p>
            <w:pPr>
              <w:jc w:val="center"/>
              <w:spacing w:after="0" w:line="136" w:lineRule="exact"/>
              <w:rPr>
                <w:sz w:val="20"/>
                <w:szCs w:val="20"/>
                <w:color w:val="auto"/>
              </w:rPr>
            </w:pPr>
            <w:r>
              <w:rPr>
                <w:rFonts w:ascii="Arial" w:cs="Arial" w:eastAsia="Arial" w:hAnsi="Arial"/>
                <w:sz w:val="12"/>
                <w:szCs w:val="12"/>
                <w:color w:val="auto"/>
                <w:w w:val="99"/>
              </w:rPr>
              <w:t>(2,641)</w:t>
            </w:r>
          </w:p>
        </w:tc>
        <w:tc>
          <w:tcPr>
            <w:tcW w:w="6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(669)</w:t>
            </w:r>
          </w:p>
        </w:tc>
        <w:tc>
          <w:tcPr>
            <w:tcW w:w="62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-74.7%</w:t>
            </w:r>
          </w:p>
        </w:tc>
      </w:tr>
      <w:tr>
        <w:trPr>
          <w:trHeight w:val="147"/>
        </w:trPr>
        <w:tc>
          <w:tcPr>
            <w:tcW w:w="2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Insurance Underwriting Results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206,667</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296,341</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43.4%</w:t>
            </w: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2"/>
                <w:szCs w:val="12"/>
                <w:b w:val="1"/>
                <w:bCs w:val="1"/>
                <w:color w:val="auto"/>
              </w:rPr>
              <w:t>177,592</w:t>
            </w:r>
          </w:p>
        </w:tc>
        <w:tc>
          <w:tcPr>
            <w:tcW w:w="680" w:type="dxa"/>
            <w:vAlign w:val="bottom"/>
            <w:tcBorders>
              <w:bottom w:val="single" w:sz="8" w:color="auto"/>
              <w:right w:val="single" w:sz="8" w:color="auto"/>
            </w:tcBorders>
          </w:tcPr>
          <w:p>
            <w:pPr>
              <w:jc w:val="center"/>
              <w:ind w:right="96"/>
              <w:spacing w:after="0"/>
              <w:rPr>
                <w:sz w:val="20"/>
                <w:szCs w:val="20"/>
                <w:color w:val="auto"/>
              </w:rPr>
            </w:pPr>
            <w:r>
              <w:rPr>
                <w:rFonts w:ascii="Arial" w:cs="Arial" w:eastAsia="Arial" w:hAnsi="Arial"/>
                <w:sz w:val="12"/>
                <w:szCs w:val="12"/>
                <w:b w:val="1"/>
                <w:bCs w:val="1"/>
                <w:color w:val="auto"/>
              </w:rPr>
              <w:t>267,526</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50.6%</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24,133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15,027</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-37.7%</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4,943</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13,789</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179.0%</w:t>
            </w:r>
          </w:p>
        </w:tc>
      </w:tr>
      <w:tr>
        <w:trPr>
          <w:trHeight w:val="365"/>
        </w:trPr>
        <w:tc>
          <w:tcPr>
            <w:tcW w:w="2460" w:type="dxa"/>
            <w:vAlign w:val="bottom"/>
          </w:tcPr>
          <w:p>
            <w:pPr>
              <w:spacing w:after="0"/>
              <w:rPr>
                <w:sz w:val="20"/>
                <w:szCs w:val="20"/>
                <w:color w:val="auto"/>
              </w:rPr>
            </w:pPr>
            <w:r>
              <w:rPr>
                <w:rFonts w:ascii="Calibri" w:cs="Calibri" w:eastAsia="Calibri" w:hAnsi="Calibri"/>
                <w:sz w:val="15"/>
                <w:szCs w:val="15"/>
                <w:b w:val="1"/>
                <w:bCs w:val="1"/>
                <w:i w:val="1"/>
                <w:iCs w:val="1"/>
                <w:color w:val="auto"/>
              </w:rPr>
              <w:t>Income from Insurance Contracts*</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63"/>
        </w:trPr>
        <w:tc>
          <w:tcPr>
            <w:tcW w:w="246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Calibri" w:cs="Calibri" w:eastAsia="Calibri" w:hAnsi="Calibri"/>
                <w:sz w:val="15"/>
                <w:szCs w:val="15"/>
                <w:b w:val="1"/>
                <w:bCs w:val="1"/>
                <w:color w:val="auto"/>
              </w:rPr>
              <w:t>P&amp;C</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gridSpan w:val="2"/>
          </w:tcPr>
          <w:p>
            <w:pPr>
              <w:ind w:left="220"/>
              <w:spacing w:after="0"/>
              <w:rPr>
                <w:sz w:val="20"/>
                <w:szCs w:val="20"/>
                <w:color w:val="auto"/>
              </w:rPr>
            </w:pPr>
            <w:r>
              <w:rPr>
                <w:rFonts w:ascii="Calibri" w:cs="Calibri" w:eastAsia="Calibri" w:hAnsi="Calibri"/>
                <w:sz w:val="15"/>
                <w:szCs w:val="15"/>
                <w:b w:val="1"/>
                <w:bCs w:val="1"/>
                <w:color w:val="auto"/>
              </w:rPr>
              <w:t>Life Insurance</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13335</wp:posOffset>
            </wp:positionV>
            <wp:extent cx="4315460" cy="17291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5460" cy="172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
        <w:spacing w:after="0"/>
        <w:rPr>
          <w:sz w:val="20"/>
          <w:szCs w:val="20"/>
          <w:color w:val="auto"/>
        </w:rPr>
      </w:pPr>
      <w:r>
        <w:rPr>
          <w:rFonts w:ascii="Calibri" w:cs="Calibri" w:eastAsia="Calibri" w:hAnsi="Calibri"/>
          <w:sz w:val="9"/>
          <w:szCs w:val="9"/>
          <w:color w:val="auto"/>
        </w:rPr>
        <w:t>*The products corresponding to Life and P&amp;C businesses have changed from previous reported.</w:t>
      </w:r>
    </w:p>
    <w:p>
      <w:pPr>
        <w:spacing w:after="0" w:line="4" w:lineRule="exact"/>
        <w:rPr>
          <w:sz w:val="20"/>
          <w:szCs w:val="20"/>
          <w:color w:val="auto"/>
        </w:rPr>
      </w:pPr>
    </w:p>
    <w:p>
      <w:pPr>
        <w:ind w:left="129" w:hanging="129"/>
        <w:spacing w:after="0"/>
        <w:tabs>
          <w:tab w:leader="none" w:pos="129" w:val="left"/>
        </w:tabs>
        <w:numPr>
          <w:ilvl w:val="0"/>
          <w:numId w:val="40"/>
        </w:numPr>
        <w:rPr>
          <w:rFonts w:ascii="Calibri" w:cs="Calibri" w:eastAsia="Calibri" w:hAnsi="Calibri"/>
          <w:sz w:val="9"/>
          <w:szCs w:val="9"/>
          <w:color w:val="auto"/>
        </w:rPr>
      </w:pPr>
      <w:r>
        <w:rPr>
          <w:rFonts w:ascii="Calibri" w:cs="Calibri" w:eastAsia="Calibri" w:hAnsi="Calibri"/>
          <w:sz w:val="9"/>
          <w:szCs w:val="9"/>
          <w:color w:val="auto"/>
        </w:rPr>
        <w:t>Includes Cars, and SOAT.</w:t>
      </w:r>
    </w:p>
    <w:p>
      <w:pPr>
        <w:spacing w:after="0" w:line="3" w:lineRule="exact"/>
        <w:rPr>
          <w:rFonts w:ascii="Calibri" w:cs="Calibri" w:eastAsia="Calibri" w:hAnsi="Calibri"/>
          <w:sz w:val="9"/>
          <w:szCs w:val="9"/>
          <w:color w:val="auto"/>
        </w:rPr>
      </w:pPr>
    </w:p>
    <w:p>
      <w:pPr>
        <w:ind w:left="129" w:hanging="129"/>
        <w:spacing w:after="0"/>
        <w:tabs>
          <w:tab w:leader="none" w:pos="129" w:val="left"/>
        </w:tabs>
        <w:numPr>
          <w:ilvl w:val="0"/>
          <w:numId w:val="40"/>
        </w:numPr>
        <w:rPr>
          <w:rFonts w:ascii="Calibri" w:cs="Calibri" w:eastAsia="Calibri" w:hAnsi="Calibri"/>
          <w:sz w:val="9"/>
          <w:szCs w:val="9"/>
          <w:color w:val="auto"/>
        </w:rPr>
      </w:pPr>
      <w:r>
        <w:rPr>
          <w:rFonts w:ascii="Calibri" w:cs="Calibri" w:eastAsia="Calibri" w:hAnsi="Calibri"/>
          <w:sz w:val="9"/>
          <w:szCs w:val="9"/>
          <w:color w:val="auto"/>
        </w:rPr>
        <w:t>Includes Wholesale Risks and Personal Lines without AP.</w:t>
      </w:r>
    </w:p>
    <w:p>
      <w:pPr>
        <w:spacing w:after="0" w:line="3" w:lineRule="exact"/>
        <w:rPr>
          <w:rFonts w:ascii="Calibri" w:cs="Calibri" w:eastAsia="Calibri" w:hAnsi="Calibri"/>
          <w:sz w:val="9"/>
          <w:szCs w:val="9"/>
          <w:color w:val="auto"/>
        </w:rPr>
      </w:pPr>
    </w:p>
    <w:p>
      <w:pPr>
        <w:ind w:left="129" w:hanging="129"/>
        <w:spacing w:after="0"/>
        <w:tabs>
          <w:tab w:leader="none" w:pos="129" w:val="left"/>
        </w:tabs>
        <w:numPr>
          <w:ilvl w:val="0"/>
          <w:numId w:val="40"/>
        </w:numPr>
        <w:rPr>
          <w:rFonts w:ascii="Calibri" w:cs="Calibri" w:eastAsia="Calibri" w:hAnsi="Calibri"/>
          <w:sz w:val="9"/>
          <w:szCs w:val="9"/>
          <w:color w:val="auto"/>
        </w:rPr>
      </w:pPr>
      <w:r>
        <w:rPr>
          <w:rFonts w:ascii="Calibri" w:cs="Calibri" w:eastAsia="Calibri" w:hAnsi="Calibri"/>
          <w:sz w:val="9"/>
          <w:szCs w:val="9"/>
          <w:color w:val="auto"/>
        </w:rPr>
        <w:t>Includes SCTR (Complementary Insurance for High-risk Occupatons, Statutory Life and Group Life.</w:t>
      </w:r>
    </w:p>
    <w:p>
      <w:pPr>
        <w:spacing w:after="0" w:line="198" w:lineRule="exact"/>
        <w:rPr>
          <w:sz w:val="20"/>
          <w:szCs w:val="20"/>
          <w:color w:val="auto"/>
        </w:rPr>
      </w:pPr>
    </w:p>
    <w:p>
      <w:pPr>
        <w:jc w:val="both"/>
        <w:ind w:left="9"/>
        <w:spacing w:after="0" w:line="237" w:lineRule="auto"/>
        <w:rPr>
          <w:sz w:val="20"/>
          <w:szCs w:val="20"/>
          <w:color w:val="auto"/>
        </w:rPr>
      </w:pPr>
      <w:r>
        <w:rPr>
          <w:rFonts w:ascii="Calibri" w:cs="Calibri" w:eastAsia="Calibri" w:hAnsi="Calibri"/>
          <w:sz w:val="15"/>
          <w:szCs w:val="15"/>
          <w:color w:val="auto"/>
        </w:rPr>
        <w:t>In the YoY analysis, income from insurance contracts increased 13.4%. This evoluton was driven primarily by Life and to a lesser extent, P&amp;C. In the Life business, income was up 23.7%, spurred by (i) D&amp;S, which refected an improvement in the terms of tender for the SISCO VI contract⁽</w:t>
      </w:r>
      <w:r>
        <w:rPr>
          <w:rFonts w:ascii="Arial" w:cs="Arial" w:eastAsia="Arial" w:hAnsi="Arial"/>
          <w:sz w:val="12"/>
          <w:szCs w:val="12"/>
          <w:color w:val="auto"/>
        </w:rPr>
        <w:t>1</w:t>
      </w:r>
      <w:r>
        <w:rPr>
          <w:rFonts w:ascii="Calibri" w:cs="Calibri" w:eastAsia="Calibri" w:hAnsi="Calibri"/>
          <w:sz w:val="15"/>
          <w:szCs w:val="15"/>
          <w:color w:val="auto"/>
        </w:rPr>
        <w:t>⁾ versus those atached to the SISCO V tender; (ii) Credit Life, due to growth in premiums from bancassurance policies at BCP Stand-alone and Banco de la Nación, which was triggered by rate adjustments and loan growth; (iii) Group Life, through the SCTR (Complementary Insurance for High-Risk Occupatons). In P&amp;C, income rose 1.0%, driven by Cars and Medical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273050</wp:posOffset>
            </wp:positionV>
            <wp:extent cx="1433830"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33830" cy="1460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09" w:hanging="109"/>
        <w:spacing w:after="0"/>
        <w:tabs>
          <w:tab w:leader="none" w:pos="109" w:val="left"/>
        </w:tabs>
        <w:numPr>
          <w:ilvl w:val="0"/>
          <w:numId w:val="41"/>
        </w:numPr>
        <w:rPr>
          <w:rFonts w:ascii="Calibri" w:cs="Calibri" w:eastAsia="Calibri" w:hAnsi="Calibri"/>
          <w:sz w:val="8"/>
          <w:szCs w:val="8"/>
          <w:color w:val="auto"/>
        </w:rPr>
      </w:pPr>
      <w:r>
        <w:rPr>
          <w:rFonts w:ascii="Calibri" w:cs="Calibri" w:eastAsia="Calibri" w:hAnsi="Calibri"/>
          <w:sz w:val="10"/>
          <w:szCs w:val="10"/>
          <w:color w:val="auto"/>
        </w:rPr>
        <w:t>Public tender to select the insurance companies that will collectvely manage disability, survivorship and burial risks for AFP afliates in the 2023 period.</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31" w:right="319" w:bottom="1440" w:gutter="0" w:footer="0" w:header="0"/>
        </w:sectPr>
      </w:pPr>
    </w:p>
    <w:bookmarkStart w:id="39" w:name="page40"/>
    <w:bookmarkEnd w:id="39"/>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10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07. Insurance Underwritng Results</w:t>
      </w:r>
    </w:p>
    <w:p>
      <w:pPr>
        <w:spacing w:after="0" w:line="274"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Expenses for Insurance Contracts</w:t>
      </w:r>
    </w:p>
    <w:p>
      <w:pPr>
        <w:spacing w:after="0" w:line="203" w:lineRule="exact"/>
        <w:rPr>
          <w:sz w:val="20"/>
          <w:szCs w:val="20"/>
          <w:color w:val="auto"/>
        </w:rPr>
      </w:pPr>
    </w:p>
    <w:p>
      <w:pPr>
        <w:ind w:left="2560"/>
        <w:spacing w:after="0"/>
        <w:tabs>
          <w:tab w:leader="none" w:pos="8120" w:val="left"/>
        </w:tabs>
        <w:rPr>
          <w:sz w:val="20"/>
          <w:szCs w:val="20"/>
          <w:color w:val="auto"/>
        </w:rPr>
      </w:pPr>
      <w:r>
        <w:rPr>
          <w:rFonts w:ascii="Calibri" w:cs="Calibri" w:eastAsia="Calibri" w:hAnsi="Calibri"/>
          <w:sz w:val="15"/>
          <w:szCs w:val="15"/>
          <w:b w:val="1"/>
          <w:bCs w:val="1"/>
          <w:color w:val="auto"/>
        </w:rPr>
        <w:t>P&amp;C</w:t>
      </w:r>
      <w:r>
        <w:rPr>
          <w:sz w:val="20"/>
          <w:szCs w:val="20"/>
          <w:color w:val="auto"/>
        </w:rPr>
        <w:tab/>
      </w:r>
      <w:r>
        <w:rPr>
          <w:rFonts w:ascii="Calibri" w:cs="Calibri" w:eastAsia="Calibri" w:hAnsi="Calibri"/>
          <w:sz w:val="15"/>
          <w:szCs w:val="15"/>
          <w:b w:val="1"/>
          <w:bCs w:val="1"/>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128270</wp:posOffset>
            </wp:positionV>
            <wp:extent cx="2053590" cy="15055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053590" cy="1505585"/>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128270</wp:posOffset>
            </wp:positionV>
            <wp:extent cx="2211705" cy="15055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211705" cy="150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In the YoY analysis, expenses for insurance contracts rose 3.0%, driven by P&amp;C. In the P&amp;C, business, expenses rose 13.6% YoY due to: (i) P&amp;C Risks, through the Card Protecton product, which experienced growth in the incidence of unrecognized internet purchases; and (ii) Cars, due to the increase in case frequency. The aforementoned was partally ofset by Medical Assistance, which reported a release of COVID-19 IBRN reserves. Life Insurance contracts fell 4.2%, driven mainly by D&amp;S and Credit Life afer COVID-19 cases fell in comparison to 1Q22.</w:t>
      </w:r>
    </w:p>
    <w:p>
      <w:pPr>
        <w:spacing w:after="0" w:line="203"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Expenses for Reinsurance Contracts</w:t>
      </w:r>
    </w:p>
    <w:p>
      <w:pPr>
        <w:spacing w:after="0" w:line="206" w:lineRule="exact"/>
        <w:rPr>
          <w:sz w:val="20"/>
          <w:szCs w:val="20"/>
          <w:color w:val="auto"/>
        </w:rPr>
      </w:pPr>
    </w:p>
    <w:p>
      <w:pPr>
        <w:jc w:val="both"/>
        <w:spacing w:after="0" w:line="236" w:lineRule="auto"/>
        <w:rPr>
          <w:sz w:val="20"/>
          <w:szCs w:val="20"/>
          <w:color w:val="auto"/>
        </w:rPr>
      </w:pPr>
      <w:r>
        <w:rPr>
          <w:rFonts w:ascii="Calibri" w:cs="Calibri" w:eastAsia="Calibri" w:hAnsi="Calibri"/>
          <w:sz w:val="15"/>
          <w:szCs w:val="15"/>
          <w:i w:val="1"/>
          <w:iCs w:val="1"/>
          <w:color w:val="auto"/>
        </w:rPr>
        <w:t>Expenses for reinsurance contracts rose 7.7%. This increase was atributable to the Life Business and led by the D&amp;S product, which registered an uptck in ceded premiums under the new SISCO VI contract. The aforementoned was mitgated by the evoluton at the P&amp;C business, which reported growth in claims under our reinsurance policies for P&amp; C Risks.</w:t>
      </w:r>
    </w:p>
    <w:p>
      <w:pPr>
        <w:spacing w:after="0" w:line="204"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Insurance Underwritng Results</w:t>
      </w:r>
    </w:p>
    <w:p>
      <w:pPr>
        <w:spacing w:after="0" w:line="206" w:lineRule="exact"/>
        <w:rPr>
          <w:sz w:val="20"/>
          <w:szCs w:val="20"/>
          <w:color w:val="auto"/>
        </w:rPr>
      </w:pPr>
    </w:p>
    <w:p>
      <w:pPr>
        <w:ind w:right="100"/>
        <w:spacing w:after="0" w:line="237" w:lineRule="auto"/>
        <w:rPr>
          <w:sz w:val="20"/>
          <w:szCs w:val="20"/>
          <w:color w:val="auto"/>
        </w:rPr>
      </w:pPr>
      <w:r>
        <w:rPr>
          <w:rFonts w:ascii="Calibri" w:cs="Calibri" w:eastAsia="Calibri" w:hAnsi="Calibri"/>
          <w:sz w:val="15"/>
          <w:szCs w:val="15"/>
          <w:color w:val="auto"/>
        </w:rPr>
        <w:t>The insurance underwritng result increased 43.4% YoY, driven by the Life Business. The increase reported in the Life business was driven by growth in premiums and a drop in claims in the Credit Life and D&amp; S lines. The drop reported in the result for P&amp;C was atributable to an increase in claims P&amp;C Risks and Cars, which was mitgated by decrease in claims in Medical Assistance.</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40" w:name="page41"/>
    <w:bookmarkEnd w:id="40"/>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10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0" w:lineRule="exact"/>
        <w:rPr>
          <w:sz w:val="20"/>
          <w:szCs w:val="20"/>
          <w:color w:val="auto"/>
        </w:rPr>
      </w:pPr>
    </w:p>
    <w:p>
      <w:pPr>
        <w:spacing w:after="0" w:line="206" w:lineRule="exact"/>
        <w:rPr>
          <w:sz w:val="20"/>
          <w:szCs w:val="20"/>
          <w:color w:val="auto"/>
        </w:rPr>
      </w:pPr>
    </w:p>
    <w:p>
      <w:pPr>
        <w:ind w:left="9"/>
        <w:spacing w:after="0"/>
        <w:rPr>
          <w:sz w:val="20"/>
          <w:szCs w:val="20"/>
          <w:color w:val="auto"/>
        </w:rPr>
      </w:pPr>
      <w:r>
        <w:rPr>
          <w:rFonts w:ascii="Calibri" w:cs="Calibri" w:eastAsia="Calibri" w:hAnsi="Calibri"/>
          <w:sz w:val="44"/>
          <w:szCs w:val="44"/>
          <w:b w:val="1"/>
          <w:bCs w:val="1"/>
          <w:color w:val="E93CAC"/>
        </w:rPr>
        <w:t xml:space="preserve">08 </w:t>
      </w:r>
      <w:r>
        <w:rPr>
          <w:rFonts w:ascii="Calibri" w:cs="Calibri" w:eastAsia="Calibri" w:hAnsi="Calibri"/>
          <w:sz w:val="27"/>
          <w:szCs w:val="27"/>
          <w:b w:val="1"/>
          <w:bCs w:val="1"/>
          <w:color w:val="E93CAC"/>
        </w:rPr>
        <w:t>Operatng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153910" cy="561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3910" cy="561975"/>
                    </a:xfrm>
                    <a:prstGeom prst="rect">
                      <a:avLst/>
                    </a:prstGeom>
                    <a:noFill/>
                  </pic:spPr>
                </pic:pic>
              </a:graphicData>
            </a:graphic>
          </wp:anchor>
        </w:drawing>
      </w:r>
    </w:p>
    <w:p>
      <w:pPr>
        <w:spacing w:after="0" w:line="228" w:lineRule="exact"/>
        <w:rPr>
          <w:sz w:val="20"/>
          <w:szCs w:val="20"/>
          <w:color w:val="auto"/>
        </w:rPr>
      </w:pPr>
    </w:p>
    <w:p>
      <w:pPr>
        <w:jc w:val="both"/>
        <w:ind w:left="109" w:right="100"/>
        <w:spacing w:after="0" w:line="237" w:lineRule="auto"/>
        <w:rPr>
          <w:sz w:val="20"/>
          <w:szCs w:val="20"/>
          <w:color w:val="auto"/>
        </w:rPr>
      </w:pPr>
      <w:r>
        <w:rPr>
          <w:rFonts w:ascii="Calibri" w:cs="Calibri" w:eastAsia="Calibri" w:hAnsi="Calibri"/>
          <w:sz w:val="15"/>
          <w:szCs w:val="15"/>
          <w:color w:val="FFFFFF"/>
        </w:rPr>
        <w:t xml:space="preserve">Operatng expenses rose YoY. This evoluton was primarily driven by Administratve and general expenses through the Informaton Technology (IT) Expenses and Advertsing and Fidelity Programs lines. Growth in expenses for these concepts is in line with our transformaton strategy and also refects an uptck in transactons and in costs associated with client fdelity programs. This quarter, Salaries and employee benefts also rose afer specialized personnel were hired for IT projects. If we exclude disrupton expenses, the YoY variaton in Operatng expenses </w:t>
      </w:r>
      <w:r>
        <w:rPr>
          <w:rFonts w:ascii="Calibri" w:cs="Calibri" w:eastAsia="Calibri" w:hAnsi="Calibri"/>
          <w:sz w:val="15"/>
          <w:szCs w:val="15"/>
          <w:b w:val="1"/>
          <w:bCs w:val="1"/>
          <w:color w:val="FFFFFF"/>
        </w:rPr>
        <w:t>stands at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-447040</wp:posOffset>
            </wp:positionV>
            <wp:extent cx="7082155" cy="5118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82155" cy="511810"/>
                    </a:xfrm>
                    <a:prstGeom prst="rect">
                      <a:avLst/>
                    </a:prstGeom>
                    <a:noFill/>
                  </pic:spPr>
                </pic:pic>
              </a:graphicData>
            </a:graphic>
          </wp:anchor>
        </w:drawing>
      </w:r>
    </w:p>
    <w:p>
      <w:pPr>
        <w:spacing w:after="0" w:line="168" w:lineRule="exact"/>
        <w:rPr>
          <w:sz w:val="20"/>
          <w:szCs w:val="20"/>
          <w:color w:val="auto"/>
        </w:rPr>
      </w:pPr>
    </w:p>
    <w:p>
      <w:pPr>
        <w:ind w:left="9"/>
        <w:spacing w:after="0"/>
        <w:rPr>
          <w:sz w:val="20"/>
          <w:szCs w:val="20"/>
          <w:color w:val="auto"/>
        </w:rPr>
      </w:pPr>
      <w:r>
        <w:rPr>
          <w:rFonts w:ascii="Calibri" w:cs="Calibri" w:eastAsia="Calibri" w:hAnsi="Calibri"/>
          <w:sz w:val="17"/>
          <w:szCs w:val="17"/>
          <w:b w:val="1"/>
          <w:bCs w:val="1"/>
          <w:color w:val="auto"/>
        </w:rPr>
        <w:t>Total operatng expenses</w:t>
      </w:r>
      <w:r>
        <w:rPr>
          <w:rFonts w:ascii="Calibri" w:cs="Calibri" w:eastAsia="Calibri" w:hAnsi="Calibri"/>
          <w:sz w:val="27"/>
          <w:szCs w:val="27"/>
          <w:b w:val="1"/>
          <w:bCs w:val="1"/>
          <w:color w:val="auto"/>
          <w:vertAlign w:val="superscript"/>
        </w:rPr>
        <w:t>1</w:t>
      </w:r>
    </w:p>
    <w:p>
      <w:pPr>
        <w:spacing w:after="0" w:line="85" w:lineRule="exact"/>
        <w:rPr>
          <w:sz w:val="20"/>
          <w:szCs w:val="20"/>
          <w:color w:val="auto"/>
        </w:rPr>
      </w:pPr>
    </w:p>
    <w:tbl>
      <w:tblPr>
        <w:tblLayout w:type="fixed"/>
        <w:tblInd w:w="19" w:type="dxa"/>
        <w:tblCellMar>
          <w:top w:w="0" w:type="dxa"/>
          <w:left w:w="0" w:type="dxa"/>
          <w:bottom w:w="0" w:type="dxa"/>
          <w:right w:w="0" w:type="dxa"/>
        </w:tblCellMar>
      </w:tblPr>
      <w:tr>
        <w:trPr>
          <w:trHeight w:val="202"/>
        </w:trPr>
        <w:tc>
          <w:tcPr>
            <w:tcW w:w="50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Operatng expenses</w:t>
            </w:r>
          </w:p>
        </w:tc>
        <w:tc>
          <w:tcPr>
            <w:tcW w:w="1400" w:type="dxa"/>
            <w:vAlign w:val="bottom"/>
            <w:tcBorders>
              <w:top w:val="single" w:sz="8" w:color="auto"/>
            </w:tcBorders>
            <w:shd w:val="clear" w:color="auto" w:fill="2AD2C9"/>
          </w:tcPr>
          <w:p>
            <w:pPr>
              <w:spacing w:after="0"/>
              <w:rPr>
                <w:sz w:val="17"/>
                <w:szCs w:val="17"/>
                <w:color w:val="auto"/>
              </w:rPr>
            </w:pPr>
          </w:p>
        </w:tc>
        <w:tc>
          <w:tcPr>
            <w:tcW w:w="1380" w:type="dxa"/>
            <w:vAlign w:val="bottom"/>
            <w:tcBorders>
              <w:top w:val="single" w:sz="8" w:color="auto"/>
            </w:tcBorders>
            <w:shd w:val="clear" w:color="auto" w:fill="2AD2C9"/>
          </w:tcPr>
          <w:p>
            <w:pPr>
              <w:jc w:val="right"/>
              <w:ind w:right="624"/>
              <w:spacing w:after="0"/>
              <w:rPr>
                <w:sz w:val="20"/>
                <w:szCs w:val="20"/>
                <w:color w:val="auto"/>
              </w:rPr>
            </w:pPr>
            <w:r>
              <w:rPr>
                <w:rFonts w:ascii="Calibri" w:cs="Calibri" w:eastAsia="Calibri" w:hAnsi="Calibri"/>
                <w:sz w:val="15"/>
                <w:szCs w:val="15"/>
                <w:b w:val="1"/>
                <w:bCs w:val="1"/>
                <w:color w:val="FFFFFF"/>
              </w:rPr>
              <w:t>Quarter</w:t>
            </w:r>
          </w:p>
        </w:tc>
        <w:tc>
          <w:tcPr>
            <w:tcW w:w="920" w:type="dxa"/>
            <w:vAlign w:val="bottom"/>
            <w:tcBorders>
              <w:top w:val="single" w:sz="8" w:color="auto"/>
              <w:right w:val="single" w:sz="8" w:color="auto"/>
            </w:tcBorders>
            <w:shd w:val="clear" w:color="auto" w:fill="2AD2C9"/>
          </w:tcPr>
          <w:p>
            <w:pPr>
              <w:spacing w:after="0"/>
              <w:rPr>
                <w:sz w:val="17"/>
                <w:szCs w:val="17"/>
                <w:color w:val="auto"/>
              </w:rPr>
            </w:pPr>
          </w:p>
        </w:tc>
        <w:tc>
          <w:tcPr>
            <w:tcW w:w="900" w:type="dxa"/>
            <w:vAlign w:val="bottom"/>
            <w:tcBorders>
              <w:top w:val="single" w:sz="8" w:color="auto"/>
            </w:tcBorders>
            <w:shd w:val="clear" w:color="auto" w:fill="2AD2C9"/>
          </w:tcPr>
          <w:p>
            <w:pPr>
              <w:spacing w:after="0"/>
              <w:rPr>
                <w:sz w:val="17"/>
                <w:szCs w:val="17"/>
                <w:color w:val="auto"/>
              </w:rPr>
            </w:pPr>
          </w:p>
        </w:tc>
        <w:tc>
          <w:tcPr>
            <w:tcW w:w="1580" w:type="dxa"/>
            <w:vAlign w:val="bottom"/>
            <w:tcBorders>
              <w:top w:val="single" w:sz="8" w:color="auto"/>
              <w:right w:val="single" w:sz="8" w:color="auto"/>
            </w:tcBorders>
            <w:shd w:val="clear" w:color="auto" w:fill="2AD2C9"/>
          </w:tcPr>
          <w:p>
            <w:pPr>
              <w:ind w:left="40"/>
              <w:spacing w:after="0"/>
              <w:rPr>
                <w:sz w:val="20"/>
                <w:szCs w:val="20"/>
                <w:color w:val="auto"/>
              </w:rPr>
            </w:pPr>
            <w:r>
              <w:rPr>
                <w:rFonts w:ascii="Calibri" w:cs="Calibri" w:eastAsia="Calibri" w:hAnsi="Calibri"/>
                <w:sz w:val="15"/>
                <w:szCs w:val="15"/>
                <w:b w:val="1"/>
                <w:bCs w:val="1"/>
                <w:color w:val="FFFFFF"/>
              </w:rPr>
              <w:t>% change</w:t>
            </w:r>
          </w:p>
        </w:tc>
      </w:tr>
      <w:tr>
        <w:trPr>
          <w:trHeight w:val="186"/>
        </w:trPr>
        <w:tc>
          <w:tcPr>
            <w:tcW w:w="5080" w:type="dxa"/>
            <w:vAlign w:val="bottom"/>
            <w:tcBorders>
              <w:left w:val="single" w:sz="8" w:color="auto"/>
              <w:bottom w:val="single" w:sz="8" w:color="auto"/>
              <w:right w:val="single" w:sz="8" w:color="auto"/>
            </w:tcBorders>
            <w:shd w:val="clear" w:color="auto" w:fill="2AD2C9"/>
          </w:tcPr>
          <w:p>
            <w:pPr>
              <w:ind w:left="20"/>
              <w:spacing w:after="0" w:line="180" w:lineRule="exact"/>
              <w:rPr>
                <w:sz w:val="20"/>
                <w:szCs w:val="20"/>
                <w:color w:val="auto"/>
              </w:rPr>
            </w:pPr>
            <w:r>
              <w:rPr>
                <w:rFonts w:ascii="Calibri" w:cs="Calibri" w:eastAsia="Calibri" w:hAnsi="Calibri"/>
                <w:sz w:val="15"/>
                <w:szCs w:val="15"/>
                <w:b w:val="1"/>
                <w:bCs w:val="1"/>
                <w:color w:val="FFFFFF"/>
              </w:rPr>
              <w:t>S/ 000</w:t>
            </w:r>
          </w:p>
        </w:tc>
        <w:tc>
          <w:tcPr>
            <w:tcW w:w="1400" w:type="dxa"/>
            <w:vAlign w:val="bottom"/>
            <w:tcBorders>
              <w:bottom w:val="single" w:sz="8" w:color="auto"/>
            </w:tcBorders>
            <w:shd w:val="clear" w:color="auto" w:fill="2AD2C9"/>
          </w:tcPr>
          <w:p>
            <w:pPr>
              <w:jc w:val="right"/>
              <w:ind w:right="104"/>
              <w:spacing w:after="0" w:line="180" w:lineRule="exact"/>
              <w:rPr>
                <w:sz w:val="20"/>
                <w:szCs w:val="20"/>
                <w:color w:val="auto"/>
              </w:rPr>
            </w:pPr>
            <w:r>
              <w:rPr>
                <w:rFonts w:ascii="Calibri" w:cs="Calibri" w:eastAsia="Calibri" w:hAnsi="Calibri"/>
                <w:sz w:val="15"/>
                <w:szCs w:val="15"/>
                <w:b w:val="1"/>
                <w:bCs w:val="1"/>
                <w:color w:val="FFFFFF"/>
              </w:rPr>
              <w:t>1Q22</w:t>
            </w:r>
          </w:p>
        </w:tc>
        <w:tc>
          <w:tcPr>
            <w:tcW w:w="1380" w:type="dxa"/>
            <w:vAlign w:val="bottom"/>
            <w:tcBorders>
              <w:bottom w:val="single" w:sz="8" w:color="auto"/>
            </w:tcBorders>
            <w:shd w:val="clear" w:color="auto" w:fill="2AD2C9"/>
          </w:tcPr>
          <w:p>
            <w:pPr>
              <w:jc w:val="right"/>
              <w:ind w:right="244"/>
              <w:spacing w:after="0" w:line="180" w:lineRule="exact"/>
              <w:rPr>
                <w:sz w:val="20"/>
                <w:szCs w:val="20"/>
                <w:color w:val="auto"/>
              </w:rPr>
            </w:pPr>
            <w:r>
              <w:rPr>
                <w:rFonts w:ascii="Calibri" w:cs="Calibri" w:eastAsia="Calibri" w:hAnsi="Calibri"/>
                <w:sz w:val="15"/>
                <w:szCs w:val="15"/>
                <w:b w:val="1"/>
                <w:bCs w:val="1"/>
                <w:color w:val="FFFFFF"/>
              </w:rPr>
              <w:t>4Q22</w:t>
            </w:r>
          </w:p>
        </w:tc>
        <w:tc>
          <w:tcPr>
            <w:tcW w:w="920" w:type="dxa"/>
            <w:vAlign w:val="bottom"/>
            <w:tcBorders>
              <w:bottom w:val="single" w:sz="8" w:color="auto"/>
              <w:right w:val="single" w:sz="8" w:color="auto"/>
            </w:tcBorders>
            <w:shd w:val="clear" w:color="auto" w:fill="2AD2C9"/>
          </w:tcPr>
          <w:p>
            <w:pPr>
              <w:jc w:val="right"/>
              <w:spacing w:after="0" w:line="180" w:lineRule="exact"/>
              <w:rPr>
                <w:sz w:val="20"/>
                <w:szCs w:val="20"/>
                <w:color w:val="auto"/>
              </w:rPr>
            </w:pPr>
            <w:r>
              <w:rPr>
                <w:rFonts w:ascii="Calibri" w:cs="Calibri" w:eastAsia="Calibri" w:hAnsi="Calibri"/>
                <w:sz w:val="15"/>
                <w:szCs w:val="15"/>
                <w:b w:val="1"/>
                <w:bCs w:val="1"/>
                <w:color w:val="FFFFFF"/>
              </w:rPr>
              <w:t>1Q23</w:t>
            </w:r>
          </w:p>
        </w:tc>
        <w:tc>
          <w:tcPr>
            <w:tcW w:w="900" w:type="dxa"/>
            <w:vAlign w:val="bottom"/>
            <w:tcBorders>
              <w:bottom w:val="single" w:sz="8" w:color="auto"/>
            </w:tcBorders>
            <w:shd w:val="clear" w:color="auto" w:fill="2AD2C9"/>
          </w:tcPr>
          <w:p>
            <w:pPr>
              <w:ind w:left="500"/>
              <w:spacing w:after="0" w:line="180" w:lineRule="exact"/>
              <w:rPr>
                <w:sz w:val="20"/>
                <w:szCs w:val="20"/>
                <w:color w:val="auto"/>
              </w:rPr>
            </w:pPr>
            <w:r>
              <w:rPr>
                <w:rFonts w:ascii="Calibri" w:cs="Calibri" w:eastAsia="Calibri" w:hAnsi="Calibri"/>
                <w:sz w:val="15"/>
                <w:szCs w:val="15"/>
                <w:b w:val="1"/>
                <w:bCs w:val="1"/>
                <w:color w:val="FFFFFF"/>
              </w:rPr>
              <w:t>QoQ</w:t>
            </w:r>
          </w:p>
        </w:tc>
        <w:tc>
          <w:tcPr>
            <w:tcW w:w="1580" w:type="dxa"/>
            <w:vAlign w:val="bottom"/>
            <w:tcBorders>
              <w:bottom w:val="single" w:sz="8" w:color="auto"/>
              <w:right w:val="single" w:sz="8" w:color="auto"/>
            </w:tcBorders>
            <w:shd w:val="clear" w:color="auto" w:fill="2AD2C9"/>
          </w:tcPr>
          <w:p>
            <w:pPr>
              <w:ind w:left="860"/>
              <w:spacing w:after="0" w:line="180" w:lineRule="exact"/>
              <w:rPr>
                <w:sz w:val="20"/>
                <w:szCs w:val="20"/>
                <w:color w:val="auto"/>
              </w:rPr>
            </w:pPr>
            <w:r>
              <w:rPr>
                <w:rFonts w:ascii="Calibri" w:cs="Calibri" w:eastAsia="Calibri" w:hAnsi="Calibri"/>
                <w:sz w:val="15"/>
                <w:szCs w:val="15"/>
                <w:b w:val="1"/>
                <w:bCs w:val="1"/>
                <w:color w:val="FFFFFF"/>
              </w:rPr>
              <w:t>YoY</w:t>
            </w:r>
          </w:p>
        </w:tc>
      </w:tr>
      <w:tr>
        <w:trPr>
          <w:trHeight w:val="163"/>
        </w:trPr>
        <w:tc>
          <w:tcPr>
            <w:tcW w:w="5080" w:type="dxa"/>
            <w:vAlign w:val="bottom"/>
            <w:tcBorders>
              <w:left w:val="single" w:sz="8" w:color="auto"/>
              <w:right w:val="single" w:sz="8" w:color="auto"/>
            </w:tcBorders>
          </w:tcPr>
          <w:p>
            <w:pPr>
              <w:ind w:left="20"/>
              <w:spacing w:after="0" w:line="163" w:lineRule="exact"/>
              <w:rPr>
                <w:sz w:val="20"/>
                <w:szCs w:val="20"/>
                <w:color w:val="auto"/>
              </w:rPr>
            </w:pPr>
            <w:r>
              <w:rPr>
                <w:rFonts w:ascii="Calibri" w:cs="Calibri" w:eastAsia="Calibri" w:hAnsi="Calibri"/>
                <w:sz w:val="15"/>
                <w:szCs w:val="15"/>
                <w:color w:val="auto"/>
              </w:rPr>
              <w:t>Salaries and employees benefts</w:t>
            </w:r>
          </w:p>
        </w:tc>
        <w:tc>
          <w:tcPr>
            <w:tcW w:w="1400" w:type="dxa"/>
            <w:vAlign w:val="bottom"/>
          </w:tcPr>
          <w:p>
            <w:pPr>
              <w:jc w:val="right"/>
              <w:ind w:right="104"/>
              <w:spacing w:after="0" w:line="163" w:lineRule="exact"/>
              <w:rPr>
                <w:sz w:val="20"/>
                <w:szCs w:val="20"/>
                <w:color w:val="auto"/>
              </w:rPr>
            </w:pPr>
            <w:r>
              <w:rPr>
                <w:rFonts w:ascii="Calibri" w:cs="Calibri" w:eastAsia="Calibri" w:hAnsi="Calibri"/>
                <w:sz w:val="15"/>
                <w:szCs w:val="15"/>
                <w:color w:val="auto"/>
              </w:rPr>
              <w:t>939,518</w:t>
            </w:r>
          </w:p>
        </w:tc>
        <w:tc>
          <w:tcPr>
            <w:tcW w:w="1380" w:type="dxa"/>
            <w:vAlign w:val="bottom"/>
          </w:tcPr>
          <w:p>
            <w:pPr>
              <w:jc w:val="right"/>
              <w:ind w:right="244"/>
              <w:spacing w:after="0" w:line="163" w:lineRule="exact"/>
              <w:rPr>
                <w:sz w:val="20"/>
                <w:szCs w:val="20"/>
                <w:color w:val="auto"/>
              </w:rPr>
            </w:pPr>
            <w:r>
              <w:rPr>
                <w:rFonts w:ascii="Calibri" w:cs="Calibri" w:eastAsia="Calibri" w:hAnsi="Calibri"/>
                <w:sz w:val="15"/>
                <w:szCs w:val="15"/>
                <w:color w:val="auto"/>
              </w:rPr>
              <w:t>1,040,066</w:t>
            </w:r>
          </w:p>
        </w:tc>
        <w:tc>
          <w:tcPr>
            <w:tcW w:w="920" w:type="dxa"/>
            <w:vAlign w:val="bottom"/>
            <w:tcBorders>
              <w:right w:val="single" w:sz="8" w:color="auto"/>
            </w:tcBorders>
          </w:tcPr>
          <w:p>
            <w:pPr>
              <w:jc w:val="right"/>
              <w:spacing w:after="0" w:line="163" w:lineRule="exact"/>
              <w:rPr>
                <w:sz w:val="20"/>
                <w:szCs w:val="20"/>
                <w:color w:val="auto"/>
              </w:rPr>
            </w:pPr>
            <w:r>
              <w:rPr>
                <w:rFonts w:ascii="Calibri" w:cs="Calibri" w:eastAsia="Calibri" w:hAnsi="Calibri"/>
                <w:sz w:val="15"/>
                <w:szCs w:val="15"/>
                <w:color w:val="auto"/>
              </w:rPr>
              <w:t>1,029,558</w:t>
            </w:r>
          </w:p>
        </w:tc>
        <w:tc>
          <w:tcPr>
            <w:tcW w:w="900" w:type="dxa"/>
            <w:vAlign w:val="bottom"/>
          </w:tcPr>
          <w:p>
            <w:pPr>
              <w:jc w:val="center"/>
              <w:ind w:left="324"/>
              <w:spacing w:after="0" w:line="163" w:lineRule="exact"/>
              <w:rPr>
                <w:sz w:val="20"/>
                <w:szCs w:val="20"/>
                <w:color w:val="auto"/>
              </w:rPr>
            </w:pPr>
            <w:r>
              <w:rPr>
                <w:rFonts w:ascii="Calibri" w:cs="Calibri" w:eastAsia="Calibri" w:hAnsi="Calibri"/>
                <w:sz w:val="15"/>
                <w:szCs w:val="15"/>
                <w:color w:val="auto"/>
                <w:w w:val="98"/>
              </w:rPr>
              <w:t>-1.0%</w:t>
            </w:r>
          </w:p>
        </w:tc>
        <w:tc>
          <w:tcPr>
            <w:tcW w:w="1580" w:type="dxa"/>
            <w:vAlign w:val="bottom"/>
            <w:tcBorders>
              <w:right w:val="single" w:sz="8" w:color="auto"/>
            </w:tcBorders>
          </w:tcPr>
          <w:p>
            <w:pPr>
              <w:jc w:val="center"/>
              <w:ind w:left="284"/>
              <w:spacing w:after="0" w:line="163" w:lineRule="exact"/>
              <w:rPr>
                <w:sz w:val="20"/>
                <w:szCs w:val="20"/>
                <w:color w:val="auto"/>
              </w:rPr>
            </w:pPr>
            <w:r>
              <w:rPr>
                <w:rFonts w:ascii="Calibri" w:cs="Calibri" w:eastAsia="Calibri" w:hAnsi="Calibri"/>
                <w:sz w:val="15"/>
                <w:szCs w:val="15"/>
                <w:color w:val="auto"/>
              </w:rPr>
              <w:t>9.6%</w:t>
            </w:r>
          </w:p>
        </w:tc>
      </w:tr>
      <w:tr>
        <w:trPr>
          <w:trHeight w:val="179"/>
        </w:trPr>
        <w:tc>
          <w:tcPr>
            <w:tcW w:w="508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Administratve, general and tax expenses</w:t>
            </w:r>
          </w:p>
        </w:tc>
        <w:tc>
          <w:tcPr>
            <w:tcW w:w="1400" w:type="dxa"/>
            <w:vAlign w:val="bottom"/>
          </w:tcPr>
          <w:p>
            <w:pPr>
              <w:jc w:val="right"/>
              <w:ind w:right="104"/>
              <w:spacing w:after="0" w:line="180" w:lineRule="exact"/>
              <w:rPr>
                <w:sz w:val="20"/>
                <w:szCs w:val="20"/>
                <w:color w:val="auto"/>
              </w:rPr>
            </w:pPr>
            <w:r>
              <w:rPr>
                <w:rFonts w:ascii="Calibri" w:cs="Calibri" w:eastAsia="Calibri" w:hAnsi="Calibri"/>
                <w:sz w:val="15"/>
                <w:szCs w:val="15"/>
                <w:color w:val="auto"/>
              </w:rPr>
              <w:t>696,065</w:t>
            </w:r>
          </w:p>
        </w:tc>
        <w:tc>
          <w:tcPr>
            <w:tcW w:w="1380" w:type="dxa"/>
            <w:vAlign w:val="bottom"/>
          </w:tcPr>
          <w:p>
            <w:pPr>
              <w:jc w:val="right"/>
              <w:ind w:right="244"/>
              <w:spacing w:after="0" w:line="180" w:lineRule="exact"/>
              <w:rPr>
                <w:sz w:val="20"/>
                <w:szCs w:val="20"/>
                <w:color w:val="auto"/>
              </w:rPr>
            </w:pPr>
            <w:r>
              <w:rPr>
                <w:rFonts w:ascii="Calibri" w:cs="Calibri" w:eastAsia="Calibri" w:hAnsi="Calibri"/>
                <w:sz w:val="15"/>
                <w:szCs w:val="15"/>
                <w:color w:val="auto"/>
              </w:rPr>
              <w:t>1,042,882</w:t>
            </w:r>
          </w:p>
        </w:tc>
        <w:tc>
          <w:tcPr>
            <w:tcW w:w="92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835,060</w:t>
            </w:r>
          </w:p>
        </w:tc>
        <w:tc>
          <w:tcPr>
            <w:tcW w:w="900" w:type="dxa"/>
            <w:vAlign w:val="bottom"/>
          </w:tcPr>
          <w:p>
            <w:pPr>
              <w:jc w:val="center"/>
              <w:ind w:left="324"/>
              <w:spacing w:after="0" w:line="180" w:lineRule="exact"/>
              <w:rPr>
                <w:sz w:val="20"/>
                <w:szCs w:val="20"/>
                <w:color w:val="auto"/>
              </w:rPr>
            </w:pPr>
            <w:r>
              <w:rPr>
                <w:rFonts w:ascii="Calibri" w:cs="Calibri" w:eastAsia="Calibri" w:hAnsi="Calibri"/>
                <w:sz w:val="15"/>
                <w:szCs w:val="15"/>
                <w:color w:val="auto"/>
              </w:rPr>
              <w:t>-19.9%</w:t>
            </w:r>
          </w:p>
        </w:tc>
        <w:tc>
          <w:tcPr>
            <w:tcW w:w="1580" w:type="dxa"/>
            <w:vAlign w:val="bottom"/>
            <w:tcBorders>
              <w:right w:val="single" w:sz="8" w:color="auto"/>
            </w:tcBorders>
          </w:tcPr>
          <w:p>
            <w:pPr>
              <w:jc w:val="center"/>
              <w:ind w:left="304"/>
              <w:spacing w:after="0" w:line="180" w:lineRule="exact"/>
              <w:rPr>
                <w:sz w:val="20"/>
                <w:szCs w:val="20"/>
                <w:color w:val="auto"/>
              </w:rPr>
            </w:pPr>
            <w:r>
              <w:rPr>
                <w:rFonts w:ascii="Calibri" w:cs="Calibri" w:eastAsia="Calibri" w:hAnsi="Calibri"/>
                <w:sz w:val="15"/>
                <w:szCs w:val="15"/>
                <w:color w:val="auto"/>
                <w:w w:val="96"/>
              </w:rPr>
              <w:t>20.0%</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Depreciaton and amortzaton</w:t>
            </w:r>
          </w:p>
        </w:tc>
        <w:tc>
          <w:tcPr>
            <w:tcW w:w="1400" w:type="dxa"/>
            <w:vAlign w:val="bottom"/>
          </w:tcPr>
          <w:p>
            <w:pPr>
              <w:jc w:val="right"/>
              <w:ind w:right="104"/>
              <w:spacing w:after="0" w:line="181" w:lineRule="exact"/>
              <w:rPr>
                <w:sz w:val="20"/>
                <w:szCs w:val="20"/>
                <w:color w:val="auto"/>
              </w:rPr>
            </w:pPr>
            <w:r>
              <w:rPr>
                <w:rFonts w:ascii="Calibri" w:cs="Calibri" w:eastAsia="Calibri" w:hAnsi="Calibri"/>
                <w:sz w:val="15"/>
                <w:szCs w:val="15"/>
                <w:color w:val="auto"/>
              </w:rPr>
              <w:t>151,894</w:t>
            </w:r>
          </w:p>
        </w:tc>
        <w:tc>
          <w:tcPr>
            <w:tcW w:w="1380" w:type="dxa"/>
            <w:vAlign w:val="bottom"/>
          </w:tcPr>
          <w:p>
            <w:pPr>
              <w:jc w:val="right"/>
              <w:ind w:right="244"/>
              <w:spacing w:after="0" w:line="181" w:lineRule="exact"/>
              <w:rPr>
                <w:sz w:val="20"/>
                <w:szCs w:val="20"/>
                <w:color w:val="auto"/>
              </w:rPr>
            </w:pPr>
            <w:r>
              <w:rPr>
                <w:rFonts w:ascii="Calibri" w:cs="Calibri" w:eastAsia="Calibri" w:hAnsi="Calibri"/>
                <w:sz w:val="15"/>
                <w:szCs w:val="15"/>
                <w:color w:val="auto"/>
              </w:rPr>
              <w:t>165,180</w:t>
            </w:r>
          </w:p>
        </w:tc>
        <w:tc>
          <w:tcPr>
            <w:tcW w:w="920" w:type="dxa"/>
            <w:vAlign w:val="bottom"/>
            <w:tcBorders>
              <w:right w:val="single" w:sz="8" w:color="auto"/>
            </w:tcBorders>
          </w:tcPr>
          <w:p>
            <w:pPr>
              <w:jc w:val="right"/>
              <w:spacing w:after="0" w:line="181" w:lineRule="exact"/>
              <w:rPr>
                <w:sz w:val="20"/>
                <w:szCs w:val="20"/>
                <w:color w:val="auto"/>
              </w:rPr>
            </w:pPr>
            <w:r>
              <w:rPr>
                <w:rFonts w:ascii="Calibri" w:cs="Calibri" w:eastAsia="Calibri" w:hAnsi="Calibri"/>
                <w:sz w:val="15"/>
                <w:szCs w:val="15"/>
                <w:color w:val="auto"/>
              </w:rPr>
              <w:t>160,924</w:t>
            </w:r>
          </w:p>
        </w:tc>
        <w:tc>
          <w:tcPr>
            <w:tcW w:w="900" w:type="dxa"/>
            <w:vAlign w:val="bottom"/>
          </w:tcPr>
          <w:p>
            <w:pPr>
              <w:jc w:val="center"/>
              <w:ind w:left="324"/>
              <w:spacing w:after="0" w:line="181" w:lineRule="exact"/>
              <w:rPr>
                <w:sz w:val="20"/>
                <w:szCs w:val="20"/>
                <w:color w:val="auto"/>
              </w:rPr>
            </w:pPr>
            <w:r>
              <w:rPr>
                <w:rFonts w:ascii="Calibri" w:cs="Calibri" w:eastAsia="Calibri" w:hAnsi="Calibri"/>
                <w:sz w:val="15"/>
                <w:szCs w:val="15"/>
                <w:color w:val="auto"/>
                <w:w w:val="98"/>
              </w:rPr>
              <w:t>-2.6%</w:t>
            </w:r>
          </w:p>
        </w:tc>
        <w:tc>
          <w:tcPr>
            <w:tcW w:w="1580" w:type="dxa"/>
            <w:vAlign w:val="bottom"/>
            <w:tcBorders>
              <w:right w:val="single" w:sz="8" w:color="auto"/>
            </w:tcBorders>
          </w:tcPr>
          <w:p>
            <w:pPr>
              <w:jc w:val="center"/>
              <w:ind w:left="284"/>
              <w:spacing w:after="0" w:line="181" w:lineRule="exact"/>
              <w:rPr>
                <w:sz w:val="20"/>
                <w:szCs w:val="20"/>
                <w:color w:val="auto"/>
              </w:rPr>
            </w:pPr>
            <w:r>
              <w:rPr>
                <w:rFonts w:ascii="Calibri" w:cs="Calibri" w:eastAsia="Calibri" w:hAnsi="Calibri"/>
                <w:sz w:val="15"/>
                <w:szCs w:val="15"/>
                <w:color w:val="auto"/>
              </w:rPr>
              <w:t>5.9%</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Associaton in partcipaton</w:t>
            </w:r>
          </w:p>
        </w:tc>
        <w:tc>
          <w:tcPr>
            <w:tcW w:w="1400" w:type="dxa"/>
            <w:vAlign w:val="bottom"/>
          </w:tcPr>
          <w:p>
            <w:pPr>
              <w:jc w:val="right"/>
              <w:ind w:right="104"/>
              <w:spacing w:after="0" w:line="181" w:lineRule="exact"/>
              <w:rPr>
                <w:sz w:val="20"/>
                <w:szCs w:val="20"/>
                <w:color w:val="auto"/>
              </w:rPr>
            </w:pPr>
            <w:r>
              <w:rPr>
                <w:rFonts w:ascii="Calibri" w:cs="Calibri" w:eastAsia="Calibri" w:hAnsi="Calibri"/>
                <w:sz w:val="15"/>
                <w:szCs w:val="15"/>
                <w:color w:val="auto"/>
              </w:rPr>
              <w:t>7,691</w:t>
            </w:r>
          </w:p>
        </w:tc>
        <w:tc>
          <w:tcPr>
            <w:tcW w:w="1380" w:type="dxa"/>
            <w:vAlign w:val="bottom"/>
          </w:tcPr>
          <w:p>
            <w:pPr>
              <w:jc w:val="right"/>
              <w:ind w:right="244"/>
              <w:spacing w:after="0" w:line="181" w:lineRule="exact"/>
              <w:rPr>
                <w:sz w:val="20"/>
                <w:szCs w:val="20"/>
                <w:color w:val="auto"/>
              </w:rPr>
            </w:pPr>
            <w:r>
              <w:rPr>
                <w:rFonts w:ascii="Calibri" w:cs="Calibri" w:eastAsia="Calibri" w:hAnsi="Calibri"/>
                <w:sz w:val="15"/>
                <w:szCs w:val="15"/>
                <w:color w:val="auto"/>
              </w:rPr>
              <w:t>12,936</w:t>
            </w:r>
          </w:p>
        </w:tc>
        <w:tc>
          <w:tcPr>
            <w:tcW w:w="920" w:type="dxa"/>
            <w:vAlign w:val="bottom"/>
            <w:tcBorders>
              <w:right w:val="single" w:sz="8" w:color="auto"/>
            </w:tcBorders>
          </w:tcPr>
          <w:p>
            <w:pPr>
              <w:jc w:val="right"/>
              <w:spacing w:after="0" w:line="181" w:lineRule="exact"/>
              <w:rPr>
                <w:sz w:val="20"/>
                <w:szCs w:val="20"/>
                <w:color w:val="auto"/>
              </w:rPr>
            </w:pPr>
            <w:r>
              <w:rPr>
                <w:rFonts w:ascii="Calibri" w:cs="Calibri" w:eastAsia="Calibri" w:hAnsi="Calibri"/>
                <w:sz w:val="15"/>
                <w:szCs w:val="15"/>
                <w:color w:val="auto"/>
              </w:rPr>
              <w:t>12,612</w:t>
            </w:r>
          </w:p>
        </w:tc>
        <w:tc>
          <w:tcPr>
            <w:tcW w:w="900" w:type="dxa"/>
            <w:vAlign w:val="bottom"/>
          </w:tcPr>
          <w:p>
            <w:pPr>
              <w:jc w:val="center"/>
              <w:ind w:left="324"/>
              <w:spacing w:after="0" w:line="181" w:lineRule="exact"/>
              <w:rPr>
                <w:sz w:val="20"/>
                <w:szCs w:val="20"/>
                <w:color w:val="auto"/>
              </w:rPr>
            </w:pPr>
            <w:r>
              <w:rPr>
                <w:rFonts w:ascii="Calibri" w:cs="Calibri" w:eastAsia="Calibri" w:hAnsi="Calibri"/>
                <w:sz w:val="15"/>
                <w:szCs w:val="15"/>
                <w:color w:val="auto"/>
                <w:w w:val="98"/>
              </w:rPr>
              <w:t>-2.5%</w:t>
            </w:r>
          </w:p>
        </w:tc>
        <w:tc>
          <w:tcPr>
            <w:tcW w:w="1580" w:type="dxa"/>
            <w:vAlign w:val="bottom"/>
            <w:tcBorders>
              <w:right w:val="single" w:sz="8" w:color="auto"/>
            </w:tcBorders>
          </w:tcPr>
          <w:p>
            <w:pPr>
              <w:jc w:val="center"/>
              <w:ind w:left="304"/>
              <w:spacing w:after="0" w:line="181" w:lineRule="exact"/>
              <w:rPr>
                <w:sz w:val="20"/>
                <w:szCs w:val="20"/>
                <w:color w:val="auto"/>
              </w:rPr>
            </w:pPr>
            <w:r>
              <w:rPr>
                <w:rFonts w:ascii="Calibri" w:cs="Calibri" w:eastAsia="Calibri" w:hAnsi="Calibri"/>
                <w:sz w:val="15"/>
                <w:szCs w:val="15"/>
                <w:color w:val="auto"/>
                <w:w w:val="96"/>
              </w:rPr>
              <w:t>64.0%</w:t>
            </w:r>
          </w:p>
        </w:tc>
      </w:tr>
      <w:tr>
        <w:trPr>
          <w:trHeight w:val="23"/>
        </w:trPr>
        <w:tc>
          <w:tcPr>
            <w:tcW w:w="508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184"/>
        </w:trPr>
        <w:tc>
          <w:tcPr>
            <w:tcW w:w="5080" w:type="dxa"/>
            <w:vAlign w:val="bottom"/>
            <w:tcBorders>
              <w:left w:val="single" w:sz="8" w:color="auto"/>
              <w:bottom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Operatng expenses</w:t>
            </w:r>
          </w:p>
        </w:tc>
        <w:tc>
          <w:tcPr>
            <w:tcW w:w="1400" w:type="dxa"/>
            <w:vAlign w:val="bottom"/>
            <w:tcBorders>
              <w:bottom w:val="single" w:sz="8" w:color="auto"/>
            </w:tcBorders>
          </w:tcPr>
          <w:p>
            <w:pPr>
              <w:jc w:val="right"/>
              <w:ind w:right="104"/>
              <w:spacing w:after="0" w:line="180" w:lineRule="exact"/>
              <w:rPr>
                <w:sz w:val="20"/>
                <w:szCs w:val="20"/>
                <w:color w:val="auto"/>
              </w:rPr>
            </w:pPr>
            <w:r>
              <w:rPr>
                <w:rFonts w:ascii="Calibri" w:cs="Calibri" w:eastAsia="Calibri" w:hAnsi="Calibri"/>
                <w:sz w:val="15"/>
                <w:szCs w:val="15"/>
                <w:color w:val="auto"/>
              </w:rPr>
              <w:t>1,795,168</w:t>
            </w:r>
          </w:p>
        </w:tc>
        <w:tc>
          <w:tcPr>
            <w:tcW w:w="1380" w:type="dxa"/>
            <w:vAlign w:val="bottom"/>
            <w:tcBorders>
              <w:bottom w:val="single" w:sz="8" w:color="auto"/>
            </w:tcBorders>
          </w:tcPr>
          <w:p>
            <w:pPr>
              <w:jc w:val="right"/>
              <w:ind w:right="244"/>
              <w:spacing w:after="0" w:line="180" w:lineRule="exact"/>
              <w:rPr>
                <w:sz w:val="20"/>
                <w:szCs w:val="20"/>
                <w:color w:val="auto"/>
              </w:rPr>
            </w:pPr>
            <w:r>
              <w:rPr>
                <w:rFonts w:ascii="Calibri" w:cs="Calibri" w:eastAsia="Calibri" w:hAnsi="Calibri"/>
                <w:sz w:val="15"/>
                <w:szCs w:val="15"/>
                <w:color w:val="auto"/>
              </w:rPr>
              <w:t>2,261,064</w:t>
            </w:r>
          </w:p>
        </w:tc>
        <w:tc>
          <w:tcPr>
            <w:tcW w:w="920" w:type="dxa"/>
            <w:vAlign w:val="bottom"/>
            <w:tcBorders>
              <w:bottom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2,038,154</w:t>
            </w:r>
          </w:p>
        </w:tc>
        <w:tc>
          <w:tcPr>
            <w:tcW w:w="900" w:type="dxa"/>
            <w:vAlign w:val="bottom"/>
            <w:tcBorders>
              <w:bottom w:val="single" w:sz="8" w:color="auto"/>
            </w:tcBorders>
          </w:tcPr>
          <w:p>
            <w:pPr>
              <w:jc w:val="center"/>
              <w:ind w:left="324"/>
              <w:spacing w:after="0" w:line="180" w:lineRule="exact"/>
              <w:rPr>
                <w:sz w:val="20"/>
                <w:szCs w:val="20"/>
                <w:color w:val="auto"/>
              </w:rPr>
            </w:pPr>
            <w:r>
              <w:rPr>
                <w:rFonts w:ascii="Calibri" w:cs="Calibri" w:eastAsia="Calibri" w:hAnsi="Calibri"/>
                <w:sz w:val="15"/>
                <w:szCs w:val="15"/>
                <w:color w:val="auto"/>
                <w:w w:val="98"/>
              </w:rPr>
              <w:t>-9.9%</w:t>
            </w:r>
          </w:p>
        </w:tc>
        <w:tc>
          <w:tcPr>
            <w:tcW w:w="1580" w:type="dxa"/>
            <w:vAlign w:val="bottom"/>
            <w:tcBorders>
              <w:bottom w:val="single" w:sz="8" w:color="auto"/>
              <w:right w:val="single" w:sz="8" w:color="auto"/>
            </w:tcBorders>
          </w:tcPr>
          <w:p>
            <w:pPr>
              <w:jc w:val="center"/>
              <w:ind w:left="304"/>
              <w:spacing w:after="0" w:line="180" w:lineRule="exact"/>
              <w:rPr>
                <w:sz w:val="20"/>
                <w:szCs w:val="20"/>
                <w:color w:val="auto"/>
              </w:rPr>
            </w:pPr>
            <w:r>
              <w:rPr>
                <w:rFonts w:ascii="Calibri" w:cs="Calibri" w:eastAsia="Calibri" w:hAnsi="Calibri"/>
                <w:sz w:val="15"/>
                <w:szCs w:val="15"/>
                <w:color w:val="auto"/>
                <w:w w:val="96"/>
              </w:rPr>
              <w:t>13.5%</w:t>
            </w:r>
          </w:p>
        </w:tc>
      </w:tr>
    </w:tbl>
    <w:p>
      <w:pPr>
        <w:spacing w:after="0" w:line="186" w:lineRule="exact"/>
        <w:rPr>
          <w:sz w:val="20"/>
          <w:szCs w:val="20"/>
          <w:color w:val="auto"/>
        </w:rPr>
      </w:pPr>
    </w:p>
    <w:p>
      <w:pPr>
        <w:ind w:left="9"/>
        <w:spacing w:after="0"/>
        <w:rPr>
          <w:sz w:val="20"/>
          <w:szCs w:val="20"/>
          <w:color w:val="auto"/>
        </w:rPr>
      </w:pPr>
      <w:r>
        <w:rPr>
          <w:rFonts w:ascii="Calibri" w:cs="Calibri" w:eastAsia="Calibri" w:hAnsi="Calibri"/>
          <w:sz w:val="10"/>
          <w:szCs w:val="10"/>
          <w:color w:val="auto"/>
        </w:rPr>
        <w:t>(1) Due to the applicaton of IFRS 17, which impacts reportng for Insurance contracts, Operatng Expenses have been restated and as such, difer with regard to calculatons in previous reports. For more details, review annex 12.1.8.</w:t>
      </w:r>
    </w:p>
    <w:p>
      <w:pPr>
        <w:spacing w:after="0" w:line="192"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The expense analysis will focus on YoY movements to eliminate seasonality efects between quarters.</w:t>
      </w:r>
    </w:p>
    <w:p>
      <w:pPr>
        <w:spacing w:after="0" w:line="203"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Operatng expenses contnue to rise due to:</w:t>
      </w:r>
    </w:p>
    <w:p>
      <w:pPr>
        <w:spacing w:after="0" w:line="206" w:lineRule="exact"/>
        <w:rPr>
          <w:sz w:val="20"/>
          <w:szCs w:val="20"/>
          <w:color w:val="auto"/>
        </w:rPr>
      </w:pPr>
    </w:p>
    <w:p>
      <w:pPr>
        <w:ind w:left="269" w:hanging="269"/>
        <w:spacing w:after="0" w:line="236" w:lineRule="auto"/>
        <w:tabs>
          <w:tab w:leader="none" w:pos="269" w:val="left"/>
        </w:tabs>
        <w:numPr>
          <w:ilvl w:val="0"/>
          <w:numId w:val="42"/>
        </w:numPr>
        <w:rPr>
          <w:rFonts w:ascii="Arial" w:cs="Arial" w:eastAsia="Arial" w:hAnsi="Arial"/>
          <w:sz w:val="15"/>
          <w:szCs w:val="15"/>
          <w:color w:val="auto"/>
        </w:rPr>
      </w:pPr>
      <w:r>
        <w:rPr>
          <w:rFonts w:ascii="Calibri" w:cs="Calibri" w:eastAsia="Calibri" w:hAnsi="Calibri"/>
          <w:sz w:val="15"/>
          <w:szCs w:val="15"/>
          <w:color w:val="auto"/>
        </w:rPr>
        <w:t xml:space="preserve">Growth in </w:t>
      </w:r>
      <w:r>
        <w:rPr>
          <w:rFonts w:ascii="Calibri" w:cs="Calibri" w:eastAsia="Calibri" w:hAnsi="Calibri"/>
          <w:sz w:val="15"/>
          <w:szCs w:val="15"/>
          <w:b w:val="1"/>
          <w:bCs w:val="1"/>
          <w:color w:val="auto"/>
        </w:rPr>
        <w:t>Administratve and general expenses and taxes</w:t>
      </w:r>
      <w:r>
        <w:rPr>
          <w:rFonts w:ascii="Calibri" w:cs="Calibri" w:eastAsia="Calibri" w:hAnsi="Calibri"/>
          <w:sz w:val="15"/>
          <w:szCs w:val="15"/>
          <w:color w:val="auto"/>
        </w:rPr>
        <w:t>, mainly at BCP; this uptck was driven by an increase in transactonal expenses and fdelity programs, growth in IT expenses related to the transformaton strategy; and disruptve expenses.</w:t>
      </w:r>
    </w:p>
    <w:p>
      <w:pPr>
        <w:ind w:left="269" w:hanging="269"/>
        <w:spacing w:after="0" w:line="237" w:lineRule="auto"/>
        <w:tabs>
          <w:tab w:leader="none" w:pos="269" w:val="left"/>
        </w:tabs>
        <w:numPr>
          <w:ilvl w:val="0"/>
          <w:numId w:val="42"/>
        </w:numPr>
        <w:rPr>
          <w:rFonts w:ascii="Arial" w:cs="Arial" w:eastAsia="Arial" w:hAnsi="Arial"/>
          <w:sz w:val="15"/>
          <w:szCs w:val="15"/>
          <w:color w:val="auto"/>
        </w:rPr>
      </w:pPr>
      <w:r>
        <w:rPr>
          <w:rFonts w:ascii="Calibri" w:cs="Calibri" w:eastAsia="Calibri" w:hAnsi="Calibri"/>
          <w:sz w:val="15"/>
          <w:szCs w:val="15"/>
          <w:color w:val="auto"/>
        </w:rPr>
        <w:t xml:space="preserve">An increase in </w:t>
      </w:r>
      <w:r>
        <w:rPr>
          <w:rFonts w:ascii="Calibri" w:cs="Calibri" w:eastAsia="Calibri" w:hAnsi="Calibri"/>
          <w:sz w:val="15"/>
          <w:szCs w:val="15"/>
          <w:b w:val="1"/>
          <w:bCs w:val="1"/>
          <w:color w:val="auto"/>
        </w:rPr>
        <w:t>Salaries and employee benefts</w:t>
      </w:r>
      <w:r>
        <w:rPr>
          <w:rFonts w:ascii="Calibri" w:cs="Calibri" w:eastAsia="Calibri" w:hAnsi="Calibri"/>
          <w:sz w:val="15"/>
          <w:szCs w:val="15"/>
          <w:color w:val="auto"/>
        </w:rPr>
        <w:t>, which was primarily fueled by growth in expenses for salaries of specialized personnel for disruptve and IT projects.</w:t>
      </w:r>
    </w:p>
    <w:p>
      <w:pPr>
        <w:spacing w:after="0" w:line="203"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If we exclude disruptve expenses, growth stands at 8.9% YoY.</w:t>
      </w:r>
    </w:p>
    <w:p>
      <w:pPr>
        <w:spacing w:after="0" w:line="194" w:lineRule="exact"/>
        <w:rPr>
          <w:sz w:val="20"/>
          <w:szCs w:val="20"/>
          <w:color w:val="auto"/>
        </w:rPr>
      </w:pPr>
    </w:p>
    <w:p>
      <w:pPr>
        <w:ind w:left="9"/>
        <w:spacing w:after="0"/>
        <w:rPr>
          <w:sz w:val="20"/>
          <w:szCs w:val="20"/>
          <w:color w:val="auto"/>
        </w:rPr>
      </w:pPr>
      <w:r>
        <w:rPr>
          <w:rFonts w:ascii="Calibri" w:cs="Calibri" w:eastAsia="Calibri" w:hAnsi="Calibri"/>
          <w:sz w:val="17"/>
          <w:szCs w:val="17"/>
          <w:b w:val="1"/>
          <w:bCs w:val="1"/>
          <w:color w:val="auto"/>
        </w:rPr>
        <w:t>Administratve and general expenses and taxes</w:t>
      </w:r>
    </w:p>
    <w:p>
      <w:pPr>
        <w:spacing w:after="0" w:line="212" w:lineRule="exact"/>
        <w:rPr>
          <w:sz w:val="20"/>
          <w:szCs w:val="20"/>
          <w:color w:val="auto"/>
        </w:rPr>
      </w:pPr>
    </w:p>
    <w:tbl>
      <w:tblPr>
        <w:tblLayout w:type="fixed"/>
        <w:tblInd w:w="19" w:type="dxa"/>
        <w:tblCellMar>
          <w:top w:w="0" w:type="dxa"/>
          <w:left w:w="0" w:type="dxa"/>
          <w:bottom w:w="0" w:type="dxa"/>
          <w:right w:w="0" w:type="dxa"/>
        </w:tblCellMar>
      </w:tblPr>
      <w:tr>
        <w:trPr>
          <w:trHeight w:val="202"/>
        </w:trPr>
        <w:tc>
          <w:tcPr>
            <w:tcW w:w="50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Administratve and general expenses</w:t>
            </w:r>
          </w:p>
        </w:tc>
        <w:tc>
          <w:tcPr>
            <w:tcW w:w="1180" w:type="dxa"/>
            <w:vAlign w:val="bottom"/>
            <w:tcBorders>
              <w:top w:val="single" w:sz="8" w:color="auto"/>
            </w:tcBorders>
            <w:shd w:val="clear" w:color="auto" w:fill="2AD2C9"/>
          </w:tcPr>
          <w:p>
            <w:pPr>
              <w:spacing w:after="0"/>
              <w:rPr>
                <w:sz w:val="17"/>
                <w:szCs w:val="17"/>
                <w:color w:val="auto"/>
              </w:rPr>
            </w:pPr>
          </w:p>
        </w:tc>
        <w:tc>
          <w:tcPr>
            <w:tcW w:w="1340" w:type="dxa"/>
            <w:vAlign w:val="bottom"/>
            <w:tcBorders>
              <w:top w:val="single" w:sz="8" w:color="auto"/>
            </w:tcBorders>
            <w:shd w:val="clear" w:color="auto" w:fill="2AD2C9"/>
          </w:tcPr>
          <w:p>
            <w:pPr>
              <w:ind w:left="420"/>
              <w:spacing w:after="0"/>
              <w:rPr>
                <w:sz w:val="20"/>
                <w:szCs w:val="20"/>
                <w:color w:val="auto"/>
              </w:rPr>
            </w:pPr>
            <w:r>
              <w:rPr>
                <w:rFonts w:ascii="Calibri" w:cs="Calibri" w:eastAsia="Calibri" w:hAnsi="Calibri"/>
                <w:sz w:val="15"/>
                <w:szCs w:val="15"/>
                <w:b w:val="1"/>
                <w:bCs w:val="1"/>
                <w:color w:val="FFFFFF"/>
              </w:rPr>
              <w:t>Quarter</w:t>
            </w:r>
          </w:p>
        </w:tc>
        <w:tc>
          <w:tcPr>
            <w:tcW w:w="1200" w:type="dxa"/>
            <w:vAlign w:val="bottom"/>
            <w:tcBorders>
              <w:top w:val="single" w:sz="8" w:color="auto"/>
              <w:right w:val="single" w:sz="8" w:color="auto"/>
            </w:tcBorders>
            <w:shd w:val="clear" w:color="auto" w:fill="2AD2C9"/>
          </w:tcPr>
          <w:p>
            <w:pPr>
              <w:spacing w:after="0"/>
              <w:rPr>
                <w:sz w:val="17"/>
                <w:szCs w:val="17"/>
                <w:color w:val="auto"/>
              </w:rPr>
            </w:pPr>
          </w:p>
        </w:tc>
        <w:tc>
          <w:tcPr>
            <w:tcW w:w="860" w:type="dxa"/>
            <w:vAlign w:val="bottom"/>
            <w:tcBorders>
              <w:top w:val="single" w:sz="8" w:color="auto"/>
            </w:tcBorders>
            <w:shd w:val="clear" w:color="auto" w:fill="2AD2C9"/>
          </w:tcPr>
          <w:p>
            <w:pPr>
              <w:spacing w:after="0"/>
              <w:rPr>
                <w:sz w:val="17"/>
                <w:szCs w:val="17"/>
                <w:color w:val="auto"/>
              </w:rPr>
            </w:pPr>
          </w:p>
        </w:tc>
        <w:tc>
          <w:tcPr>
            <w:tcW w:w="1600" w:type="dxa"/>
            <w:vAlign w:val="bottom"/>
            <w:tcBorders>
              <w:top w:val="single" w:sz="8" w:color="auto"/>
              <w:right w:val="single" w:sz="8" w:color="auto"/>
            </w:tcBorders>
            <w:shd w:val="clear" w:color="auto" w:fill="2AD2C9"/>
          </w:tcPr>
          <w:p>
            <w:pPr>
              <w:ind w:left="60"/>
              <w:spacing w:after="0"/>
              <w:rPr>
                <w:sz w:val="20"/>
                <w:szCs w:val="20"/>
                <w:color w:val="auto"/>
              </w:rPr>
            </w:pPr>
            <w:r>
              <w:rPr>
                <w:rFonts w:ascii="Calibri" w:cs="Calibri" w:eastAsia="Calibri" w:hAnsi="Calibri"/>
                <w:sz w:val="15"/>
                <w:szCs w:val="15"/>
                <w:b w:val="1"/>
                <w:bCs w:val="1"/>
                <w:color w:val="FFFFFF"/>
              </w:rPr>
              <w:t>% Change</w:t>
            </w:r>
          </w:p>
        </w:tc>
      </w:tr>
      <w:tr>
        <w:trPr>
          <w:trHeight w:val="186"/>
        </w:trPr>
        <w:tc>
          <w:tcPr>
            <w:tcW w:w="5080" w:type="dxa"/>
            <w:vAlign w:val="bottom"/>
            <w:tcBorders>
              <w:left w:val="single" w:sz="8" w:color="auto"/>
              <w:bottom w:val="single" w:sz="8" w:color="auto"/>
              <w:right w:val="single" w:sz="8" w:color="auto"/>
            </w:tcBorders>
            <w:shd w:val="clear" w:color="auto" w:fill="2AD2C9"/>
          </w:tcPr>
          <w:p>
            <w:pPr>
              <w:ind w:left="20"/>
              <w:spacing w:after="0" w:line="180" w:lineRule="exact"/>
              <w:rPr>
                <w:sz w:val="20"/>
                <w:szCs w:val="20"/>
                <w:color w:val="auto"/>
              </w:rPr>
            </w:pPr>
            <w:r>
              <w:rPr>
                <w:rFonts w:ascii="Calibri" w:cs="Calibri" w:eastAsia="Calibri" w:hAnsi="Calibri"/>
                <w:sz w:val="15"/>
                <w:szCs w:val="15"/>
                <w:b w:val="1"/>
                <w:bCs w:val="1"/>
                <w:color w:val="FFFFFF"/>
              </w:rPr>
              <w:t>S/ 000</w:t>
            </w:r>
          </w:p>
        </w:tc>
        <w:tc>
          <w:tcPr>
            <w:tcW w:w="1180" w:type="dxa"/>
            <w:vAlign w:val="bottom"/>
            <w:tcBorders>
              <w:bottom w:val="single" w:sz="8" w:color="auto"/>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rPr>
              <w:t>1Q22</w:t>
            </w:r>
          </w:p>
        </w:tc>
        <w:tc>
          <w:tcPr>
            <w:tcW w:w="1340" w:type="dxa"/>
            <w:vAlign w:val="bottom"/>
            <w:tcBorders>
              <w:bottom w:val="single" w:sz="8" w:color="auto"/>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rPr>
              <w:t>4Q22</w:t>
            </w:r>
          </w:p>
        </w:tc>
        <w:tc>
          <w:tcPr>
            <w:tcW w:w="1200" w:type="dxa"/>
            <w:vAlign w:val="bottom"/>
            <w:tcBorders>
              <w:bottom w:val="single" w:sz="8" w:color="auto"/>
              <w:right w:val="single" w:sz="8" w:color="auto"/>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6"/>
              </w:rPr>
              <w:t>1Q23</w:t>
            </w:r>
          </w:p>
        </w:tc>
        <w:tc>
          <w:tcPr>
            <w:tcW w:w="860" w:type="dxa"/>
            <w:vAlign w:val="bottom"/>
            <w:tcBorders>
              <w:bottom w:val="single" w:sz="8" w:color="auto"/>
            </w:tcBorders>
            <w:shd w:val="clear" w:color="auto" w:fill="2AD2C9"/>
          </w:tcPr>
          <w:p>
            <w:pPr>
              <w:ind w:left="460"/>
              <w:spacing w:after="0" w:line="180" w:lineRule="exact"/>
              <w:rPr>
                <w:sz w:val="20"/>
                <w:szCs w:val="20"/>
                <w:color w:val="auto"/>
              </w:rPr>
            </w:pPr>
            <w:r>
              <w:rPr>
                <w:rFonts w:ascii="Calibri" w:cs="Calibri" w:eastAsia="Calibri" w:hAnsi="Calibri"/>
                <w:sz w:val="15"/>
                <w:szCs w:val="15"/>
                <w:b w:val="1"/>
                <w:bCs w:val="1"/>
                <w:color w:val="FFFFFF"/>
              </w:rPr>
              <w:t>QoQ</w:t>
            </w:r>
          </w:p>
        </w:tc>
        <w:tc>
          <w:tcPr>
            <w:tcW w:w="1600" w:type="dxa"/>
            <w:vAlign w:val="bottom"/>
            <w:tcBorders>
              <w:bottom w:val="single" w:sz="8" w:color="auto"/>
              <w:right w:val="single" w:sz="8" w:color="auto"/>
            </w:tcBorders>
            <w:shd w:val="clear" w:color="auto" w:fill="2AD2C9"/>
          </w:tcPr>
          <w:p>
            <w:pPr>
              <w:ind w:left="860"/>
              <w:spacing w:after="0" w:line="180" w:lineRule="exact"/>
              <w:rPr>
                <w:sz w:val="20"/>
                <w:szCs w:val="20"/>
                <w:color w:val="auto"/>
              </w:rPr>
            </w:pPr>
            <w:r>
              <w:rPr>
                <w:rFonts w:ascii="Calibri" w:cs="Calibri" w:eastAsia="Calibri" w:hAnsi="Calibri"/>
                <w:sz w:val="15"/>
                <w:szCs w:val="15"/>
                <w:b w:val="1"/>
                <w:bCs w:val="1"/>
                <w:color w:val="FFFFFF"/>
              </w:rPr>
              <w:t>YoY</w:t>
            </w:r>
          </w:p>
        </w:tc>
      </w:tr>
      <w:tr>
        <w:trPr>
          <w:trHeight w:val="163"/>
        </w:trPr>
        <w:tc>
          <w:tcPr>
            <w:tcW w:w="5080" w:type="dxa"/>
            <w:vAlign w:val="bottom"/>
            <w:tcBorders>
              <w:left w:val="single" w:sz="8" w:color="auto"/>
              <w:right w:val="single" w:sz="8" w:color="auto"/>
            </w:tcBorders>
          </w:tcPr>
          <w:p>
            <w:pPr>
              <w:ind w:left="20"/>
              <w:spacing w:after="0" w:line="163" w:lineRule="exact"/>
              <w:rPr>
                <w:sz w:val="20"/>
                <w:szCs w:val="20"/>
                <w:color w:val="auto"/>
              </w:rPr>
            </w:pPr>
            <w:r>
              <w:rPr>
                <w:rFonts w:ascii="Calibri" w:cs="Calibri" w:eastAsia="Calibri" w:hAnsi="Calibri"/>
                <w:sz w:val="15"/>
                <w:szCs w:val="15"/>
                <w:color w:val="auto"/>
              </w:rPr>
              <w:t>IT expenses and IT third-party services</w:t>
            </w:r>
          </w:p>
        </w:tc>
        <w:tc>
          <w:tcPr>
            <w:tcW w:w="1180" w:type="dxa"/>
            <w:vAlign w:val="bottom"/>
          </w:tcPr>
          <w:p>
            <w:pPr>
              <w:jc w:val="center"/>
              <w:spacing w:after="0" w:line="163" w:lineRule="exact"/>
              <w:rPr>
                <w:sz w:val="20"/>
                <w:szCs w:val="20"/>
                <w:color w:val="auto"/>
              </w:rPr>
            </w:pPr>
            <w:r>
              <w:rPr>
                <w:rFonts w:ascii="Calibri" w:cs="Calibri" w:eastAsia="Calibri" w:hAnsi="Calibri"/>
                <w:sz w:val="15"/>
                <w:szCs w:val="15"/>
                <w:color w:val="auto"/>
              </w:rPr>
              <w:t>196,985</w:t>
            </w:r>
          </w:p>
        </w:tc>
        <w:tc>
          <w:tcPr>
            <w:tcW w:w="1340" w:type="dxa"/>
            <w:vAlign w:val="bottom"/>
          </w:tcPr>
          <w:p>
            <w:pPr>
              <w:jc w:val="center"/>
              <w:spacing w:after="0" w:line="163" w:lineRule="exact"/>
              <w:rPr>
                <w:sz w:val="20"/>
                <w:szCs w:val="20"/>
                <w:color w:val="auto"/>
              </w:rPr>
            </w:pPr>
            <w:r>
              <w:rPr>
                <w:rFonts w:ascii="Calibri" w:cs="Calibri" w:eastAsia="Calibri" w:hAnsi="Calibri"/>
                <w:sz w:val="15"/>
                <w:szCs w:val="15"/>
                <w:color w:val="auto"/>
              </w:rPr>
              <w:t>254,965</w:t>
            </w:r>
          </w:p>
        </w:tc>
        <w:tc>
          <w:tcPr>
            <w:tcW w:w="1200" w:type="dxa"/>
            <w:vAlign w:val="bottom"/>
            <w:tcBorders>
              <w:right w:val="single" w:sz="8" w:color="auto"/>
            </w:tcBorders>
          </w:tcPr>
          <w:p>
            <w:pPr>
              <w:jc w:val="center"/>
              <w:spacing w:after="0" w:line="163" w:lineRule="exact"/>
              <w:rPr>
                <w:sz w:val="20"/>
                <w:szCs w:val="20"/>
                <w:color w:val="auto"/>
              </w:rPr>
            </w:pPr>
            <w:r>
              <w:rPr>
                <w:rFonts w:ascii="Calibri" w:cs="Calibri" w:eastAsia="Calibri" w:hAnsi="Calibri"/>
                <w:sz w:val="15"/>
                <w:szCs w:val="15"/>
                <w:color w:val="auto"/>
                <w:w w:val="97"/>
              </w:rPr>
              <w:t>240,932</w:t>
            </w:r>
          </w:p>
        </w:tc>
        <w:tc>
          <w:tcPr>
            <w:tcW w:w="860" w:type="dxa"/>
            <w:vAlign w:val="bottom"/>
          </w:tcPr>
          <w:p>
            <w:pPr>
              <w:jc w:val="center"/>
              <w:ind w:left="284"/>
              <w:spacing w:after="0" w:line="163" w:lineRule="exact"/>
              <w:rPr>
                <w:sz w:val="20"/>
                <w:szCs w:val="20"/>
                <w:color w:val="auto"/>
              </w:rPr>
            </w:pPr>
            <w:r>
              <w:rPr>
                <w:rFonts w:ascii="Calibri" w:cs="Calibri" w:eastAsia="Calibri" w:hAnsi="Calibri"/>
                <w:sz w:val="15"/>
                <w:szCs w:val="15"/>
                <w:color w:val="auto"/>
                <w:w w:val="98"/>
              </w:rPr>
              <w:t>-5.5%</w:t>
            </w:r>
          </w:p>
        </w:tc>
        <w:tc>
          <w:tcPr>
            <w:tcW w:w="1600" w:type="dxa"/>
            <w:vAlign w:val="bottom"/>
            <w:tcBorders>
              <w:right w:val="single" w:sz="8" w:color="auto"/>
            </w:tcBorders>
          </w:tcPr>
          <w:p>
            <w:pPr>
              <w:jc w:val="center"/>
              <w:ind w:left="264"/>
              <w:spacing w:after="0" w:line="163" w:lineRule="exact"/>
              <w:rPr>
                <w:sz w:val="20"/>
                <w:szCs w:val="20"/>
                <w:color w:val="auto"/>
              </w:rPr>
            </w:pPr>
            <w:r>
              <w:rPr>
                <w:rFonts w:ascii="Calibri" w:cs="Calibri" w:eastAsia="Calibri" w:hAnsi="Calibri"/>
                <w:sz w:val="15"/>
                <w:szCs w:val="15"/>
                <w:color w:val="auto"/>
              </w:rPr>
              <w:t>22.3%</w:t>
            </w:r>
          </w:p>
        </w:tc>
      </w:tr>
      <w:tr>
        <w:trPr>
          <w:trHeight w:val="179"/>
        </w:trPr>
        <w:tc>
          <w:tcPr>
            <w:tcW w:w="508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Advertsing and customer loyalty programs</w:t>
            </w:r>
          </w:p>
        </w:tc>
        <w:tc>
          <w:tcPr>
            <w:tcW w:w="1180" w:type="dxa"/>
            <w:vAlign w:val="bottom"/>
          </w:tcPr>
          <w:p>
            <w:pPr>
              <w:jc w:val="center"/>
              <w:spacing w:after="0" w:line="180" w:lineRule="exact"/>
              <w:rPr>
                <w:sz w:val="20"/>
                <w:szCs w:val="20"/>
                <w:color w:val="auto"/>
              </w:rPr>
            </w:pPr>
            <w:r>
              <w:rPr>
                <w:rFonts w:ascii="Calibri" w:cs="Calibri" w:eastAsia="Calibri" w:hAnsi="Calibri"/>
                <w:sz w:val="15"/>
                <w:szCs w:val="15"/>
                <w:color w:val="auto"/>
              </w:rPr>
              <w:t>110,314</w:t>
            </w:r>
          </w:p>
        </w:tc>
        <w:tc>
          <w:tcPr>
            <w:tcW w:w="1340" w:type="dxa"/>
            <w:vAlign w:val="bottom"/>
          </w:tcPr>
          <w:p>
            <w:pPr>
              <w:jc w:val="center"/>
              <w:spacing w:after="0" w:line="180" w:lineRule="exact"/>
              <w:rPr>
                <w:sz w:val="20"/>
                <w:szCs w:val="20"/>
                <w:color w:val="auto"/>
              </w:rPr>
            </w:pPr>
            <w:r>
              <w:rPr>
                <w:rFonts w:ascii="Calibri" w:cs="Calibri" w:eastAsia="Calibri" w:hAnsi="Calibri"/>
                <w:sz w:val="15"/>
                <w:szCs w:val="15"/>
                <w:color w:val="auto"/>
              </w:rPr>
              <w:t>212,710</w:t>
            </w:r>
          </w:p>
        </w:tc>
        <w:tc>
          <w:tcPr>
            <w:tcW w:w="120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7"/>
              </w:rPr>
              <w:t>135,767</w:t>
            </w:r>
          </w:p>
        </w:tc>
        <w:tc>
          <w:tcPr>
            <w:tcW w:w="860" w:type="dxa"/>
            <w:vAlign w:val="bottom"/>
          </w:tcPr>
          <w:p>
            <w:pPr>
              <w:jc w:val="center"/>
              <w:ind w:left="284"/>
              <w:spacing w:after="0" w:line="180" w:lineRule="exact"/>
              <w:rPr>
                <w:sz w:val="20"/>
                <w:szCs w:val="20"/>
                <w:color w:val="auto"/>
              </w:rPr>
            </w:pPr>
            <w:r>
              <w:rPr>
                <w:rFonts w:ascii="Calibri" w:cs="Calibri" w:eastAsia="Calibri" w:hAnsi="Calibri"/>
                <w:sz w:val="15"/>
                <w:szCs w:val="15"/>
                <w:color w:val="auto"/>
              </w:rPr>
              <w:t>-36.2%</w:t>
            </w:r>
          </w:p>
        </w:tc>
        <w:tc>
          <w:tcPr>
            <w:tcW w:w="1600" w:type="dxa"/>
            <w:vAlign w:val="bottom"/>
            <w:tcBorders>
              <w:right w:val="single" w:sz="8" w:color="auto"/>
            </w:tcBorders>
          </w:tcPr>
          <w:p>
            <w:pPr>
              <w:jc w:val="center"/>
              <w:ind w:left="264"/>
              <w:spacing w:after="0" w:line="180" w:lineRule="exact"/>
              <w:rPr>
                <w:sz w:val="20"/>
                <w:szCs w:val="20"/>
                <w:color w:val="auto"/>
              </w:rPr>
            </w:pPr>
            <w:r>
              <w:rPr>
                <w:rFonts w:ascii="Calibri" w:cs="Calibri" w:eastAsia="Calibri" w:hAnsi="Calibri"/>
                <w:sz w:val="15"/>
                <w:szCs w:val="15"/>
                <w:color w:val="auto"/>
              </w:rPr>
              <w:t>23.1%</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Taxes and contributons</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rPr>
              <w:t>67,657</w:t>
            </w:r>
          </w:p>
        </w:tc>
        <w:tc>
          <w:tcPr>
            <w:tcW w:w="1340" w:type="dxa"/>
            <w:vAlign w:val="bottom"/>
          </w:tcPr>
          <w:p>
            <w:pPr>
              <w:jc w:val="center"/>
              <w:spacing w:after="0" w:line="181" w:lineRule="exact"/>
              <w:rPr>
                <w:sz w:val="20"/>
                <w:szCs w:val="20"/>
                <w:color w:val="auto"/>
              </w:rPr>
            </w:pPr>
            <w:r>
              <w:rPr>
                <w:rFonts w:ascii="Calibri" w:cs="Calibri" w:eastAsia="Calibri" w:hAnsi="Calibri"/>
                <w:sz w:val="15"/>
                <w:szCs w:val="15"/>
                <w:color w:val="auto"/>
              </w:rPr>
              <w:t>94,647</w:t>
            </w:r>
          </w:p>
        </w:tc>
        <w:tc>
          <w:tcPr>
            <w:tcW w:w="12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85,073</w:t>
            </w:r>
          </w:p>
        </w:tc>
        <w:tc>
          <w:tcPr>
            <w:tcW w:w="860" w:type="dxa"/>
            <w:vAlign w:val="bottom"/>
          </w:tcPr>
          <w:p>
            <w:pPr>
              <w:jc w:val="center"/>
              <w:ind w:left="284"/>
              <w:spacing w:after="0" w:line="181" w:lineRule="exact"/>
              <w:rPr>
                <w:sz w:val="20"/>
                <w:szCs w:val="20"/>
                <w:color w:val="auto"/>
              </w:rPr>
            </w:pPr>
            <w:r>
              <w:rPr>
                <w:rFonts w:ascii="Calibri" w:cs="Calibri" w:eastAsia="Calibri" w:hAnsi="Calibri"/>
                <w:sz w:val="15"/>
                <w:szCs w:val="15"/>
                <w:color w:val="auto"/>
              </w:rPr>
              <w:t>-10.1%</w:t>
            </w:r>
          </w:p>
        </w:tc>
        <w:tc>
          <w:tcPr>
            <w:tcW w:w="1600" w:type="dxa"/>
            <w:vAlign w:val="bottom"/>
            <w:tcBorders>
              <w:right w:val="single" w:sz="8" w:color="auto"/>
            </w:tcBorders>
          </w:tcPr>
          <w:p>
            <w:pPr>
              <w:jc w:val="center"/>
              <w:ind w:left="264"/>
              <w:spacing w:after="0" w:line="181" w:lineRule="exact"/>
              <w:rPr>
                <w:sz w:val="20"/>
                <w:szCs w:val="20"/>
                <w:color w:val="auto"/>
              </w:rPr>
            </w:pPr>
            <w:r>
              <w:rPr>
                <w:rFonts w:ascii="Calibri" w:cs="Calibri" w:eastAsia="Calibri" w:hAnsi="Calibri"/>
                <w:sz w:val="15"/>
                <w:szCs w:val="15"/>
                <w:color w:val="auto"/>
              </w:rPr>
              <w:t>25.7%</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Audit Services, Consultng and professional fees</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rPr>
              <w:t>51,692</w:t>
            </w:r>
          </w:p>
        </w:tc>
        <w:tc>
          <w:tcPr>
            <w:tcW w:w="1340" w:type="dxa"/>
            <w:vAlign w:val="bottom"/>
          </w:tcPr>
          <w:p>
            <w:pPr>
              <w:jc w:val="center"/>
              <w:spacing w:after="0" w:line="181" w:lineRule="exact"/>
              <w:rPr>
                <w:sz w:val="20"/>
                <w:szCs w:val="20"/>
                <w:color w:val="auto"/>
              </w:rPr>
            </w:pPr>
            <w:r>
              <w:rPr>
                <w:rFonts w:ascii="Calibri" w:cs="Calibri" w:eastAsia="Calibri" w:hAnsi="Calibri"/>
                <w:sz w:val="15"/>
                <w:szCs w:val="15"/>
                <w:color w:val="auto"/>
              </w:rPr>
              <w:t>138,978</w:t>
            </w:r>
          </w:p>
        </w:tc>
        <w:tc>
          <w:tcPr>
            <w:tcW w:w="12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51,878</w:t>
            </w:r>
          </w:p>
        </w:tc>
        <w:tc>
          <w:tcPr>
            <w:tcW w:w="860" w:type="dxa"/>
            <w:vAlign w:val="bottom"/>
          </w:tcPr>
          <w:p>
            <w:pPr>
              <w:jc w:val="center"/>
              <w:ind w:left="284"/>
              <w:spacing w:after="0" w:line="181" w:lineRule="exact"/>
              <w:rPr>
                <w:sz w:val="20"/>
                <w:szCs w:val="20"/>
                <w:color w:val="auto"/>
              </w:rPr>
            </w:pPr>
            <w:r>
              <w:rPr>
                <w:rFonts w:ascii="Calibri" w:cs="Calibri" w:eastAsia="Calibri" w:hAnsi="Calibri"/>
                <w:sz w:val="15"/>
                <w:szCs w:val="15"/>
                <w:color w:val="auto"/>
              </w:rPr>
              <w:t>-62.7%</w:t>
            </w:r>
          </w:p>
        </w:tc>
        <w:tc>
          <w:tcPr>
            <w:tcW w:w="1600" w:type="dxa"/>
            <w:vAlign w:val="bottom"/>
            <w:tcBorders>
              <w:right w:val="single" w:sz="8" w:color="auto"/>
            </w:tcBorders>
          </w:tcPr>
          <w:p>
            <w:pPr>
              <w:jc w:val="center"/>
              <w:ind w:left="264"/>
              <w:spacing w:after="0" w:line="181" w:lineRule="exact"/>
              <w:rPr>
                <w:sz w:val="20"/>
                <w:szCs w:val="20"/>
                <w:color w:val="auto"/>
              </w:rPr>
            </w:pPr>
            <w:r>
              <w:rPr>
                <w:rFonts w:ascii="Calibri" w:cs="Calibri" w:eastAsia="Calibri" w:hAnsi="Calibri"/>
                <w:sz w:val="15"/>
                <w:szCs w:val="15"/>
                <w:color w:val="auto"/>
              </w:rPr>
              <w:t>0.4%</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Transport and communicatons</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rPr>
              <w:t>39,117</w:t>
            </w:r>
          </w:p>
        </w:tc>
        <w:tc>
          <w:tcPr>
            <w:tcW w:w="1340" w:type="dxa"/>
            <w:vAlign w:val="bottom"/>
          </w:tcPr>
          <w:p>
            <w:pPr>
              <w:jc w:val="center"/>
              <w:spacing w:after="0" w:line="181" w:lineRule="exact"/>
              <w:rPr>
                <w:sz w:val="20"/>
                <w:szCs w:val="20"/>
                <w:color w:val="auto"/>
              </w:rPr>
            </w:pPr>
            <w:r>
              <w:rPr>
                <w:rFonts w:ascii="Calibri" w:cs="Calibri" w:eastAsia="Calibri" w:hAnsi="Calibri"/>
                <w:sz w:val="15"/>
                <w:szCs w:val="15"/>
                <w:color w:val="auto"/>
              </w:rPr>
              <w:t>63,049</w:t>
            </w:r>
          </w:p>
        </w:tc>
        <w:tc>
          <w:tcPr>
            <w:tcW w:w="12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51,036</w:t>
            </w:r>
          </w:p>
        </w:tc>
        <w:tc>
          <w:tcPr>
            <w:tcW w:w="860" w:type="dxa"/>
            <w:vAlign w:val="bottom"/>
          </w:tcPr>
          <w:p>
            <w:pPr>
              <w:jc w:val="center"/>
              <w:ind w:left="284"/>
              <w:spacing w:after="0" w:line="181" w:lineRule="exact"/>
              <w:rPr>
                <w:sz w:val="20"/>
                <w:szCs w:val="20"/>
                <w:color w:val="auto"/>
              </w:rPr>
            </w:pPr>
            <w:r>
              <w:rPr>
                <w:rFonts w:ascii="Calibri" w:cs="Calibri" w:eastAsia="Calibri" w:hAnsi="Calibri"/>
                <w:sz w:val="15"/>
                <w:szCs w:val="15"/>
                <w:color w:val="auto"/>
              </w:rPr>
              <w:t>-19.1%</w:t>
            </w:r>
          </w:p>
        </w:tc>
        <w:tc>
          <w:tcPr>
            <w:tcW w:w="1600" w:type="dxa"/>
            <w:vAlign w:val="bottom"/>
            <w:tcBorders>
              <w:right w:val="single" w:sz="8" w:color="auto"/>
            </w:tcBorders>
          </w:tcPr>
          <w:p>
            <w:pPr>
              <w:jc w:val="center"/>
              <w:ind w:left="264"/>
              <w:spacing w:after="0" w:line="181" w:lineRule="exact"/>
              <w:rPr>
                <w:sz w:val="20"/>
                <w:szCs w:val="20"/>
                <w:color w:val="auto"/>
              </w:rPr>
            </w:pPr>
            <w:r>
              <w:rPr>
                <w:rFonts w:ascii="Calibri" w:cs="Calibri" w:eastAsia="Calibri" w:hAnsi="Calibri"/>
                <w:sz w:val="15"/>
                <w:szCs w:val="15"/>
                <w:color w:val="auto"/>
              </w:rPr>
              <w:t>30.5%</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Repair and maintenance</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rPr>
              <w:t>29,913</w:t>
            </w:r>
          </w:p>
        </w:tc>
        <w:tc>
          <w:tcPr>
            <w:tcW w:w="1340" w:type="dxa"/>
            <w:vAlign w:val="bottom"/>
          </w:tcPr>
          <w:p>
            <w:pPr>
              <w:jc w:val="center"/>
              <w:spacing w:after="0" w:line="181" w:lineRule="exact"/>
              <w:rPr>
                <w:sz w:val="20"/>
                <w:szCs w:val="20"/>
                <w:color w:val="auto"/>
              </w:rPr>
            </w:pPr>
            <w:r>
              <w:rPr>
                <w:rFonts w:ascii="Calibri" w:cs="Calibri" w:eastAsia="Calibri" w:hAnsi="Calibri"/>
                <w:sz w:val="15"/>
                <w:szCs w:val="15"/>
                <w:color w:val="auto"/>
              </w:rPr>
              <w:t>44,734</w:t>
            </w:r>
          </w:p>
        </w:tc>
        <w:tc>
          <w:tcPr>
            <w:tcW w:w="12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25,790</w:t>
            </w:r>
          </w:p>
        </w:tc>
        <w:tc>
          <w:tcPr>
            <w:tcW w:w="860" w:type="dxa"/>
            <w:vAlign w:val="bottom"/>
          </w:tcPr>
          <w:p>
            <w:pPr>
              <w:jc w:val="center"/>
              <w:ind w:left="284"/>
              <w:spacing w:after="0" w:line="181" w:lineRule="exact"/>
              <w:rPr>
                <w:sz w:val="20"/>
                <w:szCs w:val="20"/>
                <w:color w:val="auto"/>
              </w:rPr>
            </w:pPr>
            <w:r>
              <w:rPr>
                <w:rFonts w:ascii="Calibri" w:cs="Calibri" w:eastAsia="Calibri" w:hAnsi="Calibri"/>
                <w:sz w:val="15"/>
                <w:szCs w:val="15"/>
                <w:color w:val="auto"/>
              </w:rPr>
              <w:t>-42.3%</w:t>
            </w:r>
          </w:p>
        </w:tc>
        <w:tc>
          <w:tcPr>
            <w:tcW w:w="1600" w:type="dxa"/>
            <w:vAlign w:val="bottom"/>
            <w:tcBorders>
              <w:right w:val="single" w:sz="8" w:color="auto"/>
            </w:tcBorders>
          </w:tcPr>
          <w:p>
            <w:pPr>
              <w:jc w:val="center"/>
              <w:ind w:left="264"/>
              <w:spacing w:after="0" w:line="181" w:lineRule="exact"/>
              <w:rPr>
                <w:sz w:val="20"/>
                <w:szCs w:val="20"/>
                <w:color w:val="auto"/>
              </w:rPr>
            </w:pPr>
            <w:r>
              <w:rPr>
                <w:rFonts w:ascii="Calibri" w:cs="Calibri" w:eastAsia="Calibri" w:hAnsi="Calibri"/>
                <w:sz w:val="15"/>
                <w:szCs w:val="15"/>
                <w:color w:val="auto"/>
              </w:rPr>
              <w:t>-13.8%</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Agents' Fees</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rPr>
              <w:t>27,018</w:t>
            </w:r>
          </w:p>
        </w:tc>
        <w:tc>
          <w:tcPr>
            <w:tcW w:w="1340" w:type="dxa"/>
            <w:vAlign w:val="bottom"/>
          </w:tcPr>
          <w:p>
            <w:pPr>
              <w:jc w:val="center"/>
              <w:spacing w:after="0" w:line="181" w:lineRule="exact"/>
              <w:rPr>
                <w:sz w:val="20"/>
                <w:szCs w:val="20"/>
                <w:color w:val="auto"/>
              </w:rPr>
            </w:pPr>
            <w:r>
              <w:rPr>
                <w:rFonts w:ascii="Calibri" w:cs="Calibri" w:eastAsia="Calibri" w:hAnsi="Calibri"/>
                <w:sz w:val="15"/>
                <w:szCs w:val="15"/>
                <w:color w:val="auto"/>
              </w:rPr>
              <w:t>27,673</w:t>
            </w:r>
          </w:p>
        </w:tc>
        <w:tc>
          <w:tcPr>
            <w:tcW w:w="12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26,152</w:t>
            </w:r>
          </w:p>
        </w:tc>
        <w:tc>
          <w:tcPr>
            <w:tcW w:w="860" w:type="dxa"/>
            <w:vAlign w:val="bottom"/>
          </w:tcPr>
          <w:p>
            <w:pPr>
              <w:jc w:val="center"/>
              <w:ind w:left="284"/>
              <w:spacing w:after="0" w:line="181" w:lineRule="exact"/>
              <w:rPr>
                <w:sz w:val="20"/>
                <w:szCs w:val="20"/>
                <w:color w:val="auto"/>
              </w:rPr>
            </w:pPr>
            <w:r>
              <w:rPr>
                <w:rFonts w:ascii="Calibri" w:cs="Calibri" w:eastAsia="Calibri" w:hAnsi="Calibri"/>
                <w:sz w:val="15"/>
                <w:szCs w:val="15"/>
                <w:color w:val="auto"/>
                <w:w w:val="98"/>
              </w:rPr>
              <w:t>-5.5%</w:t>
            </w:r>
          </w:p>
        </w:tc>
        <w:tc>
          <w:tcPr>
            <w:tcW w:w="1600" w:type="dxa"/>
            <w:vAlign w:val="bottom"/>
            <w:tcBorders>
              <w:right w:val="single" w:sz="8" w:color="auto"/>
            </w:tcBorders>
          </w:tcPr>
          <w:p>
            <w:pPr>
              <w:jc w:val="center"/>
              <w:ind w:left="264"/>
              <w:spacing w:after="0" w:line="181" w:lineRule="exact"/>
              <w:rPr>
                <w:sz w:val="20"/>
                <w:szCs w:val="20"/>
                <w:color w:val="auto"/>
              </w:rPr>
            </w:pPr>
            <w:r>
              <w:rPr>
                <w:rFonts w:ascii="Calibri" w:cs="Calibri" w:eastAsia="Calibri" w:hAnsi="Calibri"/>
                <w:sz w:val="15"/>
                <w:szCs w:val="15"/>
                <w:color w:val="auto"/>
                <w:w w:val="98"/>
              </w:rPr>
              <w:t>-3.2%</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Services by third-party</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rPr>
              <w:t>22,925</w:t>
            </w:r>
          </w:p>
        </w:tc>
        <w:tc>
          <w:tcPr>
            <w:tcW w:w="1340" w:type="dxa"/>
            <w:vAlign w:val="bottom"/>
          </w:tcPr>
          <w:p>
            <w:pPr>
              <w:jc w:val="center"/>
              <w:spacing w:after="0" w:line="181" w:lineRule="exact"/>
              <w:rPr>
                <w:sz w:val="20"/>
                <w:szCs w:val="20"/>
                <w:color w:val="auto"/>
              </w:rPr>
            </w:pPr>
            <w:r>
              <w:rPr>
                <w:rFonts w:ascii="Calibri" w:cs="Calibri" w:eastAsia="Calibri" w:hAnsi="Calibri"/>
                <w:sz w:val="15"/>
                <w:szCs w:val="15"/>
                <w:color w:val="auto"/>
              </w:rPr>
              <w:t>35,285</w:t>
            </w:r>
          </w:p>
        </w:tc>
        <w:tc>
          <w:tcPr>
            <w:tcW w:w="12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27,511</w:t>
            </w:r>
          </w:p>
        </w:tc>
        <w:tc>
          <w:tcPr>
            <w:tcW w:w="860" w:type="dxa"/>
            <w:vAlign w:val="bottom"/>
          </w:tcPr>
          <w:p>
            <w:pPr>
              <w:jc w:val="center"/>
              <w:ind w:left="284"/>
              <w:spacing w:after="0" w:line="181" w:lineRule="exact"/>
              <w:rPr>
                <w:sz w:val="20"/>
                <w:szCs w:val="20"/>
                <w:color w:val="auto"/>
              </w:rPr>
            </w:pPr>
            <w:r>
              <w:rPr>
                <w:rFonts w:ascii="Calibri" w:cs="Calibri" w:eastAsia="Calibri" w:hAnsi="Calibri"/>
                <w:sz w:val="15"/>
                <w:szCs w:val="15"/>
                <w:color w:val="auto"/>
              </w:rPr>
              <w:t>-22.0%</w:t>
            </w:r>
          </w:p>
        </w:tc>
        <w:tc>
          <w:tcPr>
            <w:tcW w:w="1600" w:type="dxa"/>
            <w:vAlign w:val="bottom"/>
            <w:tcBorders>
              <w:right w:val="single" w:sz="8" w:color="auto"/>
            </w:tcBorders>
          </w:tcPr>
          <w:p>
            <w:pPr>
              <w:jc w:val="center"/>
              <w:ind w:left="264"/>
              <w:spacing w:after="0" w:line="181" w:lineRule="exact"/>
              <w:rPr>
                <w:sz w:val="20"/>
                <w:szCs w:val="20"/>
                <w:color w:val="auto"/>
              </w:rPr>
            </w:pPr>
            <w:r>
              <w:rPr>
                <w:rFonts w:ascii="Calibri" w:cs="Calibri" w:eastAsia="Calibri" w:hAnsi="Calibri"/>
                <w:sz w:val="15"/>
                <w:szCs w:val="15"/>
                <w:color w:val="auto"/>
              </w:rPr>
              <w:t>20.0%</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Leases of low value and short-term</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rPr>
              <w:t>20,931</w:t>
            </w:r>
          </w:p>
        </w:tc>
        <w:tc>
          <w:tcPr>
            <w:tcW w:w="1340" w:type="dxa"/>
            <w:vAlign w:val="bottom"/>
          </w:tcPr>
          <w:p>
            <w:pPr>
              <w:jc w:val="center"/>
              <w:spacing w:after="0" w:line="181" w:lineRule="exact"/>
              <w:rPr>
                <w:sz w:val="20"/>
                <w:szCs w:val="20"/>
                <w:color w:val="auto"/>
              </w:rPr>
            </w:pPr>
            <w:r>
              <w:rPr>
                <w:rFonts w:ascii="Calibri" w:cs="Calibri" w:eastAsia="Calibri" w:hAnsi="Calibri"/>
                <w:sz w:val="15"/>
                <w:szCs w:val="15"/>
                <w:color w:val="auto"/>
              </w:rPr>
              <w:t>25,997</w:t>
            </w:r>
          </w:p>
        </w:tc>
        <w:tc>
          <w:tcPr>
            <w:tcW w:w="12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25,116</w:t>
            </w:r>
          </w:p>
        </w:tc>
        <w:tc>
          <w:tcPr>
            <w:tcW w:w="860" w:type="dxa"/>
            <w:vAlign w:val="bottom"/>
          </w:tcPr>
          <w:p>
            <w:pPr>
              <w:jc w:val="center"/>
              <w:ind w:left="284"/>
              <w:spacing w:after="0" w:line="181" w:lineRule="exact"/>
              <w:rPr>
                <w:sz w:val="20"/>
                <w:szCs w:val="20"/>
                <w:color w:val="auto"/>
              </w:rPr>
            </w:pPr>
            <w:r>
              <w:rPr>
                <w:rFonts w:ascii="Calibri" w:cs="Calibri" w:eastAsia="Calibri" w:hAnsi="Calibri"/>
                <w:sz w:val="15"/>
                <w:szCs w:val="15"/>
                <w:color w:val="auto"/>
                <w:w w:val="98"/>
              </w:rPr>
              <w:t>-3.4%</w:t>
            </w:r>
          </w:p>
        </w:tc>
        <w:tc>
          <w:tcPr>
            <w:tcW w:w="1600" w:type="dxa"/>
            <w:vAlign w:val="bottom"/>
            <w:tcBorders>
              <w:right w:val="single" w:sz="8" w:color="auto"/>
            </w:tcBorders>
          </w:tcPr>
          <w:p>
            <w:pPr>
              <w:jc w:val="center"/>
              <w:ind w:left="264"/>
              <w:spacing w:after="0" w:line="181" w:lineRule="exact"/>
              <w:rPr>
                <w:sz w:val="20"/>
                <w:szCs w:val="20"/>
                <w:color w:val="auto"/>
              </w:rPr>
            </w:pPr>
            <w:r>
              <w:rPr>
                <w:rFonts w:ascii="Calibri" w:cs="Calibri" w:eastAsia="Calibri" w:hAnsi="Calibri"/>
                <w:sz w:val="15"/>
                <w:szCs w:val="15"/>
                <w:color w:val="auto"/>
              </w:rPr>
              <w:t>20.0%</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Miscellaneous supplies</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rPr>
              <w:t>19,077</w:t>
            </w:r>
          </w:p>
        </w:tc>
        <w:tc>
          <w:tcPr>
            <w:tcW w:w="1340" w:type="dxa"/>
            <w:vAlign w:val="bottom"/>
          </w:tcPr>
          <w:p>
            <w:pPr>
              <w:jc w:val="center"/>
              <w:spacing w:after="0" w:line="181" w:lineRule="exact"/>
              <w:rPr>
                <w:sz w:val="20"/>
                <w:szCs w:val="20"/>
                <w:color w:val="auto"/>
              </w:rPr>
            </w:pPr>
            <w:r>
              <w:rPr>
                <w:rFonts w:ascii="Calibri" w:cs="Calibri" w:eastAsia="Calibri" w:hAnsi="Calibri"/>
                <w:sz w:val="15"/>
                <w:szCs w:val="15"/>
                <w:color w:val="auto"/>
              </w:rPr>
              <w:t>22,848</w:t>
            </w:r>
          </w:p>
        </w:tc>
        <w:tc>
          <w:tcPr>
            <w:tcW w:w="12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32,993</w:t>
            </w:r>
          </w:p>
        </w:tc>
        <w:tc>
          <w:tcPr>
            <w:tcW w:w="860" w:type="dxa"/>
            <w:vAlign w:val="bottom"/>
          </w:tcPr>
          <w:p>
            <w:pPr>
              <w:jc w:val="center"/>
              <w:ind w:left="284"/>
              <w:spacing w:after="0" w:line="181" w:lineRule="exact"/>
              <w:rPr>
                <w:sz w:val="20"/>
                <w:szCs w:val="20"/>
                <w:color w:val="auto"/>
              </w:rPr>
            </w:pPr>
            <w:r>
              <w:rPr>
                <w:rFonts w:ascii="Calibri" w:cs="Calibri" w:eastAsia="Calibri" w:hAnsi="Calibri"/>
                <w:sz w:val="15"/>
                <w:szCs w:val="15"/>
                <w:color w:val="auto"/>
              </w:rPr>
              <w:t>44.4%</w:t>
            </w:r>
          </w:p>
        </w:tc>
        <w:tc>
          <w:tcPr>
            <w:tcW w:w="1600" w:type="dxa"/>
            <w:vAlign w:val="bottom"/>
            <w:tcBorders>
              <w:right w:val="single" w:sz="8" w:color="auto"/>
            </w:tcBorders>
          </w:tcPr>
          <w:p>
            <w:pPr>
              <w:jc w:val="center"/>
              <w:ind w:left="264"/>
              <w:spacing w:after="0" w:line="181" w:lineRule="exact"/>
              <w:rPr>
                <w:sz w:val="20"/>
                <w:szCs w:val="20"/>
                <w:color w:val="auto"/>
              </w:rPr>
            </w:pPr>
            <w:r>
              <w:rPr>
                <w:rFonts w:ascii="Calibri" w:cs="Calibri" w:eastAsia="Calibri" w:hAnsi="Calibri"/>
                <w:sz w:val="15"/>
                <w:szCs w:val="15"/>
                <w:color w:val="auto"/>
              </w:rPr>
              <w:t>72.9%</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Security and protecton</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rPr>
              <w:t>15,476</w:t>
            </w:r>
          </w:p>
        </w:tc>
        <w:tc>
          <w:tcPr>
            <w:tcW w:w="1340" w:type="dxa"/>
            <w:vAlign w:val="bottom"/>
          </w:tcPr>
          <w:p>
            <w:pPr>
              <w:jc w:val="center"/>
              <w:spacing w:after="0" w:line="181" w:lineRule="exact"/>
              <w:rPr>
                <w:sz w:val="20"/>
                <w:szCs w:val="20"/>
                <w:color w:val="auto"/>
              </w:rPr>
            </w:pPr>
            <w:r>
              <w:rPr>
                <w:rFonts w:ascii="Calibri" w:cs="Calibri" w:eastAsia="Calibri" w:hAnsi="Calibri"/>
                <w:sz w:val="15"/>
                <w:szCs w:val="15"/>
                <w:color w:val="auto"/>
              </w:rPr>
              <w:t>16,365</w:t>
            </w:r>
          </w:p>
        </w:tc>
        <w:tc>
          <w:tcPr>
            <w:tcW w:w="12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15,789</w:t>
            </w:r>
          </w:p>
        </w:tc>
        <w:tc>
          <w:tcPr>
            <w:tcW w:w="860" w:type="dxa"/>
            <w:vAlign w:val="bottom"/>
          </w:tcPr>
          <w:p>
            <w:pPr>
              <w:jc w:val="center"/>
              <w:ind w:left="284"/>
              <w:spacing w:after="0" w:line="181" w:lineRule="exact"/>
              <w:rPr>
                <w:sz w:val="20"/>
                <w:szCs w:val="20"/>
                <w:color w:val="auto"/>
              </w:rPr>
            </w:pPr>
            <w:r>
              <w:rPr>
                <w:rFonts w:ascii="Calibri" w:cs="Calibri" w:eastAsia="Calibri" w:hAnsi="Calibri"/>
                <w:sz w:val="15"/>
                <w:szCs w:val="15"/>
                <w:color w:val="auto"/>
                <w:w w:val="98"/>
              </w:rPr>
              <w:t>-3.5%</w:t>
            </w:r>
          </w:p>
        </w:tc>
        <w:tc>
          <w:tcPr>
            <w:tcW w:w="1600" w:type="dxa"/>
            <w:vAlign w:val="bottom"/>
            <w:tcBorders>
              <w:right w:val="single" w:sz="8" w:color="auto"/>
            </w:tcBorders>
          </w:tcPr>
          <w:p>
            <w:pPr>
              <w:jc w:val="center"/>
              <w:ind w:left="264"/>
              <w:spacing w:after="0" w:line="181" w:lineRule="exact"/>
              <w:rPr>
                <w:sz w:val="20"/>
                <w:szCs w:val="20"/>
                <w:color w:val="auto"/>
              </w:rPr>
            </w:pPr>
            <w:r>
              <w:rPr>
                <w:rFonts w:ascii="Calibri" w:cs="Calibri" w:eastAsia="Calibri" w:hAnsi="Calibri"/>
                <w:sz w:val="15"/>
                <w:szCs w:val="15"/>
                <w:color w:val="auto"/>
              </w:rPr>
              <w:t>2.0%</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Subscriptons and quotes</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rPr>
              <w:t>13,012</w:t>
            </w:r>
          </w:p>
        </w:tc>
        <w:tc>
          <w:tcPr>
            <w:tcW w:w="1340" w:type="dxa"/>
            <w:vAlign w:val="bottom"/>
          </w:tcPr>
          <w:p>
            <w:pPr>
              <w:jc w:val="center"/>
              <w:spacing w:after="0" w:line="181" w:lineRule="exact"/>
              <w:rPr>
                <w:sz w:val="20"/>
                <w:szCs w:val="20"/>
                <w:color w:val="auto"/>
              </w:rPr>
            </w:pPr>
            <w:r>
              <w:rPr>
                <w:rFonts w:ascii="Calibri" w:cs="Calibri" w:eastAsia="Calibri" w:hAnsi="Calibri"/>
                <w:sz w:val="15"/>
                <w:szCs w:val="15"/>
                <w:color w:val="auto"/>
              </w:rPr>
              <w:t>14,271</w:t>
            </w:r>
          </w:p>
        </w:tc>
        <w:tc>
          <w:tcPr>
            <w:tcW w:w="12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13,086</w:t>
            </w:r>
          </w:p>
        </w:tc>
        <w:tc>
          <w:tcPr>
            <w:tcW w:w="860" w:type="dxa"/>
            <w:vAlign w:val="bottom"/>
          </w:tcPr>
          <w:p>
            <w:pPr>
              <w:jc w:val="center"/>
              <w:ind w:left="284"/>
              <w:spacing w:after="0" w:line="181" w:lineRule="exact"/>
              <w:rPr>
                <w:sz w:val="20"/>
                <w:szCs w:val="20"/>
                <w:color w:val="auto"/>
              </w:rPr>
            </w:pPr>
            <w:r>
              <w:rPr>
                <w:rFonts w:ascii="Calibri" w:cs="Calibri" w:eastAsia="Calibri" w:hAnsi="Calibri"/>
                <w:sz w:val="15"/>
                <w:szCs w:val="15"/>
                <w:color w:val="auto"/>
                <w:w w:val="98"/>
              </w:rPr>
              <w:t>-8.3%</w:t>
            </w:r>
          </w:p>
        </w:tc>
        <w:tc>
          <w:tcPr>
            <w:tcW w:w="1600" w:type="dxa"/>
            <w:vAlign w:val="bottom"/>
            <w:tcBorders>
              <w:right w:val="single" w:sz="8" w:color="auto"/>
            </w:tcBorders>
          </w:tcPr>
          <w:p>
            <w:pPr>
              <w:jc w:val="center"/>
              <w:ind w:left="264"/>
              <w:spacing w:after="0" w:line="181" w:lineRule="exact"/>
              <w:rPr>
                <w:sz w:val="20"/>
                <w:szCs w:val="20"/>
                <w:color w:val="auto"/>
              </w:rPr>
            </w:pPr>
            <w:r>
              <w:rPr>
                <w:rFonts w:ascii="Calibri" w:cs="Calibri" w:eastAsia="Calibri" w:hAnsi="Calibri"/>
                <w:sz w:val="15"/>
                <w:szCs w:val="15"/>
                <w:color w:val="auto"/>
              </w:rPr>
              <w:t>0.6%</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Electricity and water</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rPr>
              <w:t>10,550</w:t>
            </w:r>
          </w:p>
        </w:tc>
        <w:tc>
          <w:tcPr>
            <w:tcW w:w="1340" w:type="dxa"/>
            <w:vAlign w:val="bottom"/>
          </w:tcPr>
          <w:p>
            <w:pPr>
              <w:jc w:val="center"/>
              <w:spacing w:after="0" w:line="181" w:lineRule="exact"/>
              <w:rPr>
                <w:sz w:val="20"/>
                <w:szCs w:val="20"/>
                <w:color w:val="auto"/>
              </w:rPr>
            </w:pPr>
            <w:r>
              <w:rPr>
                <w:rFonts w:ascii="Calibri" w:cs="Calibri" w:eastAsia="Calibri" w:hAnsi="Calibri"/>
                <w:sz w:val="15"/>
                <w:szCs w:val="15"/>
                <w:color w:val="auto"/>
              </w:rPr>
              <w:t>14,865</w:t>
            </w:r>
          </w:p>
        </w:tc>
        <w:tc>
          <w:tcPr>
            <w:tcW w:w="12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11,497</w:t>
            </w:r>
          </w:p>
        </w:tc>
        <w:tc>
          <w:tcPr>
            <w:tcW w:w="860" w:type="dxa"/>
            <w:vAlign w:val="bottom"/>
          </w:tcPr>
          <w:p>
            <w:pPr>
              <w:jc w:val="center"/>
              <w:ind w:left="284"/>
              <w:spacing w:after="0" w:line="181" w:lineRule="exact"/>
              <w:rPr>
                <w:sz w:val="20"/>
                <w:szCs w:val="20"/>
                <w:color w:val="auto"/>
              </w:rPr>
            </w:pPr>
            <w:r>
              <w:rPr>
                <w:rFonts w:ascii="Calibri" w:cs="Calibri" w:eastAsia="Calibri" w:hAnsi="Calibri"/>
                <w:sz w:val="15"/>
                <w:szCs w:val="15"/>
                <w:color w:val="auto"/>
              </w:rPr>
              <w:t>-22.7%</w:t>
            </w:r>
          </w:p>
        </w:tc>
        <w:tc>
          <w:tcPr>
            <w:tcW w:w="1600" w:type="dxa"/>
            <w:vAlign w:val="bottom"/>
            <w:tcBorders>
              <w:right w:val="single" w:sz="8" w:color="auto"/>
            </w:tcBorders>
          </w:tcPr>
          <w:p>
            <w:pPr>
              <w:jc w:val="center"/>
              <w:ind w:left="264"/>
              <w:spacing w:after="0" w:line="181" w:lineRule="exact"/>
              <w:rPr>
                <w:sz w:val="20"/>
                <w:szCs w:val="20"/>
                <w:color w:val="auto"/>
              </w:rPr>
            </w:pPr>
            <w:r>
              <w:rPr>
                <w:rFonts w:ascii="Calibri" w:cs="Calibri" w:eastAsia="Calibri" w:hAnsi="Calibri"/>
                <w:sz w:val="15"/>
                <w:szCs w:val="15"/>
                <w:color w:val="auto"/>
              </w:rPr>
              <w:t>9.0%</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Electronic processing</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7,693</w:t>
            </w:r>
          </w:p>
        </w:tc>
        <w:tc>
          <w:tcPr>
            <w:tcW w:w="1340" w:type="dxa"/>
            <w:vAlign w:val="bottom"/>
          </w:tcPr>
          <w:p>
            <w:pPr>
              <w:jc w:val="center"/>
              <w:spacing w:after="0" w:line="181" w:lineRule="exact"/>
              <w:rPr>
                <w:sz w:val="20"/>
                <w:szCs w:val="20"/>
                <w:color w:val="auto"/>
              </w:rPr>
            </w:pPr>
            <w:r>
              <w:rPr>
                <w:rFonts w:ascii="Calibri" w:cs="Calibri" w:eastAsia="Calibri" w:hAnsi="Calibri"/>
                <w:sz w:val="15"/>
                <w:szCs w:val="15"/>
                <w:color w:val="auto"/>
              </w:rPr>
              <w:t>12,225</w:t>
            </w:r>
          </w:p>
        </w:tc>
        <w:tc>
          <w:tcPr>
            <w:tcW w:w="12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9"/>
              </w:rPr>
              <w:t>8,730</w:t>
            </w:r>
          </w:p>
        </w:tc>
        <w:tc>
          <w:tcPr>
            <w:tcW w:w="860" w:type="dxa"/>
            <w:vAlign w:val="bottom"/>
          </w:tcPr>
          <w:p>
            <w:pPr>
              <w:jc w:val="center"/>
              <w:ind w:left="284"/>
              <w:spacing w:after="0" w:line="181" w:lineRule="exact"/>
              <w:rPr>
                <w:sz w:val="20"/>
                <w:szCs w:val="20"/>
                <w:color w:val="auto"/>
              </w:rPr>
            </w:pPr>
            <w:r>
              <w:rPr>
                <w:rFonts w:ascii="Calibri" w:cs="Calibri" w:eastAsia="Calibri" w:hAnsi="Calibri"/>
                <w:sz w:val="15"/>
                <w:szCs w:val="15"/>
                <w:color w:val="auto"/>
              </w:rPr>
              <w:t>-28.6%</w:t>
            </w:r>
          </w:p>
        </w:tc>
        <w:tc>
          <w:tcPr>
            <w:tcW w:w="1600" w:type="dxa"/>
            <w:vAlign w:val="bottom"/>
            <w:tcBorders>
              <w:right w:val="single" w:sz="8" w:color="auto"/>
            </w:tcBorders>
          </w:tcPr>
          <w:p>
            <w:pPr>
              <w:jc w:val="center"/>
              <w:ind w:left="264"/>
              <w:spacing w:after="0" w:line="181" w:lineRule="exact"/>
              <w:rPr>
                <w:sz w:val="20"/>
                <w:szCs w:val="20"/>
                <w:color w:val="auto"/>
              </w:rPr>
            </w:pPr>
            <w:r>
              <w:rPr>
                <w:rFonts w:ascii="Calibri" w:cs="Calibri" w:eastAsia="Calibri" w:hAnsi="Calibri"/>
                <w:sz w:val="15"/>
                <w:szCs w:val="15"/>
                <w:color w:val="auto"/>
              </w:rPr>
              <w:t>13.5%</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Insurance</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8,291</w:t>
            </w:r>
          </w:p>
        </w:tc>
        <w:tc>
          <w:tcPr>
            <w:tcW w:w="13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8,629</w:t>
            </w:r>
          </w:p>
        </w:tc>
        <w:tc>
          <w:tcPr>
            <w:tcW w:w="12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9"/>
              </w:rPr>
              <w:t>8,750</w:t>
            </w:r>
          </w:p>
        </w:tc>
        <w:tc>
          <w:tcPr>
            <w:tcW w:w="860" w:type="dxa"/>
            <w:vAlign w:val="bottom"/>
          </w:tcPr>
          <w:p>
            <w:pPr>
              <w:jc w:val="center"/>
              <w:ind w:left="284"/>
              <w:spacing w:after="0" w:line="181" w:lineRule="exact"/>
              <w:rPr>
                <w:sz w:val="20"/>
                <w:szCs w:val="20"/>
                <w:color w:val="auto"/>
              </w:rPr>
            </w:pPr>
            <w:r>
              <w:rPr>
                <w:rFonts w:ascii="Calibri" w:cs="Calibri" w:eastAsia="Calibri" w:hAnsi="Calibri"/>
                <w:sz w:val="15"/>
                <w:szCs w:val="15"/>
                <w:color w:val="auto"/>
              </w:rPr>
              <w:t>1.4%</w:t>
            </w:r>
          </w:p>
        </w:tc>
        <w:tc>
          <w:tcPr>
            <w:tcW w:w="1600" w:type="dxa"/>
            <w:vAlign w:val="bottom"/>
            <w:tcBorders>
              <w:right w:val="single" w:sz="8" w:color="auto"/>
            </w:tcBorders>
          </w:tcPr>
          <w:p>
            <w:pPr>
              <w:jc w:val="center"/>
              <w:ind w:left="264"/>
              <w:spacing w:after="0" w:line="181" w:lineRule="exact"/>
              <w:rPr>
                <w:sz w:val="20"/>
                <w:szCs w:val="20"/>
                <w:color w:val="auto"/>
              </w:rPr>
            </w:pPr>
            <w:r>
              <w:rPr>
                <w:rFonts w:ascii="Calibri" w:cs="Calibri" w:eastAsia="Calibri" w:hAnsi="Calibri"/>
                <w:sz w:val="15"/>
                <w:szCs w:val="15"/>
                <w:color w:val="auto"/>
              </w:rPr>
              <w:t>5.5%</w:t>
            </w:r>
          </w:p>
        </w:tc>
      </w:tr>
      <w:tr>
        <w:trPr>
          <w:trHeight w:val="182"/>
        </w:trPr>
        <w:tc>
          <w:tcPr>
            <w:tcW w:w="50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Cleaning</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4,506</w:t>
            </w:r>
          </w:p>
        </w:tc>
        <w:tc>
          <w:tcPr>
            <w:tcW w:w="13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5,368</w:t>
            </w:r>
          </w:p>
        </w:tc>
        <w:tc>
          <w:tcPr>
            <w:tcW w:w="12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9"/>
              </w:rPr>
              <w:t>5,162</w:t>
            </w:r>
          </w:p>
        </w:tc>
        <w:tc>
          <w:tcPr>
            <w:tcW w:w="860" w:type="dxa"/>
            <w:vAlign w:val="bottom"/>
          </w:tcPr>
          <w:p>
            <w:pPr>
              <w:jc w:val="center"/>
              <w:ind w:left="284"/>
              <w:spacing w:after="0" w:line="181" w:lineRule="exact"/>
              <w:rPr>
                <w:sz w:val="20"/>
                <w:szCs w:val="20"/>
                <w:color w:val="auto"/>
              </w:rPr>
            </w:pPr>
            <w:r>
              <w:rPr>
                <w:rFonts w:ascii="Calibri" w:cs="Calibri" w:eastAsia="Calibri" w:hAnsi="Calibri"/>
                <w:sz w:val="15"/>
                <w:szCs w:val="15"/>
                <w:color w:val="auto"/>
                <w:w w:val="98"/>
              </w:rPr>
              <w:t>-3.8%</w:t>
            </w:r>
          </w:p>
        </w:tc>
        <w:tc>
          <w:tcPr>
            <w:tcW w:w="1600" w:type="dxa"/>
            <w:vAlign w:val="bottom"/>
            <w:tcBorders>
              <w:right w:val="single" w:sz="8" w:color="auto"/>
            </w:tcBorders>
          </w:tcPr>
          <w:p>
            <w:pPr>
              <w:jc w:val="center"/>
              <w:ind w:left="264"/>
              <w:spacing w:after="0" w:line="181" w:lineRule="exact"/>
              <w:rPr>
                <w:sz w:val="20"/>
                <w:szCs w:val="20"/>
                <w:color w:val="auto"/>
              </w:rPr>
            </w:pPr>
            <w:r>
              <w:rPr>
                <w:rFonts w:ascii="Calibri" w:cs="Calibri" w:eastAsia="Calibri" w:hAnsi="Calibri"/>
                <w:sz w:val="15"/>
                <w:szCs w:val="15"/>
                <w:color w:val="auto"/>
              </w:rPr>
              <w:t>14.6%</w:t>
            </w:r>
          </w:p>
        </w:tc>
      </w:tr>
      <w:tr>
        <w:trPr>
          <w:trHeight w:val="205"/>
        </w:trPr>
        <w:tc>
          <w:tcPr>
            <w:tcW w:w="5080" w:type="dxa"/>
            <w:vAlign w:val="bottom"/>
            <w:tcBorders>
              <w:left w:val="single" w:sz="8" w:color="auto"/>
              <w:bottom w:val="single" w:sz="8" w:color="auto"/>
              <w:right w:val="single" w:sz="8" w:color="auto"/>
            </w:tcBorders>
          </w:tcPr>
          <w:p>
            <w:pPr>
              <w:ind w:left="20"/>
              <w:spacing w:after="0" w:line="202" w:lineRule="exact"/>
              <w:rPr>
                <w:sz w:val="20"/>
                <w:szCs w:val="20"/>
                <w:color w:val="auto"/>
              </w:rPr>
            </w:pPr>
            <w:r>
              <w:rPr>
                <w:rFonts w:ascii="Calibri" w:cs="Calibri" w:eastAsia="Calibri" w:hAnsi="Calibri"/>
                <w:sz w:val="14"/>
                <w:szCs w:val="14"/>
                <w:color w:val="auto"/>
              </w:rPr>
              <w:t xml:space="preserve">Others </w:t>
            </w:r>
            <w:r>
              <w:rPr>
                <w:rFonts w:ascii="Calibri" w:cs="Calibri" w:eastAsia="Calibri" w:hAnsi="Calibri"/>
                <w:sz w:val="22"/>
                <w:szCs w:val="22"/>
                <w:color w:val="auto"/>
                <w:vertAlign w:val="superscript"/>
              </w:rPr>
              <w:t>(1)</w:t>
            </w:r>
          </w:p>
        </w:tc>
        <w:tc>
          <w:tcPr>
            <w:tcW w:w="1180" w:type="dxa"/>
            <w:vAlign w:val="bottom"/>
            <w:tcBorders>
              <w:bottom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50,908</w:t>
            </w:r>
          </w:p>
        </w:tc>
        <w:tc>
          <w:tcPr>
            <w:tcW w:w="1340" w:type="dxa"/>
            <w:vAlign w:val="bottom"/>
            <w:tcBorders>
              <w:bottom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50,273</w:t>
            </w:r>
          </w:p>
        </w:tc>
        <w:tc>
          <w:tcPr>
            <w:tcW w:w="1200" w:type="dxa"/>
            <w:vAlign w:val="bottom"/>
            <w:tcBorders>
              <w:bottom w:val="single" w:sz="8" w:color="auto"/>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69,798</w:t>
            </w:r>
          </w:p>
        </w:tc>
        <w:tc>
          <w:tcPr>
            <w:tcW w:w="860" w:type="dxa"/>
            <w:vAlign w:val="bottom"/>
            <w:tcBorders>
              <w:bottom w:val="single" w:sz="8" w:color="auto"/>
            </w:tcBorders>
          </w:tcPr>
          <w:p>
            <w:pPr>
              <w:jc w:val="center"/>
              <w:ind w:left="284"/>
              <w:spacing w:after="0" w:line="181" w:lineRule="exact"/>
              <w:rPr>
                <w:sz w:val="20"/>
                <w:szCs w:val="20"/>
                <w:color w:val="auto"/>
              </w:rPr>
            </w:pPr>
            <w:r>
              <w:rPr>
                <w:rFonts w:ascii="Calibri" w:cs="Calibri" w:eastAsia="Calibri" w:hAnsi="Calibri"/>
                <w:sz w:val="15"/>
                <w:szCs w:val="15"/>
                <w:color w:val="auto"/>
              </w:rPr>
              <w:t>38.8%</w:t>
            </w:r>
          </w:p>
        </w:tc>
        <w:tc>
          <w:tcPr>
            <w:tcW w:w="1600" w:type="dxa"/>
            <w:vAlign w:val="bottom"/>
            <w:tcBorders>
              <w:bottom w:val="single" w:sz="8" w:color="auto"/>
              <w:right w:val="single" w:sz="8" w:color="auto"/>
            </w:tcBorders>
          </w:tcPr>
          <w:p>
            <w:pPr>
              <w:jc w:val="center"/>
              <w:ind w:left="264"/>
              <w:spacing w:after="0" w:line="181" w:lineRule="exact"/>
              <w:rPr>
                <w:sz w:val="20"/>
                <w:szCs w:val="20"/>
                <w:color w:val="auto"/>
              </w:rPr>
            </w:pPr>
            <w:r>
              <w:rPr>
                <w:rFonts w:ascii="Calibri" w:cs="Calibri" w:eastAsia="Calibri" w:hAnsi="Calibri"/>
                <w:sz w:val="15"/>
                <w:szCs w:val="15"/>
                <w:color w:val="auto"/>
              </w:rPr>
              <w:t>37.1%</w:t>
            </w:r>
          </w:p>
        </w:tc>
      </w:tr>
      <w:tr>
        <w:trPr>
          <w:trHeight w:val="184"/>
        </w:trPr>
        <w:tc>
          <w:tcPr>
            <w:tcW w:w="5080" w:type="dxa"/>
            <w:vAlign w:val="bottom"/>
            <w:tcBorders>
              <w:left w:val="single" w:sz="8" w:color="auto"/>
              <w:bottom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Total</w:t>
            </w:r>
          </w:p>
        </w:tc>
        <w:tc>
          <w:tcPr>
            <w:tcW w:w="118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rPr>
              <w:t>696,065</w:t>
            </w:r>
          </w:p>
        </w:tc>
        <w:tc>
          <w:tcPr>
            <w:tcW w:w="134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rPr>
              <w:t>1,042,882</w:t>
            </w:r>
          </w:p>
        </w:tc>
        <w:tc>
          <w:tcPr>
            <w:tcW w:w="1200" w:type="dxa"/>
            <w:vAlign w:val="bottom"/>
            <w:tcBorders>
              <w:bottom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rPr>
              <w:t>835,060</w:t>
            </w:r>
          </w:p>
        </w:tc>
        <w:tc>
          <w:tcPr>
            <w:tcW w:w="860" w:type="dxa"/>
            <w:vAlign w:val="bottom"/>
            <w:tcBorders>
              <w:bottom w:val="single" w:sz="8" w:color="auto"/>
            </w:tcBorders>
          </w:tcPr>
          <w:p>
            <w:pPr>
              <w:jc w:val="center"/>
              <w:ind w:left="284"/>
              <w:spacing w:after="0" w:line="180" w:lineRule="exact"/>
              <w:rPr>
                <w:sz w:val="20"/>
                <w:szCs w:val="20"/>
                <w:color w:val="auto"/>
              </w:rPr>
            </w:pPr>
            <w:r>
              <w:rPr>
                <w:rFonts w:ascii="Calibri" w:cs="Calibri" w:eastAsia="Calibri" w:hAnsi="Calibri"/>
                <w:sz w:val="15"/>
                <w:szCs w:val="15"/>
                <w:b w:val="1"/>
                <w:bCs w:val="1"/>
                <w:color w:val="auto"/>
                <w:w w:val="99"/>
              </w:rPr>
              <w:t>-19.9%</w:t>
            </w:r>
          </w:p>
        </w:tc>
        <w:tc>
          <w:tcPr>
            <w:tcW w:w="1600" w:type="dxa"/>
            <w:vAlign w:val="bottom"/>
            <w:tcBorders>
              <w:bottom w:val="single" w:sz="8" w:color="auto"/>
              <w:right w:val="single" w:sz="8" w:color="auto"/>
            </w:tcBorders>
          </w:tcPr>
          <w:p>
            <w:pPr>
              <w:jc w:val="center"/>
              <w:ind w:left="264"/>
              <w:spacing w:after="0" w:line="180" w:lineRule="exact"/>
              <w:rPr>
                <w:sz w:val="20"/>
                <w:szCs w:val="20"/>
                <w:color w:val="auto"/>
              </w:rPr>
            </w:pPr>
            <w:r>
              <w:rPr>
                <w:rFonts w:ascii="Calibri" w:cs="Calibri" w:eastAsia="Calibri" w:hAnsi="Calibri"/>
                <w:sz w:val="15"/>
                <w:szCs w:val="15"/>
                <w:b w:val="1"/>
                <w:bCs w:val="1"/>
                <w:color w:val="auto"/>
              </w:rPr>
              <w:t>20.0%</w:t>
            </w:r>
          </w:p>
        </w:tc>
      </w:tr>
    </w:tbl>
    <w:p>
      <w:pPr>
        <w:spacing w:after="0" w:line="95" w:lineRule="exact"/>
        <w:rPr>
          <w:sz w:val="20"/>
          <w:szCs w:val="20"/>
          <w:color w:val="auto"/>
        </w:rPr>
      </w:pPr>
    </w:p>
    <w:p>
      <w:pPr>
        <w:ind w:left="9"/>
        <w:spacing w:after="0"/>
        <w:rPr>
          <w:sz w:val="20"/>
          <w:szCs w:val="20"/>
          <w:color w:val="auto"/>
        </w:rPr>
      </w:pPr>
      <w:r>
        <w:rPr>
          <w:rFonts w:ascii="Calibri" w:cs="Calibri" w:eastAsia="Calibri" w:hAnsi="Calibri"/>
          <w:sz w:val="10"/>
          <w:szCs w:val="10"/>
          <w:color w:val="auto"/>
        </w:rPr>
        <w:t>(1) Others consists mainly of security and protecton services, cleaning service, representaton expenses, electricity and water utlites, insurance policy expenses, subscripton expenses and commission expenses.</w:t>
      </w:r>
    </w:p>
    <w:p>
      <w:pPr>
        <w:spacing w:after="0" w:line="331"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31" w:right="319" w:bottom="1440" w:gutter="0" w:footer="0" w:header="0"/>
        </w:sectPr>
      </w:pPr>
    </w:p>
    <w:bookmarkStart w:id="41" w:name="page42"/>
    <w:bookmarkEnd w:id="41"/>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10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08. Operatng Expenses</w:t>
      </w:r>
    </w:p>
    <w:p>
      <w:pPr>
        <w:spacing w:after="0" w:line="278" w:lineRule="exact"/>
        <w:rPr>
          <w:sz w:val="20"/>
          <w:szCs w:val="20"/>
          <w:color w:val="auto"/>
        </w:rPr>
      </w:pPr>
    </w:p>
    <w:p>
      <w:pPr>
        <w:spacing w:after="0" w:line="236" w:lineRule="auto"/>
        <w:rPr>
          <w:sz w:val="20"/>
          <w:szCs w:val="20"/>
          <w:color w:val="auto"/>
        </w:rPr>
      </w:pPr>
      <w:r>
        <w:rPr>
          <w:rFonts w:ascii="Calibri" w:cs="Calibri" w:eastAsia="Calibri" w:hAnsi="Calibri"/>
          <w:sz w:val="15"/>
          <w:szCs w:val="15"/>
          <w:color w:val="auto"/>
        </w:rPr>
        <w:t>The 13.5% increase in Credicorp’s expenses in YoY terms was atributable primarily to an uptck in expenses at BCP (46%) and secondarily, to expansion in expenses for our disruptve initatves (38%). Given that these expenses, when combined, generated 80% of the increase reported YoY, the explanaton that follows focuses analyzing movements within each.</w:t>
      </w:r>
    </w:p>
    <w:p>
      <w:pPr>
        <w:spacing w:after="0" w:line="19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Operatng Expense per Business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51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Operatng expenses</w:t>
            </w:r>
          </w:p>
        </w:tc>
        <w:tc>
          <w:tcPr>
            <w:tcW w:w="1560" w:type="dxa"/>
            <w:vAlign w:val="bottom"/>
            <w:tcBorders>
              <w:top w:val="single" w:sz="8" w:color="auto"/>
            </w:tcBorders>
            <w:shd w:val="clear" w:color="auto" w:fill="2AD2C9"/>
          </w:tcPr>
          <w:p>
            <w:pPr>
              <w:spacing w:after="0"/>
              <w:rPr>
                <w:sz w:val="17"/>
                <w:szCs w:val="17"/>
                <w:color w:val="auto"/>
              </w:rPr>
            </w:pPr>
          </w:p>
        </w:tc>
        <w:tc>
          <w:tcPr>
            <w:tcW w:w="1380" w:type="dxa"/>
            <w:vAlign w:val="bottom"/>
            <w:tcBorders>
              <w:top w:val="single" w:sz="8" w:color="auto"/>
            </w:tcBorders>
            <w:shd w:val="clear" w:color="auto" w:fill="2AD2C9"/>
          </w:tcPr>
          <w:p>
            <w:pPr>
              <w:jc w:val="right"/>
              <w:ind w:right="604"/>
              <w:spacing w:after="0"/>
              <w:rPr>
                <w:sz w:val="20"/>
                <w:szCs w:val="20"/>
                <w:color w:val="auto"/>
              </w:rPr>
            </w:pPr>
            <w:r>
              <w:rPr>
                <w:rFonts w:ascii="Calibri" w:cs="Calibri" w:eastAsia="Calibri" w:hAnsi="Calibri"/>
                <w:sz w:val="15"/>
                <w:szCs w:val="15"/>
                <w:b w:val="1"/>
                <w:bCs w:val="1"/>
                <w:color w:val="FFFFFF"/>
              </w:rPr>
              <w:t>Quarter</w:t>
            </w:r>
          </w:p>
        </w:tc>
        <w:tc>
          <w:tcPr>
            <w:tcW w:w="1100" w:type="dxa"/>
            <w:vAlign w:val="bottom"/>
            <w:tcBorders>
              <w:top w:val="single" w:sz="8" w:color="auto"/>
              <w:right w:val="single" w:sz="8" w:color="auto"/>
            </w:tcBorders>
            <w:shd w:val="clear" w:color="auto" w:fill="2AD2C9"/>
          </w:tcPr>
          <w:p>
            <w:pPr>
              <w:spacing w:after="0"/>
              <w:rPr>
                <w:sz w:val="17"/>
                <w:szCs w:val="17"/>
                <w:color w:val="auto"/>
              </w:rPr>
            </w:pPr>
          </w:p>
        </w:tc>
        <w:tc>
          <w:tcPr>
            <w:tcW w:w="720" w:type="dxa"/>
            <w:vAlign w:val="bottom"/>
            <w:tcBorders>
              <w:top w:val="single" w:sz="8" w:color="auto"/>
            </w:tcBorders>
            <w:shd w:val="clear" w:color="auto" w:fill="2AD2C9"/>
          </w:tcPr>
          <w:p>
            <w:pPr>
              <w:spacing w:after="0"/>
              <w:rPr>
                <w:sz w:val="17"/>
                <w:szCs w:val="17"/>
                <w:color w:val="auto"/>
              </w:rPr>
            </w:pPr>
          </w:p>
        </w:tc>
        <w:tc>
          <w:tcPr>
            <w:tcW w:w="1320" w:type="dxa"/>
            <w:vAlign w:val="bottom"/>
            <w:tcBorders>
              <w:top w:val="single" w:sz="8" w:color="auto"/>
              <w:right w:val="single" w:sz="8" w:color="auto"/>
            </w:tcBorders>
            <w:shd w:val="clear" w:color="auto" w:fill="2AD2C9"/>
          </w:tcPr>
          <w:p>
            <w:pPr>
              <w:spacing w:after="0"/>
              <w:rPr>
                <w:sz w:val="20"/>
                <w:szCs w:val="20"/>
                <w:color w:val="auto"/>
              </w:rPr>
            </w:pPr>
            <w:r>
              <w:rPr>
                <w:rFonts w:ascii="Calibri" w:cs="Calibri" w:eastAsia="Calibri" w:hAnsi="Calibri"/>
                <w:sz w:val="15"/>
                <w:szCs w:val="15"/>
                <w:b w:val="1"/>
                <w:bCs w:val="1"/>
                <w:color w:val="FFFFFF"/>
              </w:rPr>
              <w:t>% change</w:t>
            </w:r>
          </w:p>
        </w:tc>
      </w:tr>
      <w:tr>
        <w:trPr>
          <w:trHeight w:val="237"/>
        </w:trPr>
        <w:tc>
          <w:tcPr>
            <w:tcW w:w="5180" w:type="dxa"/>
            <w:vAlign w:val="bottom"/>
            <w:tcBorders>
              <w:left w:val="single" w:sz="8" w:color="auto"/>
              <w:bottom w:val="single" w:sz="8" w:color="2AD2C9"/>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S/ 000</w:t>
            </w:r>
          </w:p>
        </w:tc>
        <w:tc>
          <w:tcPr>
            <w:tcW w:w="1560" w:type="dxa"/>
            <w:vAlign w:val="bottom"/>
            <w:tcBorders>
              <w:bottom w:val="single" w:sz="8" w:color="2AD2C9"/>
            </w:tcBorders>
            <w:shd w:val="clear" w:color="auto" w:fill="2AD2C9"/>
          </w:tcPr>
          <w:p>
            <w:pPr>
              <w:jc w:val="right"/>
              <w:ind w:right="644"/>
              <w:spacing w:after="0"/>
              <w:rPr>
                <w:sz w:val="20"/>
                <w:szCs w:val="20"/>
                <w:color w:val="auto"/>
              </w:rPr>
            </w:pPr>
            <w:r>
              <w:rPr>
                <w:rFonts w:ascii="Calibri" w:cs="Calibri" w:eastAsia="Calibri" w:hAnsi="Calibri"/>
                <w:sz w:val="15"/>
                <w:szCs w:val="15"/>
                <w:b w:val="1"/>
                <w:bCs w:val="1"/>
                <w:color w:val="FFFFFF"/>
              </w:rPr>
              <w:t>1Q22</w:t>
            </w:r>
          </w:p>
        </w:tc>
        <w:tc>
          <w:tcPr>
            <w:tcW w:w="1380" w:type="dxa"/>
            <w:vAlign w:val="bottom"/>
            <w:tcBorders>
              <w:bottom w:val="single" w:sz="8" w:color="2AD2C9"/>
            </w:tcBorders>
            <w:shd w:val="clear" w:color="auto" w:fill="2AD2C9"/>
          </w:tcPr>
          <w:p>
            <w:pPr>
              <w:jc w:val="right"/>
              <w:ind w:right="664"/>
              <w:spacing w:after="0"/>
              <w:rPr>
                <w:sz w:val="20"/>
                <w:szCs w:val="20"/>
                <w:color w:val="auto"/>
              </w:rPr>
            </w:pPr>
            <w:r>
              <w:rPr>
                <w:rFonts w:ascii="Calibri" w:cs="Calibri" w:eastAsia="Calibri" w:hAnsi="Calibri"/>
                <w:sz w:val="15"/>
                <w:szCs w:val="15"/>
                <w:b w:val="1"/>
                <w:bCs w:val="1"/>
                <w:color w:val="FFFFFF"/>
              </w:rPr>
              <w:t>4Q22</w:t>
            </w:r>
          </w:p>
        </w:tc>
        <w:tc>
          <w:tcPr>
            <w:tcW w:w="1100" w:type="dxa"/>
            <w:vAlign w:val="bottom"/>
            <w:tcBorders>
              <w:bottom w:val="single" w:sz="8" w:color="2AD2C9"/>
              <w:right w:val="single" w:sz="8" w:color="auto"/>
            </w:tcBorders>
            <w:shd w:val="clear" w:color="auto" w:fill="2AD2C9"/>
          </w:tcPr>
          <w:p>
            <w:pPr>
              <w:jc w:val="right"/>
              <w:ind w:right="444"/>
              <w:spacing w:after="0"/>
              <w:rPr>
                <w:sz w:val="20"/>
                <w:szCs w:val="20"/>
                <w:color w:val="auto"/>
              </w:rPr>
            </w:pPr>
            <w:r>
              <w:rPr>
                <w:rFonts w:ascii="Calibri" w:cs="Calibri" w:eastAsia="Calibri" w:hAnsi="Calibri"/>
                <w:sz w:val="15"/>
                <w:szCs w:val="15"/>
                <w:b w:val="1"/>
                <w:bCs w:val="1"/>
                <w:color w:val="FFFFFF"/>
              </w:rPr>
              <w:t>1Q23</w:t>
            </w:r>
          </w:p>
        </w:tc>
        <w:tc>
          <w:tcPr>
            <w:tcW w:w="720" w:type="dxa"/>
            <w:vAlign w:val="bottom"/>
            <w:tcBorders>
              <w:bottom w:val="single" w:sz="8" w:color="2AD2C9"/>
            </w:tcBorders>
            <w:shd w:val="clear" w:color="auto" w:fill="2AD2C9"/>
          </w:tcPr>
          <w:p>
            <w:pPr>
              <w:ind w:left="360"/>
              <w:spacing w:after="0"/>
              <w:rPr>
                <w:sz w:val="20"/>
                <w:szCs w:val="20"/>
                <w:color w:val="auto"/>
              </w:rPr>
            </w:pPr>
            <w:r>
              <w:rPr>
                <w:rFonts w:ascii="Calibri" w:cs="Calibri" w:eastAsia="Calibri" w:hAnsi="Calibri"/>
                <w:sz w:val="15"/>
                <w:szCs w:val="15"/>
                <w:b w:val="1"/>
                <w:bCs w:val="1"/>
                <w:color w:val="FFFFFF"/>
              </w:rPr>
              <w:t>QoQ</w:t>
            </w:r>
          </w:p>
        </w:tc>
        <w:tc>
          <w:tcPr>
            <w:tcW w:w="1320" w:type="dxa"/>
            <w:vAlign w:val="bottom"/>
            <w:tcBorders>
              <w:bottom w:val="single" w:sz="8" w:color="2AD2C9"/>
              <w:right w:val="single" w:sz="8" w:color="auto"/>
            </w:tcBorders>
            <w:shd w:val="clear" w:color="auto" w:fill="2AD2C9"/>
          </w:tcPr>
          <w:p>
            <w:pPr>
              <w:ind w:left="680"/>
              <w:spacing w:after="0"/>
              <w:rPr>
                <w:sz w:val="20"/>
                <w:szCs w:val="20"/>
                <w:color w:val="auto"/>
              </w:rPr>
            </w:pPr>
            <w:r>
              <w:rPr>
                <w:rFonts w:ascii="Calibri" w:cs="Calibri" w:eastAsia="Calibri" w:hAnsi="Calibri"/>
                <w:sz w:val="15"/>
                <w:szCs w:val="15"/>
                <w:b w:val="1"/>
                <w:bCs w:val="1"/>
                <w:color w:val="FFFFFF"/>
              </w:rPr>
              <w:t>YoY</w:t>
            </w:r>
          </w:p>
        </w:tc>
      </w:tr>
      <w:tr>
        <w:trPr>
          <w:trHeight w:val="179"/>
        </w:trPr>
        <w:tc>
          <w:tcPr>
            <w:tcW w:w="5180" w:type="dxa"/>
            <w:vAlign w:val="bottom"/>
            <w:tcBorders>
              <w:top w:val="single" w:sz="8" w:color="auto"/>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BCP</w:t>
            </w:r>
          </w:p>
        </w:tc>
        <w:tc>
          <w:tcPr>
            <w:tcW w:w="1560" w:type="dxa"/>
            <w:vAlign w:val="bottom"/>
            <w:tcBorders>
              <w:top w:val="single" w:sz="8" w:color="auto"/>
            </w:tcBorders>
          </w:tcPr>
          <w:p>
            <w:pPr>
              <w:jc w:val="right"/>
              <w:ind w:right="144"/>
              <w:spacing w:after="0" w:line="180" w:lineRule="exact"/>
              <w:rPr>
                <w:sz w:val="20"/>
                <w:szCs w:val="20"/>
                <w:color w:val="auto"/>
              </w:rPr>
            </w:pPr>
            <w:r>
              <w:rPr>
                <w:rFonts w:ascii="Calibri" w:cs="Calibri" w:eastAsia="Calibri" w:hAnsi="Calibri"/>
                <w:sz w:val="15"/>
                <w:szCs w:val="15"/>
                <w:color w:val="auto"/>
              </w:rPr>
              <w:t>1,039,586</w:t>
            </w:r>
          </w:p>
        </w:tc>
        <w:tc>
          <w:tcPr>
            <w:tcW w:w="1380" w:type="dxa"/>
            <w:vAlign w:val="bottom"/>
            <w:tcBorders>
              <w:top w:val="single" w:sz="8" w:color="auto"/>
            </w:tcBorders>
          </w:tcPr>
          <w:p>
            <w:pPr>
              <w:jc w:val="right"/>
              <w:ind w:right="184"/>
              <w:spacing w:after="0" w:line="180" w:lineRule="exact"/>
              <w:rPr>
                <w:sz w:val="20"/>
                <w:szCs w:val="20"/>
                <w:color w:val="auto"/>
              </w:rPr>
            </w:pPr>
            <w:r>
              <w:rPr>
                <w:rFonts w:ascii="Calibri" w:cs="Calibri" w:eastAsia="Calibri" w:hAnsi="Calibri"/>
                <w:sz w:val="15"/>
                <w:szCs w:val="15"/>
                <w:color w:val="auto"/>
              </w:rPr>
              <w:t>1,332,331</w:t>
            </w:r>
          </w:p>
        </w:tc>
        <w:tc>
          <w:tcPr>
            <w:tcW w:w="1100" w:type="dxa"/>
            <w:vAlign w:val="bottom"/>
            <w:tcBorders>
              <w:top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1,146,710</w:t>
            </w:r>
          </w:p>
        </w:tc>
        <w:tc>
          <w:tcPr>
            <w:tcW w:w="720" w:type="dxa"/>
            <w:vAlign w:val="bottom"/>
            <w:tcBorders>
              <w:top w:val="single" w:sz="8" w:color="auto"/>
            </w:tcBorders>
          </w:tcPr>
          <w:p>
            <w:pPr>
              <w:jc w:val="center"/>
              <w:ind w:left="224"/>
              <w:spacing w:after="0" w:line="180" w:lineRule="exact"/>
              <w:rPr>
                <w:sz w:val="20"/>
                <w:szCs w:val="20"/>
                <w:color w:val="auto"/>
              </w:rPr>
            </w:pPr>
            <w:r>
              <w:rPr>
                <w:rFonts w:ascii="Calibri" w:cs="Calibri" w:eastAsia="Calibri" w:hAnsi="Calibri"/>
                <w:sz w:val="15"/>
                <w:szCs w:val="15"/>
                <w:color w:val="auto"/>
              </w:rPr>
              <w:t>-13.9%</w:t>
            </w:r>
          </w:p>
        </w:tc>
        <w:tc>
          <w:tcPr>
            <w:tcW w:w="1320" w:type="dxa"/>
            <w:vAlign w:val="bottom"/>
            <w:tcBorders>
              <w:top w:val="single" w:sz="8" w:color="auto"/>
              <w:right w:val="single" w:sz="8" w:color="auto"/>
            </w:tcBorders>
          </w:tcPr>
          <w:p>
            <w:pPr>
              <w:jc w:val="center"/>
              <w:ind w:left="204"/>
              <w:spacing w:after="0" w:line="180" w:lineRule="exact"/>
              <w:rPr>
                <w:sz w:val="20"/>
                <w:szCs w:val="20"/>
                <w:color w:val="auto"/>
              </w:rPr>
            </w:pPr>
            <w:r>
              <w:rPr>
                <w:rFonts w:ascii="Calibri" w:cs="Calibri" w:eastAsia="Calibri" w:hAnsi="Calibri"/>
                <w:sz w:val="15"/>
                <w:szCs w:val="15"/>
                <w:color w:val="auto"/>
                <w:w w:val="96"/>
              </w:rPr>
              <w:t>10.3%</w:t>
            </w:r>
          </w:p>
        </w:tc>
      </w:tr>
      <w:tr>
        <w:trPr>
          <w:trHeight w:val="197"/>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Milbanco</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282,253</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300,155</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297,780</w:t>
            </w:r>
          </w:p>
        </w:tc>
        <w:tc>
          <w:tcPr>
            <w:tcW w:w="720" w:type="dxa"/>
            <w:vAlign w:val="bottom"/>
          </w:tcPr>
          <w:p>
            <w:pPr>
              <w:jc w:val="center"/>
              <w:ind w:left="224"/>
              <w:spacing w:after="0"/>
              <w:rPr>
                <w:sz w:val="20"/>
                <w:szCs w:val="20"/>
                <w:color w:val="auto"/>
              </w:rPr>
            </w:pPr>
            <w:r>
              <w:rPr>
                <w:rFonts w:ascii="Calibri" w:cs="Calibri" w:eastAsia="Calibri" w:hAnsi="Calibri"/>
                <w:sz w:val="15"/>
                <w:szCs w:val="15"/>
                <w:color w:val="auto"/>
                <w:w w:val="98"/>
              </w:rPr>
              <w:t>-0.8%</w:t>
            </w:r>
          </w:p>
        </w:tc>
        <w:tc>
          <w:tcPr>
            <w:tcW w:w="1320" w:type="dxa"/>
            <w:vAlign w:val="bottom"/>
            <w:tcBorders>
              <w:right w:val="single" w:sz="8" w:color="auto"/>
            </w:tcBorders>
          </w:tcPr>
          <w:p>
            <w:pPr>
              <w:jc w:val="center"/>
              <w:ind w:left="184"/>
              <w:spacing w:after="0"/>
              <w:rPr>
                <w:sz w:val="20"/>
                <w:szCs w:val="20"/>
                <w:color w:val="auto"/>
              </w:rPr>
            </w:pPr>
            <w:r>
              <w:rPr>
                <w:rFonts w:ascii="Calibri" w:cs="Calibri" w:eastAsia="Calibri" w:hAnsi="Calibri"/>
                <w:sz w:val="15"/>
                <w:szCs w:val="15"/>
                <w:color w:val="auto"/>
              </w:rPr>
              <w:t>5.5%</w:t>
            </w:r>
          </w:p>
        </w:tc>
      </w:tr>
      <w:tr>
        <w:trPr>
          <w:trHeight w:val="204"/>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Pacifco</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58,769</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88,790</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64,268</w:t>
            </w:r>
          </w:p>
        </w:tc>
        <w:tc>
          <w:tcPr>
            <w:tcW w:w="720" w:type="dxa"/>
            <w:vAlign w:val="bottom"/>
          </w:tcPr>
          <w:p>
            <w:pPr>
              <w:jc w:val="center"/>
              <w:ind w:left="224"/>
              <w:spacing w:after="0"/>
              <w:rPr>
                <w:sz w:val="20"/>
                <w:szCs w:val="20"/>
                <w:color w:val="auto"/>
              </w:rPr>
            </w:pPr>
            <w:r>
              <w:rPr>
                <w:rFonts w:ascii="Calibri" w:cs="Calibri" w:eastAsia="Calibri" w:hAnsi="Calibri"/>
                <w:sz w:val="15"/>
                <w:szCs w:val="15"/>
                <w:color w:val="auto"/>
              </w:rPr>
              <w:t>-27.6%</w:t>
            </w:r>
          </w:p>
        </w:tc>
        <w:tc>
          <w:tcPr>
            <w:tcW w:w="1320" w:type="dxa"/>
            <w:vAlign w:val="bottom"/>
            <w:tcBorders>
              <w:right w:val="single" w:sz="8" w:color="auto"/>
            </w:tcBorders>
          </w:tcPr>
          <w:p>
            <w:pPr>
              <w:jc w:val="center"/>
              <w:ind w:left="184"/>
              <w:spacing w:after="0"/>
              <w:rPr>
                <w:sz w:val="20"/>
                <w:szCs w:val="20"/>
                <w:color w:val="auto"/>
              </w:rPr>
            </w:pPr>
            <w:r>
              <w:rPr>
                <w:rFonts w:ascii="Calibri" w:cs="Calibri" w:eastAsia="Calibri" w:hAnsi="Calibri"/>
                <w:sz w:val="15"/>
                <w:szCs w:val="15"/>
                <w:color w:val="auto"/>
              </w:rPr>
              <w:t>9.4%</w:t>
            </w:r>
          </w:p>
        </w:tc>
      </w:tr>
      <w:tr>
        <w:trPr>
          <w:trHeight w:val="204"/>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Disrupton</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88,684</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196,125</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180,481</w:t>
            </w:r>
          </w:p>
        </w:tc>
        <w:tc>
          <w:tcPr>
            <w:tcW w:w="720" w:type="dxa"/>
            <w:vAlign w:val="bottom"/>
          </w:tcPr>
          <w:p>
            <w:pPr>
              <w:jc w:val="center"/>
              <w:ind w:left="224"/>
              <w:spacing w:after="0"/>
              <w:rPr>
                <w:sz w:val="20"/>
                <w:szCs w:val="20"/>
                <w:color w:val="auto"/>
              </w:rPr>
            </w:pPr>
            <w:r>
              <w:rPr>
                <w:rFonts w:ascii="Calibri" w:cs="Calibri" w:eastAsia="Calibri" w:hAnsi="Calibri"/>
                <w:sz w:val="15"/>
                <w:szCs w:val="15"/>
                <w:color w:val="auto"/>
                <w:w w:val="98"/>
              </w:rPr>
              <w:t>-8.0%</w:t>
            </w:r>
          </w:p>
        </w:tc>
        <w:tc>
          <w:tcPr>
            <w:tcW w:w="1320" w:type="dxa"/>
            <w:vAlign w:val="bottom"/>
            <w:tcBorders>
              <w:right w:val="single" w:sz="8" w:color="auto"/>
            </w:tcBorders>
          </w:tcPr>
          <w:p>
            <w:pPr>
              <w:jc w:val="center"/>
              <w:ind w:left="204"/>
              <w:spacing w:after="0"/>
              <w:rPr>
                <w:sz w:val="20"/>
                <w:szCs w:val="20"/>
                <w:color w:val="auto"/>
              </w:rPr>
            </w:pPr>
            <w:r>
              <w:rPr>
                <w:rFonts w:ascii="Calibri" w:cs="Calibri" w:eastAsia="Calibri" w:hAnsi="Calibri"/>
                <w:sz w:val="15"/>
                <w:szCs w:val="15"/>
                <w:color w:val="auto"/>
                <w:w w:val="97"/>
              </w:rPr>
              <w:t>103.5%</w:t>
            </w:r>
          </w:p>
        </w:tc>
      </w:tr>
      <w:tr>
        <w:trPr>
          <w:trHeight w:val="258"/>
        </w:trPr>
        <w:tc>
          <w:tcPr>
            <w:tcW w:w="5180" w:type="dxa"/>
            <w:vAlign w:val="bottom"/>
            <w:tcBorders>
              <w:left w:val="single" w:sz="8" w:color="auto"/>
              <w:bottom w:val="single" w:sz="8" w:color="auto"/>
              <w:right w:val="single" w:sz="8" w:color="auto"/>
            </w:tcBorders>
          </w:tcPr>
          <w:p>
            <w:pPr>
              <w:ind w:left="20"/>
              <w:spacing w:after="0" w:line="236" w:lineRule="exact"/>
              <w:rPr>
                <w:sz w:val="20"/>
                <w:szCs w:val="20"/>
                <w:color w:val="auto"/>
              </w:rPr>
            </w:pPr>
            <w:r>
              <w:rPr>
                <w:rFonts w:ascii="Calibri" w:cs="Calibri" w:eastAsia="Calibri" w:hAnsi="Calibri"/>
                <w:sz w:val="15"/>
                <w:szCs w:val="15"/>
                <w:color w:val="auto"/>
              </w:rPr>
              <w:t xml:space="preserve">Others </w:t>
            </w:r>
            <w:r>
              <w:rPr>
                <w:rFonts w:ascii="Calibri" w:cs="Calibri" w:eastAsia="Calibri" w:hAnsi="Calibri"/>
                <w:sz w:val="25"/>
                <w:szCs w:val="25"/>
                <w:color w:val="auto"/>
                <w:vertAlign w:val="superscript"/>
              </w:rPr>
              <w:t>(1)</w:t>
            </w:r>
          </w:p>
        </w:tc>
        <w:tc>
          <w:tcPr>
            <w:tcW w:w="1560" w:type="dxa"/>
            <w:vAlign w:val="bottom"/>
            <w:tcBorders>
              <w:bottom w:val="single" w:sz="8" w:color="auto"/>
            </w:tcBorders>
          </w:tcPr>
          <w:p>
            <w:pPr>
              <w:jc w:val="right"/>
              <w:ind w:right="144"/>
              <w:spacing w:after="0"/>
              <w:rPr>
                <w:sz w:val="20"/>
                <w:szCs w:val="20"/>
                <w:color w:val="auto"/>
              </w:rPr>
            </w:pPr>
            <w:r>
              <w:rPr>
                <w:rFonts w:ascii="Calibri" w:cs="Calibri" w:eastAsia="Calibri" w:hAnsi="Calibri"/>
                <w:sz w:val="15"/>
                <w:szCs w:val="15"/>
                <w:color w:val="auto"/>
              </w:rPr>
              <w:t>325,876</w:t>
            </w:r>
          </w:p>
        </w:tc>
        <w:tc>
          <w:tcPr>
            <w:tcW w:w="1380" w:type="dxa"/>
            <w:vAlign w:val="bottom"/>
            <w:tcBorders>
              <w:bottom w:val="single" w:sz="8" w:color="auto"/>
            </w:tcBorders>
          </w:tcPr>
          <w:p>
            <w:pPr>
              <w:jc w:val="right"/>
              <w:ind w:right="184"/>
              <w:spacing w:after="0"/>
              <w:rPr>
                <w:sz w:val="20"/>
                <w:szCs w:val="20"/>
                <w:color w:val="auto"/>
              </w:rPr>
            </w:pPr>
            <w:r>
              <w:rPr>
                <w:rFonts w:ascii="Calibri" w:cs="Calibri" w:eastAsia="Calibri" w:hAnsi="Calibri"/>
                <w:sz w:val="15"/>
                <w:szCs w:val="15"/>
                <w:color w:val="auto"/>
              </w:rPr>
              <w:t>343,664</w:t>
            </w:r>
          </w:p>
        </w:tc>
        <w:tc>
          <w:tcPr>
            <w:tcW w:w="110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5"/>
                <w:szCs w:val="15"/>
                <w:color w:val="auto"/>
              </w:rPr>
              <w:t>348,915</w:t>
            </w:r>
          </w:p>
        </w:tc>
        <w:tc>
          <w:tcPr>
            <w:tcW w:w="720" w:type="dxa"/>
            <w:vAlign w:val="bottom"/>
            <w:tcBorders>
              <w:bottom w:val="single" w:sz="8" w:color="auto"/>
            </w:tcBorders>
          </w:tcPr>
          <w:p>
            <w:pPr>
              <w:jc w:val="center"/>
              <w:ind w:left="224"/>
              <w:spacing w:after="0"/>
              <w:rPr>
                <w:sz w:val="20"/>
                <w:szCs w:val="20"/>
                <w:color w:val="auto"/>
              </w:rPr>
            </w:pPr>
            <w:r>
              <w:rPr>
                <w:rFonts w:ascii="Calibri" w:cs="Calibri" w:eastAsia="Calibri" w:hAnsi="Calibri"/>
                <w:sz w:val="15"/>
                <w:szCs w:val="15"/>
                <w:color w:val="auto"/>
              </w:rPr>
              <w:t>1.5%</w:t>
            </w:r>
          </w:p>
        </w:tc>
        <w:tc>
          <w:tcPr>
            <w:tcW w:w="1320" w:type="dxa"/>
            <w:vAlign w:val="bottom"/>
            <w:tcBorders>
              <w:bottom w:val="single" w:sz="8" w:color="auto"/>
              <w:right w:val="single" w:sz="8" w:color="auto"/>
            </w:tcBorders>
          </w:tcPr>
          <w:p>
            <w:pPr>
              <w:jc w:val="center"/>
              <w:ind w:left="184"/>
              <w:spacing w:after="0"/>
              <w:rPr>
                <w:sz w:val="20"/>
                <w:szCs w:val="20"/>
                <w:color w:val="auto"/>
              </w:rPr>
            </w:pPr>
            <w:r>
              <w:rPr>
                <w:rFonts w:ascii="Calibri" w:cs="Calibri" w:eastAsia="Calibri" w:hAnsi="Calibri"/>
                <w:sz w:val="15"/>
                <w:szCs w:val="15"/>
                <w:color w:val="auto"/>
              </w:rPr>
              <w:t>7.1%</w:t>
            </w:r>
          </w:p>
        </w:tc>
      </w:tr>
      <w:tr>
        <w:trPr>
          <w:trHeight w:val="161"/>
        </w:trPr>
        <w:tc>
          <w:tcPr>
            <w:tcW w:w="5180" w:type="dxa"/>
            <w:vAlign w:val="bottom"/>
            <w:tcBorders>
              <w:left w:val="single" w:sz="8" w:color="auto"/>
              <w:right w:val="single" w:sz="8" w:color="auto"/>
            </w:tcBorders>
          </w:tcPr>
          <w:p>
            <w:pPr>
              <w:ind w:left="20"/>
              <w:spacing w:after="0" w:line="159" w:lineRule="exact"/>
              <w:rPr>
                <w:sz w:val="20"/>
                <w:szCs w:val="20"/>
                <w:color w:val="auto"/>
              </w:rPr>
            </w:pPr>
            <w:r>
              <w:rPr>
                <w:rFonts w:ascii="Calibri" w:cs="Calibri" w:eastAsia="Calibri" w:hAnsi="Calibri"/>
                <w:sz w:val="15"/>
                <w:szCs w:val="15"/>
                <w:color w:val="auto"/>
              </w:rPr>
              <w:t>Total</w:t>
            </w:r>
          </w:p>
        </w:tc>
        <w:tc>
          <w:tcPr>
            <w:tcW w:w="1560" w:type="dxa"/>
            <w:vAlign w:val="bottom"/>
          </w:tcPr>
          <w:p>
            <w:pPr>
              <w:jc w:val="right"/>
              <w:ind w:right="144"/>
              <w:spacing w:after="0" w:line="161" w:lineRule="exact"/>
              <w:rPr>
                <w:sz w:val="20"/>
                <w:szCs w:val="20"/>
                <w:color w:val="auto"/>
              </w:rPr>
            </w:pPr>
            <w:r>
              <w:rPr>
                <w:rFonts w:ascii="Calibri" w:cs="Calibri" w:eastAsia="Calibri" w:hAnsi="Calibri"/>
                <w:sz w:val="15"/>
                <w:szCs w:val="15"/>
                <w:color w:val="auto"/>
              </w:rPr>
              <w:t>1,795,168</w:t>
            </w:r>
          </w:p>
        </w:tc>
        <w:tc>
          <w:tcPr>
            <w:tcW w:w="1380" w:type="dxa"/>
            <w:vAlign w:val="bottom"/>
          </w:tcPr>
          <w:p>
            <w:pPr>
              <w:jc w:val="right"/>
              <w:ind w:right="184"/>
              <w:spacing w:after="0" w:line="161" w:lineRule="exact"/>
              <w:rPr>
                <w:sz w:val="20"/>
                <w:szCs w:val="20"/>
                <w:color w:val="auto"/>
              </w:rPr>
            </w:pPr>
            <w:r>
              <w:rPr>
                <w:rFonts w:ascii="Calibri" w:cs="Calibri" w:eastAsia="Calibri" w:hAnsi="Calibri"/>
                <w:sz w:val="15"/>
                <w:szCs w:val="15"/>
                <w:color w:val="auto"/>
              </w:rPr>
              <w:t>2,261,064</w:t>
            </w:r>
          </w:p>
        </w:tc>
        <w:tc>
          <w:tcPr>
            <w:tcW w:w="1100" w:type="dxa"/>
            <w:vAlign w:val="bottom"/>
            <w:tcBorders>
              <w:right w:val="single" w:sz="8" w:color="auto"/>
            </w:tcBorders>
          </w:tcPr>
          <w:p>
            <w:pPr>
              <w:jc w:val="right"/>
              <w:spacing w:after="0" w:line="161" w:lineRule="exact"/>
              <w:rPr>
                <w:sz w:val="20"/>
                <w:szCs w:val="20"/>
                <w:color w:val="auto"/>
              </w:rPr>
            </w:pPr>
            <w:r>
              <w:rPr>
                <w:rFonts w:ascii="Calibri" w:cs="Calibri" w:eastAsia="Calibri" w:hAnsi="Calibri"/>
                <w:sz w:val="15"/>
                <w:szCs w:val="15"/>
                <w:color w:val="auto"/>
              </w:rPr>
              <w:t>2,038,154</w:t>
            </w:r>
          </w:p>
        </w:tc>
        <w:tc>
          <w:tcPr>
            <w:tcW w:w="720" w:type="dxa"/>
            <w:vAlign w:val="bottom"/>
          </w:tcPr>
          <w:p>
            <w:pPr>
              <w:jc w:val="center"/>
              <w:ind w:left="224"/>
              <w:spacing w:after="0" w:line="161" w:lineRule="exact"/>
              <w:rPr>
                <w:sz w:val="20"/>
                <w:szCs w:val="20"/>
                <w:color w:val="auto"/>
              </w:rPr>
            </w:pPr>
            <w:r>
              <w:rPr>
                <w:rFonts w:ascii="Calibri" w:cs="Calibri" w:eastAsia="Calibri" w:hAnsi="Calibri"/>
                <w:sz w:val="15"/>
                <w:szCs w:val="15"/>
                <w:color w:val="auto"/>
                <w:w w:val="98"/>
              </w:rPr>
              <w:t>-9.9%</w:t>
            </w:r>
          </w:p>
        </w:tc>
        <w:tc>
          <w:tcPr>
            <w:tcW w:w="1320" w:type="dxa"/>
            <w:vAlign w:val="bottom"/>
            <w:tcBorders>
              <w:right w:val="single" w:sz="8" w:color="auto"/>
            </w:tcBorders>
          </w:tcPr>
          <w:p>
            <w:pPr>
              <w:jc w:val="center"/>
              <w:ind w:left="204"/>
              <w:spacing w:after="0" w:line="161" w:lineRule="exact"/>
              <w:rPr>
                <w:sz w:val="20"/>
                <w:szCs w:val="20"/>
                <w:color w:val="auto"/>
              </w:rPr>
            </w:pPr>
            <w:r>
              <w:rPr>
                <w:rFonts w:ascii="Calibri" w:cs="Calibri" w:eastAsia="Calibri" w:hAnsi="Calibri"/>
                <w:sz w:val="15"/>
                <w:szCs w:val="15"/>
                <w:color w:val="auto"/>
                <w:w w:val="96"/>
              </w:rPr>
              <w:t>13.5%</w:t>
            </w:r>
          </w:p>
        </w:tc>
      </w:tr>
      <w:tr>
        <w:trPr>
          <w:trHeight w:val="27"/>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bl>
    <w:p>
      <w:pPr>
        <w:spacing w:after="0" w:line="203" w:lineRule="auto"/>
        <w:rPr>
          <w:sz w:val="20"/>
          <w:szCs w:val="20"/>
          <w:color w:val="auto"/>
        </w:rPr>
      </w:pPr>
      <w:r>
        <w:rPr>
          <w:rFonts w:ascii="Calibri" w:cs="Calibri" w:eastAsia="Calibri" w:hAnsi="Calibri"/>
          <w:sz w:val="10"/>
          <w:szCs w:val="10"/>
          <w:color w:val="auto"/>
        </w:rPr>
        <w:t>(1) Include Credicorp Capital, ASB, Prima, BCP Bolivia, Mibanco Colombia and other enttes within the Group.</w:t>
      </w:r>
    </w:p>
    <w:p>
      <w:pPr>
        <w:spacing w:after="0" w:line="192" w:lineRule="exact"/>
        <w:rPr>
          <w:sz w:val="20"/>
          <w:szCs w:val="20"/>
          <w:color w:val="auto"/>
        </w:rPr>
      </w:pPr>
    </w:p>
    <w:p>
      <w:pPr>
        <w:spacing w:after="0"/>
        <w:rPr>
          <w:sz w:val="20"/>
          <w:szCs w:val="20"/>
          <w:color w:val="auto"/>
        </w:rPr>
      </w:pPr>
      <w:r>
        <w:rPr>
          <w:rFonts w:ascii="Calibri" w:cs="Calibri" w:eastAsia="Calibri" w:hAnsi="Calibri"/>
          <w:sz w:val="15"/>
          <w:szCs w:val="15"/>
          <w:color w:val="auto"/>
        </w:rPr>
        <w:t>In the case of BCP, growth of 10.3% YoY was atributable to recurring expenses, excluding IT and technology expenses:</w:t>
      </w:r>
    </w:p>
    <w:p>
      <w:pPr>
        <w:spacing w:after="0" w:line="203" w:lineRule="exact"/>
        <w:rPr>
          <w:sz w:val="20"/>
          <w:szCs w:val="20"/>
          <w:color w:val="auto"/>
        </w:rPr>
      </w:pPr>
    </w:p>
    <w:p>
      <w:pPr>
        <w:ind w:left="540" w:hanging="277"/>
        <w:spacing w:after="0"/>
        <w:tabs>
          <w:tab w:leader="none" w:pos="540" w:val="left"/>
        </w:tabs>
        <w:numPr>
          <w:ilvl w:val="0"/>
          <w:numId w:val="43"/>
        </w:numPr>
        <w:rPr>
          <w:rFonts w:ascii="Arial" w:cs="Arial" w:eastAsia="Arial" w:hAnsi="Arial"/>
          <w:sz w:val="15"/>
          <w:szCs w:val="15"/>
          <w:color w:val="auto"/>
        </w:rPr>
      </w:pPr>
      <w:r>
        <w:rPr>
          <w:rFonts w:ascii="Calibri" w:cs="Calibri" w:eastAsia="Calibri" w:hAnsi="Calibri"/>
          <w:sz w:val="15"/>
          <w:szCs w:val="15"/>
          <w:b w:val="1"/>
          <w:bCs w:val="1"/>
          <w:color w:val="auto"/>
        </w:rPr>
        <w:t>Recurring expenses excluding Technology</w:t>
      </w:r>
    </w:p>
    <w:p>
      <w:pPr>
        <w:spacing w:after="0" w:line="23" w:lineRule="exact"/>
        <w:rPr>
          <w:rFonts w:ascii="Arial" w:cs="Arial" w:eastAsia="Arial" w:hAnsi="Arial"/>
          <w:sz w:val="15"/>
          <w:szCs w:val="15"/>
          <w:color w:val="auto"/>
        </w:rPr>
      </w:pPr>
    </w:p>
    <w:p>
      <w:pPr>
        <w:ind w:left="1080" w:hanging="272"/>
        <w:spacing w:after="0" w:line="222" w:lineRule="auto"/>
        <w:tabs>
          <w:tab w:leader="none" w:pos="1080" w:val="left"/>
        </w:tabs>
        <w:numPr>
          <w:ilvl w:val="1"/>
          <w:numId w:val="43"/>
        </w:numPr>
        <w:rPr>
          <w:rFonts w:ascii="Arial" w:cs="Arial" w:eastAsia="Arial" w:hAnsi="Arial"/>
          <w:sz w:val="15"/>
          <w:szCs w:val="15"/>
          <w:color w:val="auto"/>
        </w:rPr>
      </w:pPr>
      <w:r>
        <w:rPr>
          <w:rFonts w:ascii="Calibri" w:cs="Calibri" w:eastAsia="Calibri" w:hAnsi="Calibri"/>
          <w:sz w:val="15"/>
          <w:szCs w:val="15"/>
          <w:color w:val="auto"/>
        </w:rPr>
        <w:t>Growth in expenses for client Fidelity Program, which was driven by an uptck in the consumpton of LATAM miles via the use of credit and debit cards at establishments. Billing evolved positvely YoY for both debit and credit cards, which registered YoY growth of 19% and 26% respectvely.</w:t>
      </w:r>
    </w:p>
    <w:p>
      <w:pPr>
        <w:ind w:left="1080" w:hanging="272"/>
        <w:spacing w:after="0" w:line="237" w:lineRule="auto"/>
        <w:tabs>
          <w:tab w:leader="none" w:pos="1080" w:val="left"/>
        </w:tabs>
        <w:numPr>
          <w:ilvl w:val="1"/>
          <w:numId w:val="43"/>
        </w:numPr>
        <w:rPr>
          <w:rFonts w:ascii="Arial" w:cs="Arial" w:eastAsia="Arial" w:hAnsi="Arial"/>
          <w:sz w:val="15"/>
          <w:szCs w:val="15"/>
          <w:color w:val="auto"/>
        </w:rPr>
      </w:pPr>
      <w:r>
        <w:rPr>
          <w:rFonts w:ascii="Calibri" w:cs="Calibri" w:eastAsia="Calibri" w:hAnsi="Calibri"/>
          <w:sz w:val="15"/>
          <w:szCs w:val="15"/>
          <w:color w:val="auto"/>
        </w:rPr>
        <w:t>Higher expenses were incurred to purchase chips for cards, which were also impacted by an increase in the price of silicon.</w:t>
      </w:r>
    </w:p>
    <w:p>
      <w:pPr>
        <w:spacing w:after="0" w:line="24" w:lineRule="exact"/>
        <w:rPr>
          <w:rFonts w:ascii="Arial" w:cs="Arial" w:eastAsia="Arial" w:hAnsi="Arial"/>
          <w:sz w:val="15"/>
          <w:szCs w:val="15"/>
          <w:color w:val="auto"/>
        </w:rPr>
      </w:pPr>
    </w:p>
    <w:p>
      <w:pPr>
        <w:ind w:left="1080" w:hanging="272"/>
        <w:spacing w:after="0" w:line="207" w:lineRule="auto"/>
        <w:tabs>
          <w:tab w:leader="none" w:pos="1080" w:val="left"/>
        </w:tabs>
        <w:numPr>
          <w:ilvl w:val="1"/>
          <w:numId w:val="43"/>
        </w:numPr>
        <w:rPr>
          <w:rFonts w:ascii="Arial" w:cs="Arial" w:eastAsia="Arial" w:hAnsi="Arial"/>
          <w:sz w:val="15"/>
          <w:szCs w:val="15"/>
          <w:color w:val="auto"/>
        </w:rPr>
      </w:pPr>
      <w:r>
        <w:rPr>
          <w:rFonts w:ascii="Calibri" w:cs="Calibri" w:eastAsia="Calibri" w:hAnsi="Calibri"/>
          <w:sz w:val="15"/>
          <w:szCs w:val="15"/>
          <w:color w:val="auto"/>
        </w:rPr>
        <w:t>Increase in expenses for special projects, in line with the company’s strategy and to maintain our long-term leadership.</w:t>
      </w:r>
    </w:p>
    <w:p>
      <w:pPr>
        <w:spacing w:after="0" w:line="23" w:lineRule="exact"/>
        <w:rPr>
          <w:rFonts w:ascii="Arial" w:cs="Arial" w:eastAsia="Arial" w:hAnsi="Arial"/>
          <w:sz w:val="15"/>
          <w:szCs w:val="15"/>
          <w:color w:val="auto"/>
        </w:rPr>
      </w:pPr>
    </w:p>
    <w:p>
      <w:pPr>
        <w:ind w:left="540" w:hanging="277"/>
        <w:spacing w:after="0" w:line="207" w:lineRule="auto"/>
        <w:tabs>
          <w:tab w:leader="none" w:pos="540" w:val="left"/>
        </w:tabs>
        <w:numPr>
          <w:ilvl w:val="0"/>
          <w:numId w:val="43"/>
        </w:numPr>
        <w:rPr>
          <w:rFonts w:ascii="Arial" w:cs="Arial" w:eastAsia="Arial" w:hAnsi="Arial"/>
          <w:sz w:val="15"/>
          <w:szCs w:val="15"/>
          <w:color w:val="auto"/>
        </w:rPr>
      </w:pPr>
      <w:r>
        <w:rPr>
          <w:rFonts w:ascii="Calibri" w:cs="Calibri" w:eastAsia="Calibri" w:hAnsi="Calibri"/>
          <w:sz w:val="15"/>
          <w:szCs w:val="15"/>
          <w:b w:val="1"/>
          <w:bCs w:val="1"/>
          <w:color w:val="auto"/>
        </w:rPr>
        <w:t>Technology expenses (IT)</w:t>
      </w:r>
    </w:p>
    <w:p>
      <w:pPr>
        <w:spacing w:after="0" w:line="23" w:lineRule="exact"/>
        <w:rPr>
          <w:rFonts w:ascii="Arial" w:cs="Arial" w:eastAsia="Arial" w:hAnsi="Arial"/>
          <w:sz w:val="15"/>
          <w:szCs w:val="15"/>
          <w:color w:val="auto"/>
        </w:rPr>
      </w:pPr>
    </w:p>
    <w:p>
      <w:pPr>
        <w:ind w:left="1080" w:hanging="272"/>
        <w:spacing w:after="0" w:line="207" w:lineRule="auto"/>
        <w:tabs>
          <w:tab w:leader="none" w:pos="1080" w:val="left"/>
        </w:tabs>
        <w:numPr>
          <w:ilvl w:val="1"/>
          <w:numId w:val="43"/>
        </w:numPr>
        <w:rPr>
          <w:rFonts w:ascii="Arial" w:cs="Arial" w:eastAsia="Arial" w:hAnsi="Arial"/>
          <w:sz w:val="15"/>
          <w:szCs w:val="15"/>
          <w:color w:val="auto"/>
        </w:rPr>
      </w:pPr>
      <w:r>
        <w:rPr>
          <w:rFonts w:ascii="Calibri" w:cs="Calibri" w:eastAsia="Calibri" w:hAnsi="Calibri"/>
          <w:sz w:val="15"/>
          <w:szCs w:val="15"/>
          <w:color w:val="auto"/>
        </w:rPr>
        <w:t>Growth in the transactons volume led to an uptck in expenses for the use of the bank’s data service centers;</w:t>
      </w:r>
    </w:p>
    <w:p>
      <w:pPr>
        <w:spacing w:after="0" w:line="23" w:lineRule="exact"/>
        <w:rPr>
          <w:rFonts w:ascii="Arial" w:cs="Arial" w:eastAsia="Arial" w:hAnsi="Arial"/>
          <w:sz w:val="15"/>
          <w:szCs w:val="15"/>
          <w:color w:val="auto"/>
        </w:rPr>
      </w:pPr>
    </w:p>
    <w:p>
      <w:pPr>
        <w:ind w:left="1080" w:hanging="272"/>
        <w:spacing w:after="0" w:line="207" w:lineRule="auto"/>
        <w:tabs>
          <w:tab w:leader="none" w:pos="1080" w:val="left"/>
        </w:tabs>
        <w:numPr>
          <w:ilvl w:val="1"/>
          <w:numId w:val="43"/>
        </w:numPr>
        <w:rPr>
          <w:rFonts w:ascii="Arial" w:cs="Arial" w:eastAsia="Arial" w:hAnsi="Arial"/>
          <w:sz w:val="15"/>
          <w:szCs w:val="15"/>
          <w:color w:val="auto"/>
        </w:rPr>
      </w:pPr>
      <w:r>
        <w:rPr>
          <w:rFonts w:ascii="Calibri" w:cs="Calibri" w:eastAsia="Calibri" w:hAnsi="Calibri"/>
          <w:sz w:val="15"/>
          <w:szCs w:val="15"/>
          <w:color w:val="auto"/>
        </w:rPr>
        <w:t>Additonally, costs to use IT applicatons, licenses and other sofware rose to enhance capacites and improve cybersecurity.</w:t>
      </w:r>
    </w:p>
    <w:p>
      <w:pPr>
        <w:spacing w:after="0" w:line="23" w:lineRule="exact"/>
        <w:rPr>
          <w:rFonts w:ascii="Arial" w:cs="Arial" w:eastAsia="Arial" w:hAnsi="Arial"/>
          <w:sz w:val="15"/>
          <w:szCs w:val="15"/>
          <w:color w:val="auto"/>
        </w:rPr>
      </w:pPr>
    </w:p>
    <w:p>
      <w:pPr>
        <w:ind w:left="1080" w:hanging="272"/>
        <w:spacing w:after="0" w:line="207" w:lineRule="auto"/>
        <w:tabs>
          <w:tab w:leader="none" w:pos="1080" w:val="left"/>
        </w:tabs>
        <w:numPr>
          <w:ilvl w:val="1"/>
          <w:numId w:val="43"/>
        </w:numPr>
        <w:rPr>
          <w:rFonts w:ascii="Arial" w:cs="Arial" w:eastAsia="Arial" w:hAnsi="Arial"/>
          <w:sz w:val="15"/>
          <w:szCs w:val="15"/>
          <w:color w:val="auto"/>
        </w:rPr>
      </w:pPr>
      <w:r>
        <w:rPr>
          <w:rFonts w:ascii="Calibri" w:cs="Calibri" w:eastAsia="Calibri" w:hAnsi="Calibri"/>
          <w:sz w:val="15"/>
          <w:szCs w:val="15"/>
          <w:color w:val="auto"/>
        </w:rPr>
        <w:t>16% more personnel who specialize in digital capacites were hired; this increase in hiring of this profle led to a consequent 8% uptck in the average salary at BCP.</w:t>
      </w:r>
    </w:p>
    <w:p>
      <w:pPr>
        <w:spacing w:after="0" w:line="207"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Disrupton expenses rose 103.5% and represented 9% of OPEX in 1Q23. This growth was driven by investment in improvements in diferent functonalites and by growth in expenses for specialized personnel, which was led by initatves such as Yape, Tenpo, Culqi, Tyba and others. Through these initatves, we seek to strengthen our leadership in the market. If we exclude disruptve expenses, the YoY variaton of operatng expenses stands at 8.9%.</w:t>
      </w:r>
    </w:p>
    <w:p>
      <w:pPr>
        <w:spacing w:after="0" w:line="341"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42" w:name="page43"/>
    <w:bookmarkEnd w:id="42"/>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10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0" w:lineRule="exact"/>
        <w:rPr>
          <w:sz w:val="20"/>
          <w:szCs w:val="20"/>
          <w:color w:val="auto"/>
        </w:rPr>
      </w:pPr>
    </w:p>
    <w:p>
      <w:pPr>
        <w:spacing w:after="0" w:line="206" w:lineRule="exact"/>
        <w:rPr>
          <w:sz w:val="20"/>
          <w:szCs w:val="20"/>
          <w:color w:val="auto"/>
        </w:rPr>
      </w:pPr>
    </w:p>
    <w:p>
      <w:pPr>
        <w:ind w:left="9"/>
        <w:spacing w:after="0"/>
        <w:rPr>
          <w:sz w:val="20"/>
          <w:szCs w:val="20"/>
          <w:color w:val="auto"/>
        </w:rPr>
      </w:pPr>
      <w:r>
        <w:rPr>
          <w:rFonts w:ascii="Calibri" w:cs="Calibri" w:eastAsia="Calibri" w:hAnsi="Calibri"/>
          <w:sz w:val="44"/>
          <w:szCs w:val="44"/>
          <w:b w:val="1"/>
          <w:bCs w:val="1"/>
          <w:color w:val="E93CAC"/>
        </w:rPr>
        <w:t xml:space="preserve">09 </w:t>
      </w:r>
      <w:r>
        <w:rPr>
          <w:rFonts w:ascii="Calibri" w:cs="Calibri" w:eastAsia="Calibri" w:hAnsi="Calibri"/>
          <w:sz w:val="27"/>
          <w:szCs w:val="27"/>
          <w:b w:val="1"/>
          <w:bCs w:val="1"/>
          <w:color w:val="E93CAC"/>
        </w:rPr>
        <w:t>Operatng Efciency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153910" cy="3314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3910" cy="331470"/>
                    </a:xfrm>
                    <a:prstGeom prst="rect">
                      <a:avLst/>
                    </a:prstGeom>
                    <a:noFill/>
                  </pic:spPr>
                </pic:pic>
              </a:graphicData>
            </a:graphic>
          </wp:anchor>
        </w:drawing>
      </w:r>
    </w:p>
    <w:p>
      <w:pPr>
        <w:spacing w:after="0" w:line="228" w:lineRule="exact"/>
        <w:rPr>
          <w:sz w:val="20"/>
          <w:szCs w:val="20"/>
          <w:color w:val="auto"/>
        </w:rPr>
      </w:pPr>
    </w:p>
    <w:p>
      <w:pPr>
        <w:ind w:left="109" w:right="120"/>
        <w:spacing w:after="0" w:line="236" w:lineRule="auto"/>
        <w:rPr>
          <w:sz w:val="20"/>
          <w:szCs w:val="20"/>
          <w:color w:val="auto"/>
        </w:rPr>
      </w:pPr>
      <w:r>
        <w:rPr>
          <w:rFonts w:ascii="Calibri" w:cs="Calibri" w:eastAsia="Calibri" w:hAnsi="Calibri"/>
          <w:sz w:val="15"/>
          <w:szCs w:val="15"/>
          <w:color w:val="FFFFFF"/>
        </w:rPr>
        <w:t>The efciency rato improved YoY by 290 bps, in line with an uptck in core income due to growth in net interest income, which refected the fruits of disciplined pricing management in a context of rising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-215900</wp:posOffset>
            </wp:positionV>
            <wp:extent cx="7082155" cy="2806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82155" cy="280670"/>
                    </a:xfrm>
                    <a:prstGeom prst="rect">
                      <a:avLst/>
                    </a:prstGeom>
                    <a:noFill/>
                  </pic:spPr>
                </pic:pic>
              </a:graphicData>
            </a:graphic>
          </wp:anchor>
        </w:drawing>
      </w:r>
    </w:p>
    <w:p>
      <w:pPr>
        <w:spacing w:after="0" w:line="265" w:lineRule="exact"/>
        <w:rPr>
          <w:sz w:val="20"/>
          <w:szCs w:val="20"/>
          <w:color w:val="auto"/>
        </w:rPr>
      </w:pPr>
    </w:p>
    <w:tbl>
      <w:tblPr>
        <w:tblLayout w:type="fixed"/>
        <w:tblInd w:w="1139" w:type="dxa"/>
        <w:tblCellMar>
          <w:top w:w="0" w:type="dxa"/>
          <w:left w:w="0" w:type="dxa"/>
          <w:bottom w:w="0" w:type="dxa"/>
          <w:right w:w="0" w:type="dxa"/>
        </w:tblCellMar>
      </w:tblPr>
      <w:tr>
        <w:trPr>
          <w:trHeight w:val="202"/>
        </w:trPr>
        <w:tc>
          <w:tcPr>
            <w:tcW w:w="154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Operatng Efciency</w:t>
            </w:r>
          </w:p>
        </w:tc>
        <w:tc>
          <w:tcPr>
            <w:tcW w:w="900" w:type="dxa"/>
            <w:vAlign w:val="bottom"/>
            <w:tcBorders>
              <w:top w:val="single" w:sz="8" w:color="auto"/>
            </w:tcBorders>
            <w:shd w:val="clear" w:color="auto" w:fill="2AD2C9"/>
          </w:tcPr>
          <w:p>
            <w:pPr>
              <w:spacing w:after="0"/>
              <w:rPr>
                <w:sz w:val="17"/>
                <w:szCs w:val="17"/>
                <w:color w:val="auto"/>
              </w:rPr>
            </w:pPr>
          </w:p>
        </w:tc>
        <w:tc>
          <w:tcPr>
            <w:tcW w:w="860" w:type="dxa"/>
            <w:vAlign w:val="bottom"/>
            <w:tcBorders>
              <w:top w:val="single" w:sz="8" w:color="auto"/>
            </w:tcBorders>
            <w:shd w:val="clear" w:color="auto" w:fill="2AD2C9"/>
          </w:tcPr>
          <w:p>
            <w:pPr>
              <w:ind w:left="160"/>
              <w:spacing w:after="0"/>
              <w:rPr>
                <w:sz w:val="20"/>
                <w:szCs w:val="20"/>
                <w:color w:val="auto"/>
              </w:rPr>
            </w:pPr>
            <w:r>
              <w:rPr>
                <w:rFonts w:ascii="Calibri" w:cs="Calibri" w:eastAsia="Calibri" w:hAnsi="Calibri"/>
                <w:sz w:val="15"/>
                <w:szCs w:val="15"/>
                <w:b w:val="1"/>
                <w:bCs w:val="1"/>
                <w:color w:val="FFFFFF"/>
              </w:rPr>
              <w:t>Quarter</w:t>
            </w:r>
          </w:p>
        </w:tc>
        <w:tc>
          <w:tcPr>
            <w:tcW w:w="860" w:type="dxa"/>
            <w:vAlign w:val="bottom"/>
            <w:tcBorders>
              <w:top w:val="single" w:sz="8" w:color="auto"/>
              <w:right w:val="single" w:sz="8" w:color="auto"/>
            </w:tcBorders>
            <w:shd w:val="clear" w:color="auto" w:fill="2AD2C9"/>
          </w:tcPr>
          <w:p>
            <w:pPr>
              <w:spacing w:after="0"/>
              <w:rPr>
                <w:sz w:val="17"/>
                <w:szCs w:val="17"/>
                <w:color w:val="auto"/>
              </w:rPr>
            </w:pPr>
          </w:p>
        </w:tc>
        <w:tc>
          <w:tcPr>
            <w:tcW w:w="1600" w:type="dxa"/>
            <w:vAlign w:val="bottom"/>
            <w:tcBorders>
              <w:top w:val="single" w:sz="8" w:color="auto"/>
              <w:right w:val="single" w:sz="8" w:color="auto"/>
            </w:tcBorders>
            <w:gridSpan w:val="2"/>
            <w:shd w:val="clear" w:color="auto" w:fill="2AD2C9"/>
          </w:tcPr>
          <w:p>
            <w:pPr>
              <w:ind w:left="500"/>
              <w:spacing w:after="0"/>
              <w:rPr>
                <w:sz w:val="20"/>
                <w:szCs w:val="20"/>
                <w:color w:val="auto"/>
              </w:rPr>
            </w:pPr>
            <w:r>
              <w:rPr>
                <w:rFonts w:ascii="Calibri" w:cs="Calibri" w:eastAsia="Calibri" w:hAnsi="Calibri"/>
                <w:sz w:val="15"/>
                <w:szCs w:val="15"/>
                <w:b w:val="1"/>
                <w:bCs w:val="1"/>
                <w:color w:val="FFFFFF"/>
              </w:rPr>
              <w:t>% change</w:t>
            </w:r>
          </w:p>
        </w:tc>
        <w:tc>
          <w:tcPr>
            <w:tcW w:w="760" w:type="dxa"/>
            <w:vAlign w:val="bottom"/>
            <w:tcBorders>
              <w:top w:val="single" w:sz="8" w:color="auto"/>
            </w:tcBorders>
            <w:shd w:val="clear" w:color="auto" w:fill="2AD2C9"/>
          </w:tcPr>
          <w:p>
            <w:pPr>
              <w:spacing w:after="0"/>
              <w:rPr>
                <w:sz w:val="17"/>
                <w:szCs w:val="17"/>
                <w:color w:val="auto"/>
              </w:rPr>
            </w:pPr>
          </w:p>
        </w:tc>
        <w:tc>
          <w:tcPr>
            <w:tcW w:w="1060" w:type="dxa"/>
            <w:vAlign w:val="bottom"/>
            <w:tcBorders>
              <w:top w:val="single" w:sz="8" w:color="auto"/>
              <w:right w:val="single" w:sz="8" w:color="auto"/>
            </w:tcBorders>
            <w:shd w:val="clear" w:color="auto" w:fill="2AD2C9"/>
          </w:tcPr>
          <w:p>
            <w:pPr>
              <w:spacing w:after="0"/>
              <w:rPr>
                <w:sz w:val="20"/>
                <w:szCs w:val="20"/>
                <w:color w:val="auto"/>
              </w:rPr>
            </w:pPr>
            <w:r>
              <w:rPr>
                <w:rFonts w:ascii="Calibri" w:cs="Calibri" w:eastAsia="Calibri" w:hAnsi="Calibri"/>
                <w:sz w:val="15"/>
                <w:szCs w:val="15"/>
                <w:b w:val="1"/>
                <w:bCs w:val="1"/>
                <w:color w:val="FFFFFF"/>
              </w:rPr>
              <w:t>Year</w:t>
            </w:r>
          </w:p>
        </w:tc>
        <w:tc>
          <w:tcPr>
            <w:tcW w:w="1440" w:type="dxa"/>
            <w:vAlign w:val="bottom"/>
            <w:tcBorders>
              <w:top w:val="single" w:sz="8" w:color="auto"/>
              <w:right w:val="single" w:sz="8" w:color="auto"/>
            </w:tcBorders>
            <w:shd w:val="clear" w:color="auto" w:fill="2AD2C9"/>
          </w:tcPr>
          <w:p>
            <w:pPr>
              <w:jc w:val="center"/>
              <w:spacing w:after="0"/>
              <w:rPr>
                <w:sz w:val="20"/>
                <w:szCs w:val="20"/>
                <w:color w:val="auto"/>
              </w:rPr>
            </w:pPr>
            <w:r>
              <w:rPr>
                <w:rFonts w:ascii="Calibri" w:cs="Calibri" w:eastAsia="Calibri" w:hAnsi="Calibri"/>
                <w:sz w:val="15"/>
                <w:szCs w:val="15"/>
                <w:b w:val="1"/>
                <w:bCs w:val="1"/>
                <w:color w:val="FFFFFF"/>
                <w:w w:val="98"/>
              </w:rPr>
              <w:t>% change</w:t>
            </w:r>
          </w:p>
        </w:tc>
      </w:tr>
      <w:tr>
        <w:trPr>
          <w:trHeight w:val="186"/>
        </w:trPr>
        <w:tc>
          <w:tcPr>
            <w:tcW w:w="1540" w:type="dxa"/>
            <w:vAlign w:val="bottom"/>
            <w:tcBorders>
              <w:left w:val="single" w:sz="8" w:color="auto"/>
              <w:bottom w:val="single" w:sz="8" w:color="auto"/>
              <w:right w:val="single" w:sz="8" w:color="auto"/>
            </w:tcBorders>
            <w:shd w:val="clear" w:color="auto" w:fill="2AD2C9"/>
          </w:tcPr>
          <w:p>
            <w:pPr>
              <w:ind w:left="20"/>
              <w:spacing w:after="0" w:line="180" w:lineRule="exact"/>
              <w:rPr>
                <w:sz w:val="20"/>
                <w:szCs w:val="20"/>
                <w:color w:val="auto"/>
              </w:rPr>
            </w:pPr>
            <w:r>
              <w:rPr>
                <w:rFonts w:ascii="Calibri" w:cs="Calibri" w:eastAsia="Calibri" w:hAnsi="Calibri"/>
                <w:sz w:val="15"/>
                <w:szCs w:val="15"/>
                <w:b w:val="1"/>
                <w:bCs w:val="1"/>
                <w:color w:val="FFFFFF"/>
              </w:rPr>
              <w:t>S/ 000</w:t>
            </w:r>
          </w:p>
        </w:tc>
        <w:tc>
          <w:tcPr>
            <w:tcW w:w="900" w:type="dxa"/>
            <w:vAlign w:val="bottom"/>
            <w:tcBorders>
              <w:bottom w:val="single" w:sz="8" w:color="auto"/>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6"/>
              </w:rPr>
              <w:t>1Q22</w:t>
            </w:r>
          </w:p>
        </w:tc>
        <w:tc>
          <w:tcPr>
            <w:tcW w:w="860" w:type="dxa"/>
            <w:vAlign w:val="bottom"/>
            <w:tcBorders>
              <w:bottom w:val="single" w:sz="8" w:color="auto"/>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6"/>
              </w:rPr>
              <w:t>4Q22</w:t>
            </w:r>
          </w:p>
        </w:tc>
        <w:tc>
          <w:tcPr>
            <w:tcW w:w="860" w:type="dxa"/>
            <w:vAlign w:val="bottom"/>
            <w:tcBorders>
              <w:bottom w:val="single" w:sz="8" w:color="auto"/>
              <w:right w:val="single" w:sz="8" w:color="auto"/>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rPr>
              <w:t>1Q23</w:t>
            </w:r>
          </w:p>
        </w:tc>
        <w:tc>
          <w:tcPr>
            <w:tcW w:w="780" w:type="dxa"/>
            <w:vAlign w:val="bottom"/>
            <w:tcBorders>
              <w:bottom w:val="single" w:sz="8" w:color="auto"/>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rPr>
              <w:t>QoQ</w:t>
            </w:r>
          </w:p>
        </w:tc>
        <w:tc>
          <w:tcPr>
            <w:tcW w:w="820" w:type="dxa"/>
            <w:vAlign w:val="bottom"/>
            <w:tcBorders>
              <w:bottom w:val="single" w:sz="8" w:color="auto"/>
              <w:right w:val="single" w:sz="8" w:color="auto"/>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2"/>
              </w:rPr>
              <w:t>YoY</w:t>
            </w:r>
          </w:p>
        </w:tc>
        <w:tc>
          <w:tcPr>
            <w:tcW w:w="760" w:type="dxa"/>
            <w:vAlign w:val="bottom"/>
            <w:tcBorders>
              <w:bottom w:val="single" w:sz="8" w:color="auto"/>
            </w:tcBorders>
            <w:shd w:val="clear" w:color="auto" w:fill="2AD2C9"/>
          </w:tcPr>
          <w:p>
            <w:pPr>
              <w:ind w:left="160"/>
              <w:spacing w:after="0" w:line="180" w:lineRule="exact"/>
              <w:rPr>
                <w:sz w:val="20"/>
                <w:szCs w:val="20"/>
                <w:color w:val="auto"/>
              </w:rPr>
            </w:pPr>
            <w:r>
              <w:rPr>
                <w:rFonts w:ascii="Calibri" w:cs="Calibri" w:eastAsia="Calibri" w:hAnsi="Calibri"/>
                <w:sz w:val="15"/>
                <w:szCs w:val="15"/>
                <w:b w:val="1"/>
                <w:bCs w:val="1"/>
                <w:color w:val="FFFFFF"/>
                <w:w w:val="97"/>
              </w:rPr>
              <w:t>Mar 2022</w:t>
            </w:r>
          </w:p>
        </w:tc>
        <w:tc>
          <w:tcPr>
            <w:tcW w:w="1060" w:type="dxa"/>
            <w:vAlign w:val="bottom"/>
            <w:tcBorders>
              <w:bottom w:val="single" w:sz="8" w:color="auto"/>
              <w:right w:val="single" w:sz="8" w:color="auto"/>
            </w:tcBorders>
            <w:shd w:val="clear" w:color="auto" w:fill="2AD2C9"/>
          </w:tcPr>
          <w:p>
            <w:pPr>
              <w:ind w:left="300"/>
              <w:spacing w:after="0" w:line="180" w:lineRule="exact"/>
              <w:rPr>
                <w:sz w:val="20"/>
                <w:szCs w:val="20"/>
                <w:color w:val="auto"/>
              </w:rPr>
            </w:pPr>
            <w:r>
              <w:rPr>
                <w:rFonts w:ascii="Calibri" w:cs="Calibri" w:eastAsia="Calibri" w:hAnsi="Calibri"/>
                <w:sz w:val="15"/>
                <w:szCs w:val="15"/>
                <w:b w:val="1"/>
                <w:bCs w:val="1"/>
                <w:color w:val="FFFFFF"/>
              </w:rPr>
              <w:t>Mar 2023</w:t>
            </w:r>
          </w:p>
        </w:tc>
        <w:tc>
          <w:tcPr>
            <w:tcW w:w="1440" w:type="dxa"/>
            <w:vAlign w:val="bottom"/>
            <w:tcBorders>
              <w:bottom w:val="single" w:sz="8" w:color="auto"/>
              <w:right w:val="single" w:sz="8" w:color="auto"/>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8"/>
              </w:rPr>
              <w:t>Mar 2023 / Mar 2022</w:t>
            </w:r>
          </w:p>
        </w:tc>
      </w:tr>
      <w:tr>
        <w:trPr>
          <w:trHeight w:val="163"/>
        </w:trPr>
        <w:tc>
          <w:tcPr>
            <w:tcW w:w="1540" w:type="dxa"/>
            <w:vAlign w:val="bottom"/>
            <w:tcBorders>
              <w:left w:val="single" w:sz="8" w:color="auto"/>
              <w:right w:val="single" w:sz="8" w:color="auto"/>
            </w:tcBorders>
          </w:tcPr>
          <w:p>
            <w:pPr>
              <w:ind w:left="20"/>
              <w:spacing w:after="0" w:line="163" w:lineRule="exact"/>
              <w:rPr>
                <w:sz w:val="20"/>
                <w:szCs w:val="20"/>
                <w:color w:val="auto"/>
              </w:rPr>
            </w:pPr>
            <w:r>
              <w:rPr>
                <w:rFonts w:ascii="Calibri" w:cs="Calibri" w:eastAsia="Calibri" w:hAnsi="Calibri"/>
                <w:sz w:val="15"/>
                <w:szCs w:val="15"/>
                <w:color w:val="auto"/>
              </w:rPr>
              <w:t>Operatng expenses (1)</w:t>
            </w:r>
          </w:p>
        </w:tc>
        <w:tc>
          <w:tcPr>
            <w:tcW w:w="900" w:type="dxa"/>
            <w:vAlign w:val="bottom"/>
          </w:tcPr>
          <w:p>
            <w:pPr>
              <w:jc w:val="center"/>
              <w:spacing w:after="0" w:line="163" w:lineRule="exact"/>
              <w:rPr>
                <w:sz w:val="20"/>
                <w:szCs w:val="20"/>
                <w:color w:val="auto"/>
              </w:rPr>
            </w:pPr>
            <w:r>
              <w:rPr>
                <w:rFonts w:ascii="Calibri" w:cs="Calibri" w:eastAsia="Calibri" w:hAnsi="Calibri"/>
                <w:sz w:val="15"/>
                <w:szCs w:val="15"/>
                <w:color w:val="auto"/>
                <w:w w:val="98"/>
              </w:rPr>
              <w:t>1,795,168</w:t>
            </w:r>
          </w:p>
        </w:tc>
        <w:tc>
          <w:tcPr>
            <w:tcW w:w="860" w:type="dxa"/>
            <w:vAlign w:val="bottom"/>
          </w:tcPr>
          <w:p>
            <w:pPr>
              <w:jc w:val="center"/>
              <w:spacing w:after="0" w:line="163" w:lineRule="exact"/>
              <w:rPr>
                <w:sz w:val="20"/>
                <w:szCs w:val="20"/>
                <w:color w:val="auto"/>
              </w:rPr>
            </w:pPr>
            <w:r>
              <w:rPr>
                <w:rFonts w:ascii="Calibri" w:cs="Calibri" w:eastAsia="Calibri" w:hAnsi="Calibri"/>
                <w:sz w:val="15"/>
                <w:szCs w:val="15"/>
                <w:color w:val="auto"/>
                <w:w w:val="98"/>
              </w:rPr>
              <w:t>2,261,064</w:t>
            </w:r>
          </w:p>
        </w:tc>
        <w:tc>
          <w:tcPr>
            <w:tcW w:w="860" w:type="dxa"/>
            <w:vAlign w:val="bottom"/>
            <w:tcBorders>
              <w:right w:val="single" w:sz="8" w:color="auto"/>
            </w:tcBorders>
          </w:tcPr>
          <w:p>
            <w:pPr>
              <w:jc w:val="center"/>
              <w:spacing w:after="0" w:line="163" w:lineRule="exact"/>
              <w:rPr>
                <w:sz w:val="20"/>
                <w:szCs w:val="20"/>
                <w:color w:val="auto"/>
              </w:rPr>
            </w:pPr>
            <w:r>
              <w:rPr>
                <w:rFonts w:ascii="Calibri" w:cs="Calibri" w:eastAsia="Calibri" w:hAnsi="Calibri"/>
                <w:sz w:val="15"/>
                <w:szCs w:val="15"/>
                <w:color w:val="auto"/>
                <w:w w:val="98"/>
              </w:rPr>
              <w:t>2,038,154</w:t>
            </w:r>
          </w:p>
        </w:tc>
        <w:tc>
          <w:tcPr>
            <w:tcW w:w="780" w:type="dxa"/>
            <w:vAlign w:val="bottom"/>
          </w:tcPr>
          <w:p>
            <w:pPr>
              <w:jc w:val="right"/>
              <w:ind w:right="144"/>
              <w:spacing w:after="0" w:line="163" w:lineRule="exact"/>
              <w:rPr>
                <w:sz w:val="20"/>
                <w:szCs w:val="20"/>
                <w:color w:val="auto"/>
              </w:rPr>
            </w:pPr>
            <w:r>
              <w:rPr>
                <w:rFonts w:ascii="Calibri" w:cs="Calibri" w:eastAsia="Calibri" w:hAnsi="Calibri"/>
                <w:sz w:val="15"/>
                <w:szCs w:val="15"/>
                <w:color w:val="auto"/>
              </w:rPr>
              <w:t>-9.9%</w:t>
            </w:r>
          </w:p>
        </w:tc>
        <w:tc>
          <w:tcPr>
            <w:tcW w:w="820" w:type="dxa"/>
            <w:vAlign w:val="bottom"/>
            <w:tcBorders>
              <w:right w:val="single" w:sz="8" w:color="auto"/>
            </w:tcBorders>
          </w:tcPr>
          <w:p>
            <w:pPr>
              <w:jc w:val="center"/>
              <w:spacing w:after="0" w:line="163" w:lineRule="exact"/>
              <w:rPr>
                <w:sz w:val="20"/>
                <w:szCs w:val="20"/>
                <w:color w:val="auto"/>
              </w:rPr>
            </w:pPr>
            <w:r>
              <w:rPr>
                <w:rFonts w:ascii="Calibri" w:cs="Calibri" w:eastAsia="Calibri" w:hAnsi="Calibri"/>
                <w:sz w:val="15"/>
                <w:szCs w:val="15"/>
                <w:color w:val="auto"/>
                <w:w w:val="96"/>
              </w:rPr>
              <w:t>13.5%</w:t>
            </w:r>
          </w:p>
        </w:tc>
        <w:tc>
          <w:tcPr>
            <w:tcW w:w="760" w:type="dxa"/>
            <w:vAlign w:val="bottom"/>
          </w:tcPr>
          <w:p>
            <w:pPr>
              <w:jc w:val="center"/>
              <w:ind w:left="84"/>
              <w:spacing w:after="0" w:line="163" w:lineRule="exact"/>
              <w:rPr>
                <w:sz w:val="20"/>
                <w:szCs w:val="20"/>
                <w:color w:val="auto"/>
              </w:rPr>
            </w:pPr>
            <w:r>
              <w:rPr>
                <w:rFonts w:ascii="Calibri" w:cs="Calibri" w:eastAsia="Calibri" w:hAnsi="Calibri"/>
                <w:sz w:val="15"/>
                <w:szCs w:val="15"/>
                <w:color w:val="auto"/>
                <w:w w:val="98"/>
              </w:rPr>
              <w:t>1,795,168</w:t>
            </w:r>
          </w:p>
        </w:tc>
        <w:tc>
          <w:tcPr>
            <w:tcW w:w="1060" w:type="dxa"/>
            <w:vAlign w:val="bottom"/>
            <w:tcBorders>
              <w:right w:val="single" w:sz="8" w:color="auto"/>
            </w:tcBorders>
          </w:tcPr>
          <w:p>
            <w:pPr>
              <w:jc w:val="center"/>
              <w:ind w:left="24"/>
              <w:spacing w:after="0" w:line="163" w:lineRule="exact"/>
              <w:rPr>
                <w:sz w:val="20"/>
                <w:szCs w:val="20"/>
                <w:color w:val="auto"/>
              </w:rPr>
            </w:pPr>
            <w:r>
              <w:rPr>
                <w:rFonts w:ascii="Calibri" w:cs="Calibri" w:eastAsia="Calibri" w:hAnsi="Calibri"/>
                <w:sz w:val="15"/>
                <w:szCs w:val="15"/>
                <w:color w:val="auto"/>
                <w:w w:val="98"/>
              </w:rPr>
              <w:t>2,038,154</w:t>
            </w:r>
          </w:p>
        </w:tc>
        <w:tc>
          <w:tcPr>
            <w:tcW w:w="1440" w:type="dxa"/>
            <w:vAlign w:val="bottom"/>
            <w:tcBorders>
              <w:right w:val="single" w:sz="8" w:color="auto"/>
            </w:tcBorders>
          </w:tcPr>
          <w:p>
            <w:pPr>
              <w:jc w:val="center"/>
              <w:spacing w:after="0" w:line="163" w:lineRule="exact"/>
              <w:rPr>
                <w:sz w:val="20"/>
                <w:szCs w:val="20"/>
                <w:color w:val="auto"/>
              </w:rPr>
            </w:pPr>
            <w:r>
              <w:rPr>
                <w:rFonts w:ascii="Calibri" w:cs="Calibri" w:eastAsia="Calibri" w:hAnsi="Calibri"/>
                <w:sz w:val="15"/>
                <w:szCs w:val="15"/>
                <w:color w:val="auto"/>
                <w:w w:val="96"/>
              </w:rPr>
              <w:t>13.5%</w:t>
            </w:r>
          </w:p>
        </w:tc>
      </w:tr>
      <w:tr>
        <w:trPr>
          <w:trHeight w:val="179"/>
        </w:trPr>
        <w:tc>
          <w:tcPr>
            <w:tcW w:w="154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Operatng income (2)</w:t>
            </w:r>
          </w:p>
        </w:tc>
        <w:tc>
          <w:tcPr>
            <w:tcW w:w="90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3,799,381</w:t>
            </w:r>
          </w:p>
        </w:tc>
        <w:tc>
          <w:tcPr>
            <w:tcW w:w="86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4,587,457</w:t>
            </w:r>
          </w:p>
        </w:tc>
        <w:tc>
          <w:tcPr>
            <w:tcW w:w="86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8"/>
              </w:rPr>
              <w:t>4,602,331</w:t>
            </w:r>
          </w:p>
        </w:tc>
        <w:tc>
          <w:tcPr>
            <w:tcW w:w="78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0.3%</w:t>
            </w:r>
          </w:p>
        </w:tc>
        <w:tc>
          <w:tcPr>
            <w:tcW w:w="82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6"/>
              </w:rPr>
              <w:t>21.1%</w:t>
            </w:r>
          </w:p>
        </w:tc>
        <w:tc>
          <w:tcPr>
            <w:tcW w:w="760" w:type="dxa"/>
            <w:vAlign w:val="bottom"/>
          </w:tcPr>
          <w:p>
            <w:pPr>
              <w:jc w:val="center"/>
              <w:ind w:left="84"/>
              <w:spacing w:after="0" w:line="180" w:lineRule="exact"/>
              <w:rPr>
                <w:sz w:val="20"/>
                <w:szCs w:val="20"/>
                <w:color w:val="auto"/>
              </w:rPr>
            </w:pPr>
            <w:r>
              <w:rPr>
                <w:rFonts w:ascii="Calibri" w:cs="Calibri" w:eastAsia="Calibri" w:hAnsi="Calibri"/>
                <w:sz w:val="15"/>
                <w:szCs w:val="15"/>
                <w:color w:val="auto"/>
                <w:w w:val="98"/>
              </w:rPr>
              <w:t>3,787,935</w:t>
            </w:r>
          </w:p>
        </w:tc>
        <w:tc>
          <w:tcPr>
            <w:tcW w:w="1060" w:type="dxa"/>
            <w:vAlign w:val="bottom"/>
            <w:tcBorders>
              <w:right w:val="single" w:sz="8" w:color="auto"/>
            </w:tcBorders>
          </w:tcPr>
          <w:p>
            <w:pPr>
              <w:jc w:val="center"/>
              <w:ind w:left="24"/>
              <w:spacing w:after="0" w:line="180" w:lineRule="exact"/>
              <w:rPr>
                <w:sz w:val="20"/>
                <w:szCs w:val="20"/>
                <w:color w:val="auto"/>
              </w:rPr>
            </w:pPr>
            <w:r>
              <w:rPr>
                <w:rFonts w:ascii="Calibri" w:cs="Calibri" w:eastAsia="Calibri" w:hAnsi="Calibri"/>
                <w:sz w:val="15"/>
                <w:szCs w:val="15"/>
                <w:color w:val="auto"/>
                <w:w w:val="98"/>
              </w:rPr>
              <w:t>4,598,052</w:t>
            </w:r>
          </w:p>
        </w:tc>
        <w:tc>
          <w:tcPr>
            <w:tcW w:w="14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6"/>
              </w:rPr>
              <w:t>21.4%</w:t>
            </w:r>
          </w:p>
        </w:tc>
      </w:tr>
      <w:tr>
        <w:trPr>
          <w:trHeight w:val="182"/>
        </w:trPr>
        <w:tc>
          <w:tcPr>
            <w:tcW w:w="154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Efciency rato (3)</w:t>
            </w:r>
          </w:p>
        </w:tc>
        <w:tc>
          <w:tcPr>
            <w:tcW w:w="900" w:type="dxa"/>
            <w:vAlign w:val="bottom"/>
          </w:tcPr>
          <w:p>
            <w:pPr>
              <w:jc w:val="center"/>
              <w:spacing w:after="0" w:line="181" w:lineRule="exact"/>
              <w:rPr>
                <w:sz w:val="20"/>
                <w:szCs w:val="20"/>
                <w:color w:val="auto"/>
              </w:rPr>
            </w:pPr>
            <w:r>
              <w:rPr>
                <w:rFonts w:ascii="Calibri" w:cs="Calibri" w:eastAsia="Calibri" w:hAnsi="Calibri"/>
                <w:sz w:val="15"/>
                <w:szCs w:val="15"/>
                <w:color w:val="auto"/>
              </w:rPr>
              <w:t>47.2%</w:t>
            </w:r>
          </w:p>
        </w:tc>
        <w:tc>
          <w:tcPr>
            <w:tcW w:w="860" w:type="dxa"/>
            <w:vAlign w:val="bottom"/>
          </w:tcPr>
          <w:p>
            <w:pPr>
              <w:jc w:val="center"/>
              <w:spacing w:after="0" w:line="181" w:lineRule="exact"/>
              <w:rPr>
                <w:sz w:val="20"/>
                <w:szCs w:val="20"/>
                <w:color w:val="auto"/>
              </w:rPr>
            </w:pPr>
            <w:r>
              <w:rPr>
                <w:rFonts w:ascii="Calibri" w:cs="Calibri" w:eastAsia="Calibri" w:hAnsi="Calibri"/>
                <w:sz w:val="15"/>
                <w:szCs w:val="15"/>
                <w:color w:val="auto"/>
                <w:w w:val="96"/>
              </w:rPr>
              <w:t>49.3%</w:t>
            </w:r>
          </w:p>
        </w:tc>
        <w:tc>
          <w:tcPr>
            <w:tcW w:w="8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44.3%</w:t>
            </w:r>
          </w:p>
        </w:tc>
        <w:tc>
          <w:tcPr>
            <w:tcW w:w="780" w:type="dxa"/>
            <w:vAlign w:val="bottom"/>
          </w:tcPr>
          <w:p>
            <w:pPr>
              <w:jc w:val="center"/>
              <w:spacing w:after="0" w:line="181" w:lineRule="exact"/>
              <w:rPr>
                <w:sz w:val="20"/>
                <w:szCs w:val="20"/>
                <w:color w:val="auto"/>
              </w:rPr>
            </w:pPr>
            <w:r>
              <w:rPr>
                <w:rFonts w:ascii="Calibri" w:cs="Calibri" w:eastAsia="Calibri" w:hAnsi="Calibri"/>
                <w:sz w:val="15"/>
                <w:szCs w:val="15"/>
                <w:color w:val="auto"/>
                <w:w w:val="95"/>
              </w:rPr>
              <w:t>-500 bps</w:t>
            </w:r>
          </w:p>
        </w:tc>
        <w:tc>
          <w:tcPr>
            <w:tcW w:w="82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9"/>
              </w:rPr>
              <w:t>-290 bps</w:t>
            </w:r>
          </w:p>
        </w:tc>
        <w:tc>
          <w:tcPr>
            <w:tcW w:w="760" w:type="dxa"/>
            <w:vAlign w:val="bottom"/>
          </w:tcPr>
          <w:p>
            <w:pPr>
              <w:jc w:val="center"/>
              <w:ind w:left="64"/>
              <w:spacing w:after="0" w:line="181" w:lineRule="exact"/>
              <w:rPr>
                <w:sz w:val="20"/>
                <w:szCs w:val="20"/>
                <w:color w:val="auto"/>
              </w:rPr>
            </w:pPr>
            <w:r>
              <w:rPr>
                <w:rFonts w:ascii="Calibri" w:cs="Calibri" w:eastAsia="Calibri" w:hAnsi="Calibri"/>
                <w:sz w:val="15"/>
                <w:szCs w:val="15"/>
                <w:color w:val="auto"/>
              </w:rPr>
              <w:t>47.4%</w:t>
            </w:r>
          </w:p>
        </w:tc>
        <w:tc>
          <w:tcPr>
            <w:tcW w:w="1060" w:type="dxa"/>
            <w:vAlign w:val="bottom"/>
            <w:tcBorders>
              <w:right w:val="single" w:sz="8" w:color="auto"/>
            </w:tcBorders>
          </w:tcPr>
          <w:p>
            <w:pPr>
              <w:jc w:val="center"/>
              <w:ind w:left="44"/>
              <w:spacing w:after="0" w:line="181" w:lineRule="exact"/>
              <w:rPr>
                <w:sz w:val="20"/>
                <w:szCs w:val="20"/>
                <w:color w:val="auto"/>
              </w:rPr>
            </w:pPr>
            <w:r>
              <w:rPr>
                <w:rFonts w:ascii="Calibri" w:cs="Calibri" w:eastAsia="Calibri" w:hAnsi="Calibri"/>
                <w:sz w:val="15"/>
                <w:szCs w:val="15"/>
                <w:color w:val="auto"/>
              </w:rPr>
              <w:t>44.3%</w:t>
            </w:r>
          </w:p>
        </w:tc>
        <w:tc>
          <w:tcPr>
            <w:tcW w:w="144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9"/>
              </w:rPr>
              <w:t>-310 bps</w:t>
            </w:r>
          </w:p>
        </w:tc>
      </w:tr>
      <w:tr>
        <w:trPr>
          <w:trHeight w:val="23"/>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bl>
    <w:p>
      <w:pPr>
        <w:ind w:left="9"/>
        <w:spacing w:after="0" w:line="208" w:lineRule="auto"/>
        <w:rPr>
          <w:sz w:val="20"/>
          <w:szCs w:val="20"/>
          <w:color w:val="auto"/>
        </w:rPr>
      </w:pPr>
      <w:r>
        <w:rPr>
          <w:rFonts w:ascii="Calibri" w:cs="Calibri" w:eastAsia="Calibri" w:hAnsi="Calibri"/>
          <w:sz w:val="11"/>
          <w:szCs w:val="11"/>
          <w:color w:val="auto"/>
        </w:rPr>
        <w:t>Due to the applicaton of IFRS 17, which impacts reportng for Insurance contracts, Operatng Income has been restated and as such, difers with regard calculatons in previous reports. For more details, review annex 12.1.8</w:t>
      </w:r>
    </w:p>
    <w:p>
      <w:pPr>
        <w:spacing w:after="0" w:line="204" w:lineRule="exact"/>
        <w:rPr>
          <w:sz w:val="20"/>
          <w:szCs w:val="20"/>
          <w:color w:val="auto"/>
        </w:rPr>
      </w:pPr>
    </w:p>
    <w:p>
      <w:pPr>
        <w:ind w:left="129" w:hanging="129"/>
        <w:spacing w:after="0"/>
        <w:tabs>
          <w:tab w:leader="none" w:pos="129" w:val="left"/>
        </w:tabs>
        <w:numPr>
          <w:ilvl w:val="0"/>
          <w:numId w:val="44"/>
        </w:numPr>
        <w:rPr>
          <w:rFonts w:ascii="Calibri" w:cs="Calibri" w:eastAsia="Calibri" w:hAnsi="Calibri"/>
          <w:sz w:val="9"/>
          <w:szCs w:val="9"/>
          <w:color w:val="auto"/>
        </w:rPr>
      </w:pPr>
      <w:r>
        <w:rPr>
          <w:rFonts w:ascii="Calibri" w:cs="Calibri" w:eastAsia="Calibri" w:hAnsi="Calibri"/>
          <w:sz w:val="9"/>
          <w:szCs w:val="9"/>
          <w:color w:val="auto"/>
        </w:rPr>
        <w:t>Operatng expenses = Salaries and m y ’s benefts + Administratve expenses + Depreciaton and amortzaton + Associaton in partcipaton + Acquisiton cost.</w:t>
      </w:r>
    </w:p>
    <w:p>
      <w:pPr>
        <w:spacing w:after="0" w:line="3" w:lineRule="exact"/>
        <w:rPr>
          <w:rFonts w:ascii="Calibri" w:cs="Calibri" w:eastAsia="Calibri" w:hAnsi="Calibri"/>
          <w:sz w:val="9"/>
          <w:szCs w:val="9"/>
          <w:color w:val="auto"/>
        </w:rPr>
      </w:pPr>
    </w:p>
    <w:p>
      <w:pPr>
        <w:ind w:left="129" w:hanging="129"/>
        <w:spacing w:after="0"/>
        <w:tabs>
          <w:tab w:leader="none" w:pos="129" w:val="left"/>
        </w:tabs>
        <w:numPr>
          <w:ilvl w:val="0"/>
          <w:numId w:val="44"/>
        </w:numPr>
        <w:rPr>
          <w:rFonts w:ascii="Calibri" w:cs="Calibri" w:eastAsia="Calibri" w:hAnsi="Calibri"/>
          <w:sz w:val="9"/>
          <w:szCs w:val="9"/>
          <w:color w:val="auto"/>
        </w:rPr>
      </w:pPr>
      <w:r>
        <w:rPr>
          <w:rFonts w:ascii="Calibri" w:cs="Calibri" w:eastAsia="Calibri" w:hAnsi="Calibri"/>
          <w:sz w:val="9"/>
          <w:szCs w:val="9"/>
          <w:color w:val="auto"/>
        </w:rPr>
        <w:t>Operatng income = Net interest, similar income and expenses + Fee income + Net gain on foreign exchange transactons + Net gain from associates + Net gain on derivatves held for trading + Net gain from exchange diferences + Net Insurance Underwritng Results</w:t>
      </w:r>
    </w:p>
    <w:p>
      <w:pPr>
        <w:spacing w:after="0" w:line="3" w:lineRule="exact"/>
        <w:rPr>
          <w:rFonts w:ascii="Calibri" w:cs="Calibri" w:eastAsia="Calibri" w:hAnsi="Calibri"/>
          <w:sz w:val="9"/>
          <w:szCs w:val="9"/>
          <w:color w:val="auto"/>
        </w:rPr>
      </w:pPr>
    </w:p>
    <w:p>
      <w:pPr>
        <w:ind w:left="129" w:hanging="129"/>
        <w:spacing w:after="0"/>
        <w:tabs>
          <w:tab w:leader="none" w:pos="129" w:val="left"/>
        </w:tabs>
        <w:numPr>
          <w:ilvl w:val="0"/>
          <w:numId w:val="44"/>
        </w:numPr>
        <w:rPr>
          <w:rFonts w:ascii="Calibri" w:cs="Calibri" w:eastAsia="Calibri" w:hAnsi="Calibri"/>
          <w:sz w:val="9"/>
          <w:szCs w:val="9"/>
          <w:color w:val="auto"/>
        </w:rPr>
      </w:pPr>
      <w:r>
        <w:rPr>
          <w:rFonts w:ascii="Calibri" w:cs="Calibri" w:eastAsia="Calibri" w:hAnsi="Calibri"/>
          <w:sz w:val="9"/>
          <w:szCs w:val="9"/>
          <w:color w:val="auto"/>
        </w:rPr>
        <w:t>Operatng expenses / Operatng income (under IFRS 17)</w:t>
      </w:r>
    </w:p>
    <w:p>
      <w:pPr>
        <w:spacing w:after="0" w:line="31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Efficiency ratio by Subsidiary</w:t>
      </w:r>
    </w:p>
    <w:p>
      <w:pPr>
        <w:spacing w:after="0" w:line="210"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The expense analysis will focus on YoY movements to eliminate the efects of seasonality between quarters.</w:t>
      </w:r>
    </w:p>
    <w:p>
      <w:pPr>
        <w:spacing w:after="0" w:line="205" w:lineRule="exact"/>
        <w:rPr>
          <w:sz w:val="20"/>
          <w:szCs w:val="20"/>
          <w:color w:val="auto"/>
        </w:rPr>
      </w:pPr>
    </w:p>
    <w:tbl>
      <w:tblPr>
        <w:tblLayout w:type="fixed"/>
        <w:tblInd w:w="559" w:type="dxa"/>
        <w:tblCellMar>
          <w:top w:w="0" w:type="dxa"/>
          <w:left w:w="0" w:type="dxa"/>
          <w:bottom w:w="0" w:type="dxa"/>
          <w:right w:w="0" w:type="dxa"/>
        </w:tblCellMar>
      </w:tblPr>
      <w:tr>
        <w:trPr>
          <w:trHeight w:val="186"/>
        </w:trPr>
        <w:tc>
          <w:tcPr>
            <w:tcW w:w="3040" w:type="dxa"/>
            <w:vAlign w:val="bottom"/>
            <w:tcBorders>
              <w:right w:val="single" w:sz="8" w:color="auto"/>
            </w:tcBorders>
          </w:tcPr>
          <w:p>
            <w:pPr>
              <w:spacing w:after="0"/>
              <w:rPr>
                <w:sz w:val="16"/>
                <w:szCs w:val="16"/>
                <w:color w:val="auto"/>
              </w:rPr>
            </w:pPr>
          </w:p>
        </w:tc>
        <w:tc>
          <w:tcPr>
            <w:tcW w:w="1100" w:type="dxa"/>
            <w:vAlign w:val="bottom"/>
            <w:tcBorders>
              <w:top w:val="single" w:sz="8" w:color="auto"/>
            </w:tcBorders>
            <w:shd w:val="clear" w:color="auto" w:fill="2AD2C9"/>
          </w:tcPr>
          <w:p>
            <w:pPr>
              <w:jc w:val="center"/>
              <w:ind w:right="24"/>
              <w:spacing w:after="0"/>
              <w:rPr>
                <w:sz w:val="20"/>
                <w:szCs w:val="20"/>
                <w:color w:val="auto"/>
              </w:rPr>
            </w:pPr>
            <w:r>
              <w:rPr>
                <w:rFonts w:ascii="Calibri" w:cs="Calibri" w:eastAsia="Calibri" w:hAnsi="Calibri"/>
                <w:sz w:val="15"/>
                <w:szCs w:val="15"/>
                <w:b w:val="1"/>
                <w:bCs w:val="1"/>
                <w:color w:val="FFFFFF"/>
                <w:w w:val="98"/>
              </w:rPr>
              <w:t>BCP</w:t>
            </w:r>
          </w:p>
        </w:tc>
        <w:tc>
          <w:tcPr>
            <w:tcW w:w="920" w:type="dxa"/>
            <w:vAlign w:val="bottom"/>
            <w:tcBorders>
              <w:top w:val="single" w:sz="8" w:color="auto"/>
            </w:tcBorders>
            <w:shd w:val="clear" w:color="auto" w:fill="2AD2C9"/>
          </w:tcPr>
          <w:p>
            <w:pPr>
              <w:jc w:val="center"/>
              <w:spacing w:after="0"/>
              <w:rPr>
                <w:sz w:val="20"/>
                <w:szCs w:val="20"/>
                <w:color w:val="auto"/>
              </w:rPr>
            </w:pPr>
            <w:r>
              <w:rPr>
                <w:rFonts w:ascii="Calibri" w:cs="Calibri" w:eastAsia="Calibri" w:hAnsi="Calibri"/>
                <w:sz w:val="15"/>
                <w:szCs w:val="15"/>
                <w:b w:val="1"/>
                <w:bCs w:val="1"/>
                <w:color w:val="FFFFFF"/>
                <w:w w:val="98"/>
              </w:rPr>
              <w:t>BCP</w:t>
            </w:r>
          </w:p>
        </w:tc>
        <w:tc>
          <w:tcPr>
            <w:tcW w:w="1040" w:type="dxa"/>
            <w:vAlign w:val="bottom"/>
            <w:tcBorders>
              <w:top w:val="single" w:sz="8" w:color="auto"/>
            </w:tcBorders>
            <w:shd w:val="clear" w:color="auto" w:fill="2AD2C9"/>
          </w:tcPr>
          <w:p>
            <w:pPr>
              <w:jc w:val="center"/>
              <w:spacing w:after="0"/>
              <w:rPr>
                <w:sz w:val="20"/>
                <w:szCs w:val="20"/>
                <w:color w:val="auto"/>
              </w:rPr>
            </w:pPr>
            <w:r>
              <w:rPr>
                <w:rFonts w:ascii="Calibri" w:cs="Calibri" w:eastAsia="Calibri" w:hAnsi="Calibri"/>
                <w:sz w:val="15"/>
                <w:szCs w:val="15"/>
                <w:b w:val="1"/>
                <w:bCs w:val="1"/>
                <w:color w:val="FFFFFF"/>
                <w:w w:val="98"/>
              </w:rPr>
              <w:t>Mibanco</w:t>
            </w:r>
          </w:p>
        </w:tc>
        <w:tc>
          <w:tcPr>
            <w:tcW w:w="1040" w:type="dxa"/>
            <w:vAlign w:val="bottom"/>
            <w:tcBorders>
              <w:top w:val="single" w:sz="8" w:color="auto"/>
            </w:tcBorders>
            <w:shd w:val="clear" w:color="auto" w:fill="2AD2C9"/>
          </w:tcPr>
          <w:p>
            <w:pPr>
              <w:jc w:val="center"/>
              <w:spacing w:after="0"/>
              <w:rPr>
                <w:sz w:val="20"/>
                <w:szCs w:val="20"/>
                <w:color w:val="auto"/>
              </w:rPr>
            </w:pPr>
            <w:r>
              <w:rPr>
                <w:rFonts w:ascii="Calibri" w:cs="Calibri" w:eastAsia="Calibri" w:hAnsi="Calibri"/>
                <w:sz w:val="15"/>
                <w:szCs w:val="15"/>
                <w:b w:val="1"/>
                <w:bCs w:val="1"/>
                <w:color w:val="FFFFFF"/>
                <w:w w:val="98"/>
              </w:rPr>
              <w:t>Mibanco</w:t>
            </w:r>
          </w:p>
        </w:tc>
        <w:tc>
          <w:tcPr>
            <w:tcW w:w="960" w:type="dxa"/>
            <w:vAlign w:val="bottom"/>
            <w:tcBorders>
              <w:top w:val="single" w:sz="8" w:color="auto"/>
            </w:tcBorders>
            <w:vMerge w:val="restart"/>
            <w:shd w:val="clear" w:color="auto" w:fill="2AD2C9"/>
          </w:tcPr>
          <w:p>
            <w:pPr>
              <w:jc w:val="center"/>
              <w:spacing w:after="0"/>
              <w:rPr>
                <w:sz w:val="20"/>
                <w:szCs w:val="20"/>
                <w:color w:val="auto"/>
              </w:rPr>
            </w:pPr>
            <w:r>
              <w:rPr>
                <w:rFonts w:ascii="Calibri" w:cs="Calibri" w:eastAsia="Calibri" w:hAnsi="Calibri"/>
                <w:sz w:val="15"/>
                <w:szCs w:val="15"/>
                <w:b w:val="1"/>
                <w:bCs w:val="1"/>
                <w:color w:val="FFFFFF"/>
              </w:rPr>
              <w:t>Pacifco</w:t>
            </w:r>
          </w:p>
        </w:tc>
        <w:tc>
          <w:tcPr>
            <w:tcW w:w="104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Calibri" w:cs="Calibri" w:eastAsia="Calibri" w:hAnsi="Calibri"/>
                <w:sz w:val="15"/>
                <w:szCs w:val="15"/>
                <w:b w:val="1"/>
                <w:bCs w:val="1"/>
                <w:color w:val="FFFFFF"/>
              </w:rPr>
              <w:t>Prima AFP</w:t>
            </w:r>
          </w:p>
        </w:tc>
        <w:tc>
          <w:tcPr>
            <w:tcW w:w="100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Calibri" w:cs="Calibri" w:eastAsia="Calibri" w:hAnsi="Calibri"/>
                <w:sz w:val="15"/>
                <w:szCs w:val="15"/>
                <w:b w:val="1"/>
                <w:bCs w:val="1"/>
                <w:color w:val="FFFFFF"/>
                <w:w w:val="99"/>
              </w:rPr>
              <w:t>Credicorp</w:t>
            </w:r>
          </w:p>
        </w:tc>
        <w:tc>
          <w:tcPr>
            <w:tcW w:w="0" w:type="dxa"/>
            <w:vAlign w:val="bottom"/>
          </w:tcPr>
          <w:p>
            <w:pPr>
              <w:spacing w:after="0"/>
              <w:rPr>
                <w:sz w:val="1"/>
                <w:szCs w:val="1"/>
                <w:color w:val="auto"/>
              </w:rPr>
            </w:pPr>
          </w:p>
        </w:tc>
      </w:tr>
      <w:tr>
        <w:trPr>
          <w:trHeight w:val="89"/>
        </w:trPr>
        <w:tc>
          <w:tcPr>
            <w:tcW w:w="3040" w:type="dxa"/>
            <w:vAlign w:val="bottom"/>
            <w:tcBorders>
              <w:right w:val="single" w:sz="8" w:color="auto"/>
            </w:tcBorders>
            <w:vMerge w:val="restart"/>
          </w:tcPr>
          <w:p>
            <w:pPr>
              <w:jc w:val="center"/>
              <w:spacing w:after="0" w:line="180" w:lineRule="exact"/>
              <w:rPr>
                <w:sz w:val="20"/>
                <w:szCs w:val="20"/>
                <w:color w:val="auto"/>
              </w:rPr>
            </w:pPr>
            <w:r>
              <w:rPr>
                <w:rFonts w:ascii="Calibri" w:cs="Calibri" w:eastAsia="Calibri" w:hAnsi="Calibri"/>
                <w:sz w:val="15"/>
                <w:szCs w:val="15"/>
                <w:color w:val="auto"/>
                <w:w w:val="99"/>
              </w:rPr>
              <w:t>IFRS 17</w:t>
            </w:r>
          </w:p>
        </w:tc>
        <w:tc>
          <w:tcPr>
            <w:tcW w:w="1100" w:type="dxa"/>
            <w:vAlign w:val="bottom"/>
            <w:vMerge w:val="restart"/>
            <w:shd w:val="clear" w:color="auto" w:fill="2AD2C9"/>
          </w:tcPr>
          <w:p>
            <w:pPr>
              <w:jc w:val="center"/>
              <w:ind w:right="4"/>
              <w:spacing w:after="0" w:line="180" w:lineRule="exact"/>
              <w:rPr>
                <w:sz w:val="20"/>
                <w:szCs w:val="20"/>
                <w:color w:val="auto"/>
              </w:rPr>
            </w:pPr>
            <w:r>
              <w:rPr>
                <w:rFonts w:ascii="Calibri" w:cs="Calibri" w:eastAsia="Calibri" w:hAnsi="Calibri"/>
                <w:sz w:val="15"/>
                <w:szCs w:val="15"/>
                <w:b w:val="1"/>
                <w:bCs w:val="1"/>
                <w:color w:val="FFFFFF"/>
                <w:w w:val="98"/>
              </w:rPr>
              <w:t>Stand-alone</w:t>
            </w:r>
          </w:p>
        </w:tc>
        <w:tc>
          <w:tcPr>
            <w:tcW w:w="920" w:type="dxa"/>
            <w:vAlign w:val="bottom"/>
            <w:vMerge w:val="restart"/>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4"/>
              </w:rPr>
              <w:t>Bolivia</w:t>
            </w:r>
          </w:p>
        </w:tc>
        <w:tc>
          <w:tcPr>
            <w:tcW w:w="1040" w:type="dxa"/>
            <w:vAlign w:val="bottom"/>
            <w:vMerge w:val="restart"/>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6"/>
              </w:rPr>
              <w:t>Peru</w:t>
            </w:r>
          </w:p>
        </w:tc>
        <w:tc>
          <w:tcPr>
            <w:tcW w:w="1040" w:type="dxa"/>
            <w:vAlign w:val="bottom"/>
            <w:vMerge w:val="restart"/>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8"/>
              </w:rPr>
              <w:t>Colombia</w:t>
            </w:r>
          </w:p>
        </w:tc>
        <w:tc>
          <w:tcPr>
            <w:tcW w:w="960" w:type="dxa"/>
            <w:vAlign w:val="bottom"/>
            <w:vMerge w:val="continue"/>
            <w:shd w:val="clear" w:color="auto" w:fill="2AD2C9"/>
          </w:tcPr>
          <w:p>
            <w:pPr>
              <w:spacing w:after="0"/>
              <w:rPr>
                <w:sz w:val="7"/>
                <w:szCs w:val="7"/>
                <w:color w:val="auto"/>
              </w:rPr>
            </w:pPr>
          </w:p>
        </w:tc>
        <w:tc>
          <w:tcPr>
            <w:tcW w:w="1040" w:type="dxa"/>
            <w:vAlign w:val="bottom"/>
            <w:tcBorders>
              <w:right w:val="single" w:sz="8" w:color="auto"/>
            </w:tcBorders>
            <w:vMerge w:val="continue"/>
            <w:shd w:val="clear" w:color="auto" w:fill="2AD2C9"/>
          </w:tcPr>
          <w:p>
            <w:pPr>
              <w:spacing w:after="0"/>
              <w:rPr>
                <w:sz w:val="7"/>
                <w:szCs w:val="7"/>
                <w:color w:val="auto"/>
              </w:rPr>
            </w:pPr>
          </w:p>
        </w:tc>
        <w:tc>
          <w:tcPr>
            <w:tcW w:w="1000" w:type="dxa"/>
            <w:vAlign w:val="bottom"/>
            <w:tcBorders>
              <w:right w:val="single" w:sz="8" w:color="auto"/>
            </w:tcBorders>
            <w:vMerge w:val="continue"/>
            <w:shd w:val="clear" w:color="auto" w:fill="2AD2C9"/>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040" w:type="dxa"/>
            <w:vAlign w:val="bottom"/>
            <w:tcBorders>
              <w:right w:val="single" w:sz="8" w:color="auto"/>
            </w:tcBorders>
            <w:vMerge w:val="continue"/>
          </w:tcPr>
          <w:p>
            <w:pPr>
              <w:spacing w:after="0"/>
              <w:rPr>
                <w:sz w:val="9"/>
                <w:szCs w:val="9"/>
                <w:color w:val="auto"/>
              </w:rPr>
            </w:pPr>
          </w:p>
        </w:tc>
        <w:tc>
          <w:tcPr>
            <w:tcW w:w="1100" w:type="dxa"/>
            <w:vAlign w:val="bottom"/>
            <w:tcBorders>
              <w:bottom w:val="single" w:sz="8" w:color="2AD2C9"/>
            </w:tcBorders>
            <w:vMerge w:val="continue"/>
            <w:shd w:val="clear" w:color="auto" w:fill="2AD2C9"/>
          </w:tcPr>
          <w:p>
            <w:pPr>
              <w:spacing w:after="0"/>
              <w:rPr>
                <w:sz w:val="9"/>
                <w:szCs w:val="9"/>
                <w:color w:val="auto"/>
              </w:rPr>
            </w:pPr>
          </w:p>
        </w:tc>
        <w:tc>
          <w:tcPr>
            <w:tcW w:w="920" w:type="dxa"/>
            <w:vAlign w:val="bottom"/>
            <w:tcBorders>
              <w:bottom w:val="single" w:sz="8" w:color="2AD2C9"/>
            </w:tcBorders>
            <w:vMerge w:val="continue"/>
            <w:shd w:val="clear" w:color="auto" w:fill="2AD2C9"/>
          </w:tcPr>
          <w:p>
            <w:pPr>
              <w:spacing w:after="0"/>
              <w:rPr>
                <w:sz w:val="9"/>
                <w:szCs w:val="9"/>
                <w:color w:val="auto"/>
              </w:rPr>
            </w:pPr>
          </w:p>
        </w:tc>
        <w:tc>
          <w:tcPr>
            <w:tcW w:w="1040" w:type="dxa"/>
            <w:vAlign w:val="bottom"/>
            <w:tcBorders>
              <w:bottom w:val="single" w:sz="8" w:color="2AD2C9"/>
            </w:tcBorders>
            <w:vMerge w:val="continue"/>
            <w:shd w:val="clear" w:color="auto" w:fill="2AD2C9"/>
          </w:tcPr>
          <w:p>
            <w:pPr>
              <w:spacing w:after="0"/>
              <w:rPr>
                <w:sz w:val="9"/>
                <w:szCs w:val="9"/>
                <w:color w:val="auto"/>
              </w:rPr>
            </w:pPr>
          </w:p>
        </w:tc>
        <w:tc>
          <w:tcPr>
            <w:tcW w:w="1040" w:type="dxa"/>
            <w:vAlign w:val="bottom"/>
            <w:tcBorders>
              <w:bottom w:val="single" w:sz="8" w:color="2AD2C9"/>
            </w:tcBorders>
            <w:vMerge w:val="continue"/>
            <w:shd w:val="clear" w:color="auto" w:fill="2AD2C9"/>
          </w:tcPr>
          <w:p>
            <w:pPr>
              <w:spacing w:after="0"/>
              <w:rPr>
                <w:sz w:val="9"/>
                <w:szCs w:val="9"/>
                <w:color w:val="auto"/>
              </w:rPr>
            </w:pPr>
          </w:p>
        </w:tc>
        <w:tc>
          <w:tcPr>
            <w:tcW w:w="960" w:type="dxa"/>
            <w:vAlign w:val="bottom"/>
            <w:tcBorders>
              <w:bottom w:val="single" w:sz="8" w:color="2AD2C9"/>
            </w:tcBorders>
            <w:shd w:val="clear" w:color="auto" w:fill="2AD2C9"/>
          </w:tcPr>
          <w:p>
            <w:pPr>
              <w:spacing w:after="0"/>
              <w:rPr>
                <w:sz w:val="9"/>
                <w:szCs w:val="9"/>
                <w:color w:val="auto"/>
              </w:rPr>
            </w:pPr>
          </w:p>
        </w:tc>
        <w:tc>
          <w:tcPr>
            <w:tcW w:w="1040" w:type="dxa"/>
            <w:vAlign w:val="bottom"/>
            <w:tcBorders>
              <w:bottom w:val="single" w:sz="8" w:color="2AD2C9"/>
              <w:right w:val="single" w:sz="8" w:color="auto"/>
            </w:tcBorders>
            <w:shd w:val="clear" w:color="auto" w:fill="2AD2C9"/>
          </w:tcPr>
          <w:p>
            <w:pPr>
              <w:spacing w:after="0"/>
              <w:rPr>
                <w:sz w:val="9"/>
                <w:szCs w:val="9"/>
                <w:color w:val="auto"/>
              </w:rPr>
            </w:pPr>
          </w:p>
        </w:tc>
        <w:tc>
          <w:tcPr>
            <w:tcW w:w="1000" w:type="dxa"/>
            <w:vAlign w:val="bottom"/>
            <w:tcBorders>
              <w:bottom w:val="single" w:sz="8" w:color="2AD2C9"/>
              <w:right w:val="single" w:sz="8" w:color="auto"/>
            </w:tcBorders>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40" w:type="dxa"/>
            <w:vAlign w:val="bottom"/>
            <w:tcBorders>
              <w:top w:val="single" w:sz="8" w:color="auto"/>
              <w:left w:val="single" w:sz="8" w:color="auto"/>
              <w:right w:val="single" w:sz="8" w:color="auto"/>
            </w:tcBorders>
          </w:tcPr>
          <w:p>
            <w:pPr>
              <w:jc w:val="center"/>
              <w:spacing w:after="0" w:line="163" w:lineRule="exact"/>
              <w:rPr>
                <w:sz w:val="20"/>
                <w:szCs w:val="20"/>
                <w:color w:val="auto"/>
              </w:rPr>
            </w:pPr>
            <w:r>
              <w:rPr>
                <w:rFonts w:ascii="Calibri" w:cs="Calibri" w:eastAsia="Calibri" w:hAnsi="Calibri"/>
                <w:sz w:val="15"/>
                <w:szCs w:val="15"/>
                <w:b w:val="1"/>
                <w:bCs w:val="1"/>
                <w:color w:val="auto"/>
                <w:w w:val="96"/>
              </w:rPr>
              <w:t>1Q22</w:t>
            </w:r>
          </w:p>
        </w:tc>
        <w:tc>
          <w:tcPr>
            <w:tcW w:w="1100" w:type="dxa"/>
            <w:vAlign w:val="bottom"/>
            <w:tcBorders>
              <w:top w:val="single" w:sz="8" w:color="auto"/>
            </w:tcBorders>
          </w:tcPr>
          <w:p>
            <w:pPr>
              <w:jc w:val="center"/>
              <w:ind w:right="4"/>
              <w:spacing w:after="0" w:line="163" w:lineRule="exact"/>
              <w:rPr>
                <w:sz w:val="20"/>
                <w:szCs w:val="20"/>
                <w:color w:val="auto"/>
              </w:rPr>
            </w:pPr>
            <w:r>
              <w:rPr>
                <w:rFonts w:ascii="Calibri" w:cs="Calibri" w:eastAsia="Calibri" w:hAnsi="Calibri"/>
                <w:sz w:val="15"/>
                <w:szCs w:val="15"/>
                <w:color w:val="auto"/>
              </w:rPr>
              <w:t>40.6%</w:t>
            </w:r>
          </w:p>
        </w:tc>
        <w:tc>
          <w:tcPr>
            <w:tcW w:w="920" w:type="dxa"/>
            <w:vAlign w:val="bottom"/>
            <w:tcBorders>
              <w:top w:val="single" w:sz="8" w:color="auto"/>
            </w:tcBorders>
          </w:tcPr>
          <w:p>
            <w:pPr>
              <w:jc w:val="center"/>
              <w:spacing w:after="0" w:line="163" w:lineRule="exact"/>
              <w:rPr>
                <w:sz w:val="20"/>
                <w:szCs w:val="20"/>
                <w:color w:val="auto"/>
              </w:rPr>
            </w:pPr>
            <w:r>
              <w:rPr>
                <w:rFonts w:ascii="Calibri" w:cs="Calibri" w:eastAsia="Calibri" w:hAnsi="Calibri"/>
                <w:sz w:val="15"/>
                <w:szCs w:val="15"/>
                <w:color w:val="auto"/>
                <w:w w:val="96"/>
              </w:rPr>
              <w:t>59.9%</w:t>
            </w:r>
          </w:p>
        </w:tc>
        <w:tc>
          <w:tcPr>
            <w:tcW w:w="1040" w:type="dxa"/>
            <w:vAlign w:val="bottom"/>
            <w:tcBorders>
              <w:top w:val="single" w:sz="8" w:color="auto"/>
            </w:tcBorders>
          </w:tcPr>
          <w:p>
            <w:pPr>
              <w:jc w:val="center"/>
              <w:spacing w:after="0" w:line="163" w:lineRule="exact"/>
              <w:rPr>
                <w:sz w:val="20"/>
                <w:szCs w:val="20"/>
                <w:color w:val="auto"/>
              </w:rPr>
            </w:pPr>
            <w:r>
              <w:rPr>
                <w:rFonts w:ascii="Calibri" w:cs="Calibri" w:eastAsia="Calibri" w:hAnsi="Calibri"/>
                <w:sz w:val="15"/>
                <w:szCs w:val="15"/>
                <w:color w:val="auto"/>
                <w:w w:val="96"/>
              </w:rPr>
              <w:t>53.0%</w:t>
            </w:r>
          </w:p>
        </w:tc>
        <w:tc>
          <w:tcPr>
            <w:tcW w:w="1040" w:type="dxa"/>
            <w:vAlign w:val="bottom"/>
            <w:tcBorders>
              <w:top w:val="single" w:sz="8" w:color="auto"/>
            </w:tcBorders>
          </w:tcPr>
          <w:p>
            <w:pPr>
              <w:jc w:val="center"/>
              <w:spacing w:after="0" w:line="163" w:lineRule="exact"/>
              <w:rPr>
                <w:sz w:val="20"/>
                <w:szCs w:val="20"/>
                <w:color w:val="auto"/>
              </w:rPr>
            </w:pPr>
            <w:r>
              <w:rPr>
                <w:rFonts w:ascii="Calibri" w:cs="Calibri" w:eastAsia="Calibri" w:hAnsi="Calibri"/>
                <w:sz w:val="15"/>
                <w:szCs w:val="15"/>
                <w:color w:val="auto"/>
              </w:rPr>
              <w:t>79.0%</w:t>
            </w:r>
          </w:p>
        </w:tc>
        <w:tc>
          <w:tcPr>
            <w:tcW w:w="960" w:type="dxa"/>
            <w:vAlign w:val="bottom"/>
            <w:tcBorders>
              <w:top w:val="single" w:sz="8" w:color="auto"/>
            </w:tcBorders>
          </w:tcPr>
          <w:p>
            <w:pPr>
              <w:jc w:val="center"/>
              <w:spacing w:after="0" w:line="163" w:lineRule="exact"/>
              <w:rPr>
                <w:sz w:val="20"/>
                <w:szCs w:val="20"/>
                <w:color w:val="auto"/>
              </w:rPr>
            </w:pPr>
            <w:r>
              <w:rPr>
                <w:rFonts w:ascii="Calibri" w:cs="Calibri" w:eastAsia="Calibri" w:hAnsi="Calibri"/>
                <w:sz w:val="15"/>
                <w:szCs w:val="15"/>
                <w:color w:val="auto"/>
                <w:w w:val="96"/>
              </w:rPr>
              <w:t>32.0%</w:t>
            </w:r>
          </w:p>
        </w:tc>
        <w:tc>
          <w:tcPr>
            <w:tcW w:w="1040" w:type="dxa"/>
            <w:vAlign w:val="bottom"/>
            <w:tcBorders>
              <w:top w:val="single" w:sz="8" w:color="auto"/>
              <w:right w:val="single" w:sz="8" w:color="auto"/>
            </w:tcBorders>
          </w:tcPr>
          <w:p>
            <w:pPr>
              <w:jc w:val="center"/>
              <w:spacing w:after="0" w:line="163" w:lineRule="exact"/>
              <w:rPr>
                <w:sz w:val="20"/>
                <w:szCs w:val="20"/>
                <w:color w:val="auto"/>
              </w:rPr>
            </w:pPr>
            <w:r>
              <w:rPr>
                <w:rFonts w:ascii="Calibri" w:cs="Calibri" w:eastAsia="Calibri" w:hAnsi="Calibri"/>
                <w:sz w:val="15"/>
                <w:szCs w:val="15"/>
                <w:color w:val="auto"/>
                <w:w w:val="96"/>
              </w:rPr>
              <w:t>54.5%</w:t>
            </w:r>
          </w:p>
        </w:tc>
        <w:tc>
          <w:tcPr>
            <w:tcW w:w="1000" w:type="dxa"/>
            <w:vAlign w:val="bottom"/>
            <w:tcBorders>
              <w:top w:val="single" w:sz="8" w:color="auto"/>
              <w:right w:val="single" w:sz="8" w:color="auto"/>
            </w:tcBorders>
          </w:tcPr>
          <w:p>
            <w:pPr>
              <w:jc w:val="center"/>
              <w:spacing w:after="0" w:line="163" w:lineRule="exact"/>
              <w:rPr>
                <w:sz w:val="20"/>
                <w:szCs w:val="20"/>
                <w:color w:val="auto"/>
              </w:rPr>
            </w:pPr>
            <w:r>
              <w:rPr>
                <w:rFonts w:ascii="Calibri" w:cs="Calibri" w:eastAsia="Calibri" w:hAnsi="Calibri"/>
                <w:sz w:val="15"/>
                <w:szCs w:val="15"/>
                <w:color w:val="auto"/>
                <w:w w:val="96"/>
              </w:rPr>
              <w:t>47.2%</w:t>
            </w:r>
          </w:p>
        </w:tc>
        <w:tc>
          <w:tcPr>
            <w:tcW w:w="0" w:type="dxa"/>
            <w:vAlign w:val="bottom"/>
          </w:tcPr>
          <w:p>
            <w:pPr>
              <w:spacing w:after="0"/>
              <w:rPr>
                <w:sz w:val="1"/>
                <w:szCs w:val="1"/>
                <w:color w:val="auto"/>
              </w:rPr>
            </w:pPr>
          </w:p>
        </w:tc>
      </w:tr>
      <w:tr>
        <w:trPr>
          <w:trHeight w:val="179"/>
        </w:trPr>
        <w:tc>
          <w:tcPr>
            <w:tcW w:w="3040" w:type="dxa"/>
            <w:vAlign w:val="bottom"/>
            <w:tcBorders>
              <w:left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w w:val="96"/>
              </w:rPr>
              <w:t>4Q22</w:t>
            </w:r>
          </w:p>
        </w:tc>
        <w:tc>
          <w:tcPr>
            <w:tcW w:w="1100" w:type="dxa"/>
            <w:vAlign w:val="bottom"/>
          </w:tcPr>
          <w:p>
            <w:pPr>
              <w:jc w:val="center"/>
              <w:ind w:right="4"/>
              <w:spacing w:after="0" w:line="180" w:lineRule="exact"/>
              <w:rPr>
                <w:sz w:val="20"/>
                <w:szCs w:val="20"/>
                <w:color w:val="auto"/>
              </w:rPr>
            </w:pPr>
            <w:r>
              <w:rPr>
                <w:rFonts w:ascii="Calibri" w:cs="Calibri" w:eastAsia="Calibri" w:hAnsi="Calibri"/>
                <w:sz w:val="15"/>
                <w:szCs w:val="15"/>
                <w:color w:val="auto"/>
              </w:rPr>
              <w:t>41.9%</w:t>
            </w:r>
          </w:p>
        </w:tc>
        <w:tc>
          <w:tcPr>
            <w:tcW w:w="920" w:type="dxa"/>
            <w:vAlign w:val="bottom"/>
          </w:tcPr>
          <w:p>
            <w:pPr>
              <w:jc w:val="center"/>
              <w:spacing w:after="0" w:line="180" w:lineRule="exact"/>
              <w:rPr>
                <w:sz w:val="20"/>
                <w:szCs w:val="20"/>
                <w:color w:val="auto"/>
              </w:rPr>
            </w:pPr>
            <w:r>
              <w:rPr>
                <w:rFonts w:ascii="Calibri" w:cs="Calibri" w:eastAsia="Calibri" w:hAnsi="Calibri"/>
                <w:sz w:val="15"/>
                <w:szCs w:val="15"/>
                <w:color w:val="auto"/>
                <w:w w:val="96"/>
              </w:rPr>
              <w:t>64.5%</w:t>
            </w:r>
          </w:p>
        </w:tc>
        <w:tc>
          <w:tcPr>
            <w:tcW w:w="1040" w:type="dxa"/>
            <w:vAlign w:val="bottom"/>
          </w:tcPr>
          <w:p>
            <w:pPr>
              <w:jc w:val="center"/>
              <w:spacing w:after="0" w:line="180" w:lineRule="exact"/>
              <w:rPr>
                <w:sz w:val="20"/>
                <w:szCs w:val="20"/>
                <w:color w:val="auto"/>
              </w:rPr>
            </w:pPr>
            <w:r>
              <w:rPr>
                <w:rFonts w:ascii="Calibri" w:cs="Calibri" w:eastAsia="Calibri" w:hAnsi="Calibri"/>
                <w:sz w:val="15"/>
                <w:szCs w:val="15"/>
                <w:color w:val="auto"/>
                <w:w w:val="96"/>
              </w:rPr>
              <w:t>52.3%</w:t>
            </w:r>
          </w:p>
        </w:tc>
        <w:tc>
          <w:tcPr>
            <w:tcW w:w="1040" w:type="dxa"/>
            <w:vAlign w:val="bottom"/>
          </w:tcPr>
          <w:p>
            <w:pPr>
              <w:jc w:val="center"/>
              <w:spacing w:after="0" w:line="180" w:lineRule="exact"/>
              <w:rPr>
                <w:sz w:val="20"/>
                <w:szCs w:val="20"/>
                <w:color w:val="auto"/>
              </w:rPr>
            </w:pPr>
            <w:r>
              <w:rPr>
                <w:rFonts w:ascii="Calibri" w:cs="Calibri" w:eastAsia="Calibri" w:hAnsi="Calibri"/>
                <w:sz w:val="15"/>
                <w:szCs w:val="15"/>
                <w:color w:val="auto"/>
              </w:rPr>
              <w:t>93.3%</w:t>
            </w:r>
          </w:p>
        </w:tc>
        <w:tc>
          <w:tcPr>
            <w:tcW w:w="960" w:type="dxa"/>
            <w:vAlign w:val="bottom"/>
          </w:tcPr>
          <w:p>
            <w:pPr>
              <w:jc w:val="center"/>
              <w:spacing w:after="0" w:line="180" w:lineRule="exact"/>
              <w:rPr>
                <w:sz w:val="20"/>
                <w:szCs w:val="20"/>
                <w:color w:val="auto"/>
              </w:rPr>
            </w:pPr>
            <w:r>
              <w:rPr>
                <w:rFonts w:ascii="Calibri" w:cs="Calibri" w:eastAsia="Calibri" w:hAnsi="Calibri"/>
                <w:sz w:val="15"/>
                <w:szCs w:val="15"/>
                <w:color w:val="auto"/>
                <w:w w:val="96"/>
              </w:rPr>
              <w:t>28.7%</w:t>
            </w:r>
          </w:p>
        </w:tc>
        <w:tc>
          <w:tcPr>
            <w:tcW w:w="10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6"/>
              </w:rPr>
              <w:t>46.1%</w:t>
            </w:r>
          </w:p>
        </w:tc>
        <w:tc>
          <w:tcPr>
            <w:tcW w:w="100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6"/>
              </w:rPr>
              <w:t>49.4%</w:t>
            </w:r>
          </w:p>
        </w:tc>
        <w:tc>
          <w:tcPr>
            <w:tcW w:w="0" w:type="dxa"/>
            <w:vAlign w:val="bottom"/>
          </w:tcPr>
          <w:p>
            <w:pPr>
              <w:spacing w:after="0"/>
              <w:rPr>
                <w:sz w:val="1"/>
                <w:szCs w:val="1"/>
                <w:color w:val="auto"/>
              </w:rPr>
            </w:pPr>
          </w:p>
        </w:tc>
      </w:tr>
      <w:tr>
        <w:trPr>
          <w:trHeight w:val="182"/>
        </w:trPr>
        <w:tc>
          <w:tcPr>
            <w:tcW w:w="3040" w:type="dxa"/>
            <w:vAlign w:val="bottom"/>
            <w:tcBorders>
              <w:left w:val="single" w:sz="8" w:color="auto"/>
              <w:right w:val="single" w:sz="8" w:color="auto"/>
            </w:tcBorders>
          </w:tcPr>
          <w:p>
            <w:pPr>
              <w:jc w:val="center"/>
              <w:spacing w:after="0" w:line="181" w:lineRule="exact"/>
              <w:rPr>
                <w:sz w:val="20"/>
                <w:szCs w:val="20"/>
                <w:color w:val="auto"/>
              </w:rPr>
            </w:pPr>
            <w:r>
              <w:rPr>
                <w:rFonts w:ascii="Calibri" w:cs="Calibri" w:eastAsia="Calibri" w:hAnsi="Calibri"/>
                <w:sz w:val="15"/>
                <w:szCs w:val="15"/>
                <w:b w:val="1"/>
                <w:bCs w:val="1"/>
                <w:color w:val="auto"/>
                <w:w w:val="96"/>
              </w:rPr>
              <w:t>1Q23</w:t>
            </w:r>
          </w:p>
        </w:tc>
        <w:tc>
          <w:tcPr>
            <w:tcW w:w="1100" w:type="dxa"/>
            <w:vAlign w:val="bottom"/>
          </w:tcPr>
          <w:p>
            <w:pPr>
              <w:jc w:val="center"/>
              <w:ind w:right="4"/>
              <w:spacing w:after="0" w:line="181" w:lineRule="exact"/>
              <w:rPr>
                <w:sz w:val="20"/>
                <w:szCs w:val="20"/>
                <w:color w:val="auto"/>
              </w:rPr>
            </w:pPr>
            <w:r>
              <w:rPr>
                <w:rFonts w:ascii="Calibri" w:cs="Calibri" w:eastAsia="Calibri" w:hAnsi="Calibri"/>
                <w:sz w:val="15"/>
                <w:szCs w:val="15"/>
                <w:color w:val="auto"/>
              </w:rPr>
              <w:t>36.8%</w:t>
            </w:r>
          </w:p>
        </w:tc>
        <w:tc>
          <w:tcPr>
            <w:tcW w:w="920" w:type="dxa"/>
            <w:vAlign w:val="bottom"/>
          </w:tcPr>
          <w:p>
            <w:pPr>
              <w:jc w:val="center"/>
              <w:spacing w:after="0" w:line="181" w:lineRule="exact"/>
              <w:rPr>
                <w:sz w:val="20"/>
                <w:szCs w:val="20"/>
                <w:color w:val="auto"/>
              </w:rPr>
            </w:pPr>
            <w:r>
              <w:rPr>
                <w:rFonts w:ascii="Calibri" w:cs="Calibri" w:eastAsia="Calibri" w:hAnsi="Calibri"/>
                <w:sz w:val="15"/>
                <w:szCs w:val="15"/>
                <w:color w:val="auto"/>
                <w:w w:val="96"/>
              </w:rPr>
              <w:t>60.2%</w:t>
            </w:r>
          </w:p>
        </w:tc>
        <w:tc>
          <w:tcPr>
            <w:tcW w:w="1040" w:type="dxa"/>
            <w:vAlign w:val="bottom"/>
          </w:tcPr>
          <w:p>
            <w:pPr>
              <w:jc w:val="center"/>
              <w:spacing w:after="0" w:line="181" w:lineRule="exact"/>
              <w:rPr>
                <w:sz w:val="20"/>
                <w:szCs w:val="20"/>
                <w:color w:val="auto"/>
              </w:rPr>
            </w:pPr>
            <w:r>
              <w:rPr>
                <w:rFonts w:ascii="Calibri" w:cs="Calibri" w:eastAsia="Calibri" w:hAnsi="Calibri"/>
                <w:sz w:val="15"/>
                <w:szCs w:val="15"/>
                <w:color w:val="auto"/>
                <w:w w:val="96"/>
              </w:rPr>
              <w:t>54.1%</w:t>
            </w:r>
          </w:p>
        </w:tc>
        <w:tc>
          <w:tcPr>
            <w:tcW w:w="1040" w:type="dxa"/>
            <w:vAlign w:val="bottom"/>
          </w:tcPr>
          <w:p>
            <w:pPr>
              <w:jc w:val="center"/>
              <w:spacing w:after="0" w:line="181" w:lineRule="exact"/>
              <w:rPr>
                <w:sz w:val="20"/>
                <w:szCs w:val="20"/>
                <w:color w:val="auto"/>
              </w:rPr>
            </w:pPr>
            <w:r>
              <w:rPr>
                <w:rFonts w:ascii="Calibri" w:cs="Calibri" w:eastAsia="Calibri" w:hAnsi="Calibri"/>
                <w:sz w:val="15"/>
                <w:szCs w:val="15"/>
                <w:color w:val="auto"/>
              </w:rPr>
              <w:t>93.2%</w:t>
            </w:r>
          </w:p>
        </w:tc>
        <w:tc>
          <w:tcPr>
            <w:tcW w:w="960" w:type="dxa"/>
            <w:vAlign w:val="bottom"/>
          </w:tcPr>
          <w:p>
            <w:pPr>
              <w:jc w:val="center"/>
              <w:spacing w:after="0" w:line="181" w:lineRule="exact"/>
              <w:rPr>
                <w:sz w:val="20"/>
                <w:szCs w:val="20"/>
                <w:color w:val="auto"/>
              </w:rPr>
            </w:pPr>
            <w:r>
              <w:rPr>
                <w:rFonts w:ascii="Calibri" w:cs="Calibri" w:eastAsia="Calibri" w:hAnsi="Calibri"/>
                <w:sz w:val="15"/>
                <w:szCs w:val="15"/>
                <w:color w:val="auto"/>
                <w:w w:val="96"/>
              </w:rPr>
              <w:t>22.1%</w:t>
            </w:r>
          </w:p>
        </w:tc>
        <w:tc>
          <w:tcPr>
            <w:tcW w:w="104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6"/>
              </w:rPr>
              <w:t>49.6%</w:t>
            </w:r>
          </w:p>
        </w:tc>
        <w:tc>
          <w:tcPr>
            <w:tcW w:w="10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6"/>
              </w:rPr>
              <w:t>44.3%</w:t>
            </w:r>
          </w:p>
        </w:tc>
        <w:tc>
          <w:tcPr>
            <w:tcW w:w="0" w:type="dxa"/>
            <w:vAlign w:val="bottom"/>
          </w:tcPr>
          <w:p>
            <w:pPr>
              <w:spacing w:after="0"/>
              <w:rPr>
                <w:sz w:val="1"/>
                <w:szCs w:val="1"/>
                <w:color w:val="auto"/>
              </w:rPr>
            </w:pPr>
          </w:p>
        </w:tc>
      </w:tr>
      <w:tr>
        <w:trPr>
          <w:trHeight w:val="182"/>
        </w:trPr>
        <w:tc>
          <w:tcPr>
            <w:tcW w:w="3040" w:type="dxa"/>
            <w:vAlign w:val="bottom"/>
            <w:tcBorders>
              <w:left w:val="single" w:sz="8" w:color="auto"/>
              <w:right w:val="single" w:sz="8" w:color="auto"/>
            </w:tcBorders>
          </w:tcPr>
          <w:p>
            <w:pPr>
              <w:jc w:val="center"/>
              <w:spacing w:after="0" w:line="181" w:lineRule="exact"/>
              <w:rPr>
                <w:sz w:val="20"/>
                <w:szCs w:val="20"/>
                <w:color w:val="auto"/>
              </w:rPr>
            </w:pPr>
            <w:r>
              <w:rPr>
                <w:rFonts w:ascii="Calibri" w:cs="Calibri" w:eastAsia="Calibri" w:hAnsi="Calibri"/>
                <w:sz w:val="15"/>
                <w:szCs w:val="15"/>
                <w:b w:val="1"/>
                <w:bCs w:val="1"/>
                <w:color w:val="auto"/>
                <w:w w:val="91"/>
              </w:rPr>
              <w:t>Var. YoY</w:t>
            </w:r>
          </w:p>
        </w:tc>
        <w:tc>
          <w:tcPr>
            <w:tcW w:w="110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w w:val="98"/>
              </w:rPr>
              <w:t>-380 bps</w:t>
            </w:r>
          </w:p>
        </w:tc>
        <w:tc>
          <w:tcPr>
            <w:tcW w:w="92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w w:val="98"/>
              </w:rPr>
              <w:t>30 bps</w:t>
            </w:r>
          </w:p>
        </w:tc>
        <w:tc>
          <w:tcPr>
            <w:tcW w:w="1040" w:type="dxa"/>
            <w:vAlign w:val="bottom"/>
          </w:tcPr>
          <w:p>
            <w:pPr>
              <w:jc w:val="center"/>
              <w:ind w:left="4"/>
              <w:spacing w:after="0" w:line="181" w:lineRule="exact"/>
              <w:rPr>
                <w:sz w:val="20"/>
                <w:szCs w:val="20"/>
                <w:color w:val="auto"/>
              </w:rPr>
            </w:pPr>
            <w:r>
              <w:rPr>
                <w:rFonts w:ascii="Calibri" w:cs="Calibri" w:eastAsia="Calibri" w:hAnsi="Calibri"/>
                <w:sz w:val="15"/>
                <w:szCs w:val="15"/>
                <w:b w:val="1"/>
                <w:bCs w:val="1"/>
                <w:color w:val="auto"/>
                <w:w w:val="99"/>
              </w:rPr>
              <w:t>110 bps</w:t>
            </w:r>
          </w:p>
        </w:tc>
        <w:tc>
          <w:tcPr>
            <w:tcW w:w="104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rPr>
              <w:t>1420 bps</w:t>
            </w:r>
          </w:p>
        </w:tc>
        <w:tc>
          <w:tcPr>
            <w:tcW w:w="96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w w:val="98"/>
              </w:rPr>
              <w:t>-990 bps</w:t>
            </w:r>
          </w:p>
        </w:tc>
        <w:tc>
          <w:tcPr>
            <w:tcW w:w="104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b w:val="1"/>
                <w:bCs w:val="1"/>
                <w:color w:val="auto"/>
                <w:w w:val="98"/>
              </w:rPr>
              <w:t>-490 bps</w:t>
            </w:r>
          </w:p>
        </w:tc>
        <w:tc>
          <w:tcPr>
            <w:tcW w:w="10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b w:val="1"/>
                <w:bCs w:val="1"/>
                <w:color w:val="auto"/>
                <w:w w:val="98"/>
              </w:rPr>
              <w:t>-290 bps</w:t>
            </w:r>
          </w:p>
        </w:tc>
        <w:tc>
          <w:tcPr>
            <w:tcW w:w="0" w:type="dxa"/>
            <w:vAlign w:val="bottom"/>
          </w:tcPr>
          <w:p>
            <w:pPr>
              <w:spacing w:after="0"/>
              <w:rPr>
                <w:sz w:val="1"/>
                <w:szCs w:val="1"/>
                <w:color w:val="auto"/>
              </w:rPr>
            </w:pPr>
          </w:p>
        </w:tc>
      </w:tr>
      <w:tr>
        <w:trPr>
          <w:trHeight w:val="23"/>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9" w:right="360"/>
        <w:spacing w:after="0" w:line="236" w:lineRule="auto"/>
        <w:rPr>
          <w:sz w:val="20"/>
          <w:szCs w:val="20"/>
          <w:color w:val="auto"/>
        </w:rPr>
      </w:pPr>
      <w:r>
        <w:rPr>
          <w:rFonts w:ascii="Calibri" w:cs="Calibri" w:eastAsia="Calibri" w:hAnsi="Calibri"/>
          <w:sz w:val="15"/>
          <w:szCs w:val="15"/>
          <w:b w:val="1"/>
          <w:bCs w:val="1"/>
          <w:color w:val="auto"/>
        </w:rPr>
        <w:t>To facilitate comparability as we transiton from IFRS 4 to IFRS 17, it is important to note that if IFRS 4 had been applicable in 1Q23, Credicorp’s efciency rato would have stood at 42.9%</w:t>
      </w:r>
    </w:p>
    <w:p>
      <w:pPr>
        <w:spacing w:after="0" w:line="207" w:lineRule="exact"/>
        <w:rPr>
          <w:sz w:val="20"/>
          <w:szCs w:val="20"/>
          <w:color w:val="auto"/>
        </w:rPr>
      </w:pPr>
    </w:p>
    <w:p>
      <w:pPr>
        <w:ind w:left="9" w:right="20"/>
        <w:spacing w:after="0" w:line="236" w:lineRule="auto"/>
        <w:rPr>
          <w:sz w:val="20"/>
          <w:szCs w:val="20"/>
          <w:color w:val="auto"/>
        </w:rPr>
      </w:pPr>
      <w:r>
        <w:rPr>
          <w:rFonts w:ascii="Calibri" w:cs="Calibri" w:eastAsia="Calibri" w:hAnsi="Calibri"/>
          <w:sz w:val="15"/>
          <w:szCs w:val="15"/>
          <w:b w:val="1"/>
          <w:bCs w:val="1"/>
          <w:color w:val="auto"/>
        </w:rPr>
        <w:t xml:space="preserve">YoY, </w:t>
      </w:r>
      <w:r>
        <w:rPr>
          <w:rFonts w:ascii="Calibri" w:cs="Calibri" w:eastAsia="Calibri" w:hAnsi="Calibri"/>
          <w:sz w:val="15"/>
          <w:szCs w:val="15"/>
          <w:color w:val="auto"/>
        </w:rPr>
        <w:t>the efciency rato improved. This evoluton was driven primarily by growth in core income at BCP Stand-alone. Within core income, growth in net interest income was partcularly</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noteworthy and refects disciplined pricing management in a context of rising interest rates.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31" w:right="319" w:bottom="1440" w:gutter="0" w:footer="0" w:header="0"/>
        </w:sectPr>
      </w:pPr>
    </w:p>
    <w:bookmarkStart w:id="43" w:name="page44"/>
    <w:bookmarkEnd w:id="43"/>
    <w:p>
      <w:pPr>
        <w:jc w:val="both"/>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10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2" w:lineRule="exact"/>
        <w:rPr>
          <w:sz w:val="20"/>
          <w:szCs w:val="20"/>
          <w:color w:val="auto"/>
        </w:rPr>
      </w:pPr>
    </w:p>
    <w:p>
      <w:pPr>
        <w:spacing w:after="0"/>
        <w:rPr>
          <w:sz w:val="20"/>
          <w:szCs w:val="20"/>
          <w:color w:val="auto"/>
        </w:rPr>
      </w:pPr>
      <w:r>
        <w:rPr>
          <w:rFonts w:ascii="Calibri" w:cs="Calibri" w:eastAsia="Calibri" w:hAnsi="Calibri"/>
          <w:sz w:val="44"/>
          <w:szCs w:val="44"/>
          <w:b w:val="1"/>
          <w:bCs w:val="1"/>
          <w:color w:val="E93CAC"/>
        </w:rPr>
        <w:t xml:space="preserve">10 </w:t>
      </w:r>
      <w:r>
        <w:rPr>
          <w:rFonts w:ascii="Calibri" w:cs="Calibri" w:eastAsia="Calibri" w:hAnsi="Calibri"/>
          <w:sz w:val="27"/>
          <w:szCs w:val="27"/>
          <w:b w:val="1"/>
          <w:bCs w:val="1"/>
          <w:color w:val="E93CAC"/>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53910" cy="5981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3910" cy="598170"/>
                    </a:xfrm>
                    <a:prstGeom prst="rect">
                      <a:avLst/>
                    </a:prstGeom>
                    <a:noFill/>
                  </pic:spPr>
                </pic:pic>
              </a:graphicData>
            </a:graphic>
          </wp:anchor>
        </w:drawing>
      </w:r>
    </w:p>
    <w:p>
      <w:pPr>
        <w:spacing w:after="0" w:line="224" w:lineRule="exact"/>
        <w:rPr>
          <w:sz w:val="20"/>
          <w:szCs w:val="20"/>
          <w:color w:val="auto"/>
        </w:rPr>
      </w:pPr>
    </w:p>
    <w:p>
      <w:pPr>
        <w:ind w:left="100"/>
        <w:spacing w:after="0"/>
        <w:rPr>
          <w:sz w:val="20"/>
          <w:szCs w:val="20"/>
          <w:color w:val="auto"/>
        </w:rPr>
      </w:pPr>
      <w:r>
        <w:rPr>
          <w:rFonts w:ascii="Calibri" w:cs="Calibri" w:eastAsia="Calibri" w:hAnsi="Calibri"/>
          <w:sz w:val="15"/>
          <w:szCs w:val="15"/>
          <w:color w:val="FFFFFF"/>
        </w:rPr>
        <w:t>Credicorp’s Regulatory Capital stood at 1.43 tmes the minimum level required by the regulatory entty.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-101600</wp:posOffset>
            </wp:positionV>
            <wp:extent cx="7082155" cy="547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82155" cy="547370"/>
                    </a:xfrm>
                    <a:prstGeom prst="rect">
                      <a:avLst/>
                    </a:prstGeom>
                    <a:noFill/>
                  </pic:spPr>
                </pic:pic>
              </a:graphicData>
            </a:graphic>
          </wp:anchor>
        </w:drawing>
      </w:r>
    </w:p>
    <w:p>
      <w:pPr>
        <w:spacing w:after="0" w:line="92" w:lineRule="exact"/>
        <w:rPr>
          <w:sz w:val="20"/>
          <w:szCs w:val="20"/>
          <w:color w:val="auto"/>
        </w:rPr>
      </w:pPr>
    </w:p>
    <w:p>
      <w:pPr>
        <w:ind w:left="100"/>
        <w:spacing w:after="0"/>
        <w:rPr>
          <w:sz w:val="20"/>
          <w:szCs w:val="20"/>
          <w:color w:val="auto"/>
        </w:rPr>
      </w:pPr>
      <w:r>
        <w:rPr>
          <w:rFonts w:ascii="Calibri" w:cs="Calibri" w:eastAsia="Calibri" w:hAnsi="Calibri"/>
          <w:sz w:val="15"/>
          <w:szCs w:val="15"/>
          <w:color w:val="FFFFFF"/>
        </w:rPr>
        <w:t>BCP Stand-alone’s CET1 rato increased 30 bps to 11.9% An uptck in the balance of Retained Earnings (+57.8%), and Share Capital and Legal Reserves (+1.7%) drove this dynamic.</w:t>
      </w:r>
    </w:p>
    <w:p>
      <w:pPr>
        <w:spacing w:after="0" w:line="123" w:lineRule="exact"/>
        <w:rPr>
          <w:sz w:val="20"/>
          <w:szCs w:val="20"/>
          <w:color w:val="auto"/>
        </w:rPr>
      </w:pPr>
    </w:p>
    <w:p>
      <w:pPr>
        <w:ind w:left="100"/>
        <w:spacing w:after="0"/>
        <w:rPr>
          <w:sz w:val="20"/>
          <w:szCs w:val="20"/>
          <w:color w:val="auto"/>
        </w:rPr>
      </w:pPr>
      <w:r>
        <w:rPr>
          <w:rFonts w:ascii="Calibri" w:cs="Calibri" w:eastAsia="Calibri" w:hAnsi="Calibri"/>
          <w:sz w:val="15"/>
          <w:szCs w:val="15"/>
          <w:color w:val="FFFFFF"/>
        </w:rPr>
        <w:t>Mibanco’s CET 1 rato rose 38 bps YoY to stand at 16.4%. Growth in levels for Capital and Reserves and Retained Earnings fueled this dynamic.</w:t>
      </w:r>
    </w:p>
    <w:p>
      <w:pPr>
        <w:sectPr>
          <w:pgSz w:w="11900" w:h="16838" w:orient="portrait"/>
          <w:cols w:equalWidth="0" w:num="1">
            <w:col w:w="11260"/>
          </w:cols>
          <w:pgMar w:left="320" w:top="331" w:right="319" w:bottom="1440" w:gutter="0" w:footer="0" w:header="0"/>
        </w:sectPr>
      </w:pPr>
    </w:p>
    <w:p>
      <w:pPr>
        <w:spacing w:after="0" w:line="286"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Credicorp’s Regulatory Capital Rato stood 1.43 tmes above the minimum level required by the regulatory entty at the end of 1Q23. In the QoQ analysis the rato rose 8 bps, afer a drop in loan volumes led to a subsequent decrease in the regulatory capital level.</w:t>
      </w:r>
    </w:p>
    <w:p>
      <w:pPr>
        <w:spacing w:after="0" w:line="206"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In the YoY analysis, the Regulatory Capital Rato fell 8 bps. This evoluton refected an uptck in the regulatory capital levels required for loan portolios at BCP Stand-alone and Mibanco, which was triggered by growth in loan volumes. The aforementoned increases were partally ofset by growth in the balance of Discretonary and Restricted Reserves.</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Calibri" w:cs="Calibri" w:eastAsia="Calibri" w:hAnsi="Calibri"/>
          <w:sz w:val="10"/>
          <w:szCs w:val="10"/>
          <w:color w:val="auto"/>
        </w:rPr>
        <w:t>Figures in millions S/.</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10.1 Credicorp’s 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133985</wp:posOffset>
            </wp:positionV>
            <wp:extent cx="2557780" cy="1793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57780" cy="1793875"/>
                    </a:xfrm>
                    <a:prstGeom prst="rect">
                      <a:avLst/>
                    </a:prstGeom>
                    <a:noFill/>
                  </pic:spPr>
                </pic:pic>
              </a:graphicData>
            </a:graphic>
          </wp:anchor>
        </w:drawing>
      </w:r>
    </w:p>
    <w:p>
      <w:pPr>
        <w:spacing w:after="0" w:line="1274" w:lineRule="exact"/>
        <w:rPr>
          <w:sz w:val="20"/>
          <w:szCs w:val="20"/>
          <w:color w:val="auto"/>
        </w:rPr>
      </w:pPr>
    </w:p>
    <w:p>
      <w:pPr>
        <w:sectPr>
          <w:pgSz w:w="11900" w:h="16838" w:orient="portrait"/>
          <w:cols w:equalWidth="0" w:num="2">
            <w:col w:w="5400" w:space="440"/>
            <w:col w:w="5420"/>
          </w:cols>
          <w:pgMar w:left="320" w:top="3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36" w:lineRule="auto"/>
        <w:rPr>
          <w:sz w:val="20"/>
          <w:szCs w:val="20"/>
          <w:color w:val="auto"/>
        </w:rPr>
      </w:pPr>
      <w:r>
        <w:rPr>
          <w:rFonts w:ascii="Calibri" w:cs="Calibri" w:eastAsia="Calibri" w:hAnsi="Calibri"/>
          <w:sz w:val="15"/>
          <w:szCs w:val="15"/>
          <w:color w:val="auto"/>
        </w:rPr>
        <w:t>In 2022, to further align local regulatons with the methodology and parameters of Basel III, the Superintendency of Banking, Insurance and AFP (SBS) issued a series of rulings that modifed the concepts and methodologies used to calculate regulatory capital and solvency ratos and reset minimum thresholds.</w:t>
      </w:r>
    </w:p>
    <w:p>
      <w:pPr>
        <w:spacing w:after="0" w:line="204" w:lineRule="exact"/>
        <w:rPr>
          <w:sz w:val="20"/>
          <w:szCs w:val="20"/>
          <w:color w:val="auto"/>
        </w:rPr>
      </w:pPr>
    </w:p>
    <w:p>
      <w:pPr>
        <w:spacing w:after="0"/>
        <w:rPr>
          <w:sz w:val="20"/>
          <w:szCs w:val="20"/>
          <w:color w:val="auto"/>
        </w:rPr>
      </w:pPr>
      <w:r>
        <w:rPr>
          <w:rFonts w:ascii="Calibri" w:cs="Calibri" w:eastAsia="Calibri" w:hAnsi="Calibri"/>
          <w:sz w:val="15"/>
          <w:szCs w:val="15"/>
          <w:color w:val="auto"/>
        </w:rPr>
        <w:t>Under this regulaton, the components that fnancial enttes must use to calculate efectve equity for each level are as follows:</w:t>
      </w:r>
    </w:p>
    <w:p>
      <w:pPr>
        <w:spacing w:after="0" w:line="184" w:lineRule="exact"/>
        <w:rPr>
          <w:sz w:val="20"/>
          <w:szCs w:val="20"/>
          <w:color w:val="auto"/>
        </w:rPr>
      </w:pPr>
    </w:p>
    <w:p>
      <w:pPr>
        <w:ind w:left="540" w:hanging="277"/>
        <w:spacing w:after="0" w:line="236" w:lineRule="auto"/>
        <w:tabs>
          <w:tab w:leader="none" w:pos="540" w:val="left"/>
        </w:tabs>
        <w:numPr>
          <w:ilvl w:val="0"/>
          <w:numId w:val="45"/>
        </w:numPr>
        <w:rPr>
          <w:rFonts w:ascii="Arial" w:cs="Arial" w:eastAsia="Arial" w:hAnsi="Arial"/>
          <w:sz w:val="15"/>
          <w:szCs w:val="15"/>
          <w:color w:val="auto"/>
        </w:rPr>
      </w:pPr>
      <w:r>
        <w:rPr>
          <w:rFonts w:ascii="Calibri" w:cs="Calibri" w:eastAsia="Calibri" w:hAnsi="Calibri"/>
          <w:sz w:val="15"/>
          <w:szCs w:val="15"/>
          <w:b w:val="1"/>
          <w:bCs w:val="1"/>
          <w:color w:val="auto"/>
        </w:rPr>
        <w:t>Common Equity Tier 1 (CET 1)</w:t>
      </w:r>
      <w:r>
        <w:rPr>
          <w:rFonts w:ascii="Calibri" w:cs="Calibri" w:eastAsia="Calibri" w:hAnsi="Calibri"/>
          <w:sz w:val="15"/>
          <w:szCs w:val="15"/>
          <w:color w:val="auto"/>
        </w:rPr>
        <w:t>: will include Share Capital + Reserves+ Earnings and Retained Earnings + Unrealized Gains and Losses – Investment in Subsidiaries – Goodwill and</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Intangibles.</w:t>
      </w:r>
    </w:p>
    <w:p>
      <w:pPr>
        <w:ind w:left="540" w:hanging="277"/>
        <w:spacing w:after="0" w:line="237" w:lineRule="auto"/>
        <w:tabs>
          <w:tab w:leader="none" w:pos="540" w:val="left"/>
        </w:tabs>
        <w:numPr>
          <w:ilvl w:val="0"/>
          <w:numId w:val="45"/>
        </w:numPr>
        <w:rPr>
          <w:rFonts w:ascii="Arial" w:cs="Arial" w:eastAsia="Arial" w:hAnsi="Arial"/>
          <w:sz w:val="15"/>
          <w:szCs w:val="15"/>
          <w:color w:val="auto"/>
        </w:rPr>
      </w:pPr>
      <w:r>
        <w:rPr>
          <w:rFonts w:ascii="Calibri" w:cs="Calibri" w:eastAsia="Calibri" w:hAnsi="Calibri"/>
          <w:sz w:val="15"/>
          <w:szCs w:val="15"/>
          <w:b w:val="1"/>
          <w:bCs w:val="1"/>
          <w:color w:val="auto"/>
        </w:rPr>
        <w:t xml:space="preserve">Tier 1 Capital (Tier 1): </w:t>
      </w:r>
      <w:r>
        <w:rPr>
          <w:rFonts w:ascii="Calibri" w:cs="Calibri" w:eastAsia="Calibri" w:hAnsi="Calibri"/>
          <w:sz w:val="15"/>
          <w:szCs w:val="15"/>
          <w:color w:val="auto"/>
        </w:rPr>
        <w:t>will include CET 1 + Tier 1 subordinated debt.</w:t>
      </w:r>
    </w:p>
    <w:p>
      <w:pPr>
        <w:spacing w:after="0" w:line="24" w:lineRule="exact"/>
        <w:rPr>
          <w:rFonts w:ascii="Arial" w:cs="Arial" w:eastAsia="Arial" w:hAnsi="Arial"/>
          <w:sz w:val="15"/>
          <w:szCs w:val="15"/>
          <w:color w:val="auto"/>
        </w:rPr>
      </w:pPr>
    </w:p>
    <w:p>
      <w:pPr>
        <w:ind w:left="540" w:hanging="277"/>
        <w:spacing w:after="0" w:line="207" w:lineRule="auto"/>
        <w:tabs>
          <w:tab w:leader="none" w:pos="540" w:val="left"/>
        </w:tabs>
        <w:numPr>
          <w:ilvl w:val="0"/>
          <w:numId w:val="45"/>
        </w:numPr>
        <w:rPr>
          <w:rFonts w:ascii="Arial" w:cs="Arial" w:eastAsia="Arial" w:hAnsi="Arial"/>
          <w:sz w:val="15"/>
          <w:szCs w:val="15"/>
          <w:color w:val="auto"/>
        </w:rPr>
      </w:pPr>
      <w:r>
        <w:rPr>
          <w:rFonts w:ascii="Calibri" w:cs="Calibri" w:eastAsia="Calibri" w:hAnsi="Calibri"/>
          <w:sz w:val="15"/>
          <w:szCs w:val="15"/>
          <w:b w:val="1"/>
          <w:bCs w:val="1"/>
          <w:color w:val="auto"/>
        </w:rPr>
        <w:t xml:space="preserve">Global Capital: </w:t>
      </w:r>
      <w:r>
        <w:rPr>
          <w:rFonts w:ascii="Calibri" w:cs="Calibri" w:eastAsia="Calibri" w:hAnsi="Calibri"/>
          <w:sz w:val="15"/>
          <w:szCs w:val="15"/>
          <w:color w:val="auto"/>
        </w:rPr>
        <w:t>will include Tier 1 + Tier 2 Subordinated Debt and generic provisions (up to 1.25% of Risk-weighted Assets).</w:t>
      </w:r>
    </w:p>
    <w:p>
      <w:pPr>
        <w:spacing w:after="0" w:line="180" w:lineRule="exact"/>
        <w:rPr>
          <w:sz w:val="20"/>
          <w:szCs w:val="20"/>
          <w:color w:val="auto"/>
        </w:rPr>
      </w:pPr>
    </w:p>
    <w:p>
      <w:pPr>
        <w:spacing w:after="0"/>
        <w:rPr>
          <w:sz w:val="20"/>
          <w:szCs w:val="20"/>
          <w:color w:val="auto"/>
        </w:rPr>
      </w:pPr>
      <w:r>
        <w:rPr>
          <w:rFonts w:ascii="Calibri" w:cs="Calibri" w:eastAsia="Calibri" w:hAnsi="Calibri"/>
          <w:sz w:val="15"/>
          <w:szCs w:val="15"/>
          <w:color w:val="auto"/>
        </w:rPr>
        <w:t>The changes required by SBS set new minimum limits of capital for each level:</w:t>
      </w:r>
    </w:p>
    <w:p>
      <w:pPr>
        <w:spacing w:after="0" w:line="191" w:lineRule="exact"/>
        <w:rPr>
          <w:sz w:val="20"/>
          <w:szCs w:val="20"/>
          <w:color w:val="auto"/>
        </w:rPr>
      </w:pPr>
    </w:p>
    <w:p>
      <w:pPr>
        <w:ind w:left="540" w:hanging="277"/>
        <w:spacing w:after="0"/>
        <w:tabs>
          <w:tab w:leader="none" w:pos="540" w:val="left"/>
        </w:tabs>
        <w:numPr>
          <w:ilvl w:val="0"/>
          <w:numId w:val="46"/>
        </w:numPr>
        <w:rPr>
          <w:rFonts w:ascii="Arial" w:cs="Arial" w:eastAsia="Arial" w:hAnsi="Arial"/>
          <w:sz w:val="15"/>
          <w:szCs w:val="15"/>
          <w:color w:val="auto"/>
        </w:rPr>
      </w:pPr>
      <w:r>
        <w:rPr>
          <w:rFonts w:ascii="Calibri" w:cs="Calibri" w:eastAsia="Calibri" w:hAnsi="Calibri"/>
          <w:sz w:val="15"/>
          <w:szCs w:val="15"/>
          <w:b w:val="1"/>
          <w:bCs w:val="1"/>
          <w:color w:val="auto"/>
        </w:rPr>
        <w:t xml:space="preserve">CET 1: </w:t>
      </w:r>
      <w:r>
        <w:rPr>
          <w:rFonts w:ascii="Calibri" w:cs="Calibri" w:eastAsia="Calibri" w:hAnsi="Calibri"/>
          <w:sz w:val="15"/>
          <w:szCs w:val="15"/>
          <w:color w:val="auto"/>
        </w:rPr>
        <w:t>minimum of 4.5% of Risk-weighted Assets (RWAs).</w:t>
      </w:r>
    </w:p>
    <w:p>
      <w:pPr>
        <w:spacing w:after="0" w:line="12" w:lineRule="exact"/>
        <w:rPr>
          <w:rFonts w:ascii="Arial" w:cs="Arial" w:eastAsia="Arial" w:hAnsi="Arial"/>
          <w:sz w:val="15"/>
          <w:szCs w:val="15"/>
          <w:color w:val="auto"/>
        </w:rPr>
      </w:pPr>
    </w:p>
    <w:p>
      <w:pPr>
        <w:ind w:left="540" w:hanging="277"/>
        <w:spacing w:after="0" w:line="237" w:lineRule="auto"/>
        <w:tabs>
          <w:tab w:leader="none" w:pos="540" w:val="left"/>
        </w:tabs>
        <w:numPr>
          <w:ilvl w:val="0"/>
          <w:numId w:val="46"/>
        </w:numPr>
        <w:rPr>
          <w:rFonts w:ascii="Arial" w:cs="Arial" w:eastAsia="Arial" w:hAnsi="Arial"/>
          <w:sz w:val="15"/>
          <w:szCs w:val="15"/>
          <w:color w:val="auto"/>
        </w:rPr>
      </w:pPr>
      <w:r>
        <w:rPr>
          <w:rFonts w:ascii="Calibri" w:cs="Calibri" w:eastAsia="Calibri" w:hAnsi="Calibri"/>
          <w:sz w:val="15"/>
          <w:szCs w:val="15"/>
          <w:b w:val="1"/>
          <w:bCs w:val="1"/>
          <w:color w:val="auto"/>
        </w:rPr>
        <w:t xml:space="preserve">Tier 1: </w:t>
      </w:r>
      <w:r>
        <w:rPr>
          <w:rFonts w:ascii="Calibri" w:cs="Calibri" w:eastAsia="Calibri" w:hAnsi="Calibri"/>
          <w:sz w:val="15"/>
          <w:szCs w:val="15"/>
          <w:color w:val="auto"/>
        </w:rPr>
        <w:t>minimum of 6.0% de RWAs.</w:t>
      </w:r>
    </w:p>
    <w:p>
      <w:pPr>
        <w:spacing w:after="0" w:line="23" w:lineRule="exact"/>
        <w:rPr>
          <w:rFonts w:ascii="Arial" w:cs="Arial" w:eastAsia="Arial" w:hAnsi="Arial"/>
          <w:sz w:val="15"/>
          <w:szCs w:val="15"/>
          <w:color w:val="auto"/>
        </w:rPr>
      </w:pPr>
    </w:p>
    <w:p>
      <w:pPr>
        <w:ind w:left="540" w:hanging="277"/>
        <w:spacing w:after="0" w:line="207" w:lineRule="auto"/>
        <w:tabs>
          <w:tab w:leader="none" w:pos="540" w:val="left"/>
        </w:tabs>
        <w:numPr>
          <w:ilvl w:val="0"/>
          <w:numId w:val="46"/>
        </w:numPr>
        <w:rPr>
          <w:rFonts w:ascii="Arial" w:cs="Arial" w:eastAsia="Arial" w:hAnsi="Arial"/>
          <w:sz w:val="15"/>
          <w:szCs w:val="15"/>
          <w:color w:val="auto"/>
        </w:rPr>
      </w:pPr>
      <w:r>
        <w:rPr>
          <w:rFonts w:ascii="Calibri" w:cs="Calibri" w:eastAsia="Calibri" w:hAnsi="Calibri"/>
          <w:sz w:val="15"/>
          <w:szCs w:val="15"/>
          <w:b w:val="1"/>
          <w:bCs w:val="1"/>
          <w:color w:val="auto"/>
        </w:rPr>
        <w:t xml:space="preserve">Global Capital: </w:t>
      </w:r>
      <w:r>
        <w:rPr>
          <w:rFonts w:ascii="Calibri" w:cs="Calibri" w:eastAsia="Calibri" w:hAnsi="Calibri"/>
          <w:sz w:val="15"/>
          <w:szCs w:val="15"/>
          <w:color w:val="auto"/>
        </w:rPr>
        <w:t>minimum of 10.0% of RWAs (2 percentage points above that required by Basel III)</w:t>
      </w:r>
    </w:p>
    <w:p>
      <w:pPr>
        <w:spacing w:after="0" w:line="207" w:lineRule="exact"/>
        <w:rPr>
          <w:sz w:val="20"/>
          <w:szCs w:val="20"/>
          <w:color w:val="auto"/>
        </w:rPr>
      </w:pPr>
    </w:p>
    <w:p>
      <w:pPr>
        <w:spacing w:after="0" w:line="236" w:lineRule="auto"/>
        <w:rPr>
          <w:sz w:val="20"/>
          <w:szCs w:val="20"/>
          <w:color w:val="auto"/>
        </w:rPr>
      </w:pPr>
      <w:r>
        <w:rPr>
          <w:rFonts w:ascii="Calibri" w:cs="Calibri" w:eastAsia="Calibri" w:hAnsi="Calibri"/>
          <w:sz w:val="15"/>
          <w:szCs w:val="15"/>
          <w:color w:val="auto"/>
        </w:rPr>
        <w:t>Additonally, the regulaton requires the following bufers: 2.5% of maintenance capital + 2% capital for risk of market concentraton risk or systemic risk + 1.5% for economic cycle when the monthly GDP has grown more than 4% in the last 30 months. All of these aspects must be covered by CET 1.</w:t>
      </w:r>
    </w:p>
    <w:p>
      <w:pPr>
        <w:spacing w:after="0" w:line="181" w:lineRule="exact"/>
        <w:rPr>
          <w:sz w:val="20"/>
          <w:szCs w:val="20"/>
          <w:color w:val="auto"/>
        </w:rPr>
      </w:pPr>
    </w:p>
    <w:p>
      <w:pPr>
        <w:spacing w:after="0"/>
        <w:rPr>
          <w:sz w:val="20"/>
          <w:szCs w:val="20"/>
          <w:color w:val="auto"/>
        </w:rPr>
      </w:pPr>
      <w:r>
        <w:rPr>
          <w:rFonts w:ascii="Calibri" w:cs="Calibri" w:eastAsia="Calibri" w:hAnsi="Calibri"/>
          <w:sz w:val="15"/>
          <w:szCs w:val="15"/>
          <w:color w:val="auto"/>
        </w:rPr>
        <w:t>It is important to note that compliance of the aforementoned limits will be gradual with a fnal efectve date set for 2026.</w:t>
      </w:r>
    </w:p>
    <w:p>
      <w:pPr>
        <w:spacing w:after="0" w:line="341"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type w:val="continuous"/>
        </w:sectPr>
      </w:pPr>
    </w:p>
    <w:bookmarkStart w:id="44" w:name="page45"/>
    <w:bookmarkEnd w:id="44"/>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10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153910" cy="2305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10. Regulatory Capital</w:t>
      </w:r>
    </w:p>
    <w:p>
      <w:pPr>
        <w:spacing w:after="0" w:line="274"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10.2 Analysis of Capital at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92710</wp:posOffset>
            </wp:positionV>
            <wp:extent cx="2802890" cy="19596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02890" cy="1959610"/>
                    </a:xfrm>
                    <a:prstGeom prst="rect">
                      <a:avLst/>
                    </a:prstGeom>
                    <a:noFill/>
                  </pic:spPr>
                </pic:pic>
              </a:graphicData>
            </a:graphic>
          </wp:anchor>
        </w:drawing>
      </w:r>
    </w:p>
    <w:p>
      <w:pPr>
        <w:spacing w:after="0" w:line="164" w:lineRule="exact"/>
        <w:rPr>
          <w:sz w:val="20"/>
          <w:szCs w:val="20"/>
          <w:color w:val="auto"/>
        </w:rPr>
      </w:pPr>
    </w:p>
    <w:p>
      <w:pPr>
        <w:jc w:val="both"/>
        <w:ind w:left="5849"/>
        <w:spacing w:after="0" w:line="237" w:lineRule="auto"/>
        <w:rPr>
          <w:sz w:val="20"/>
          <w:szCs w:val="20"/>
          <w:color w:val="auto"/>
        </w:rPr>
      </w:pPr>
      <w:r>
        <w:rPr>
          <w:rFonts w:ascii="Calibri" w:cs="Calibri" w:eastAsia="Calibri" w:hAnsi="Calibri"/>
          <w:sz w:val="15"/>
          <w:szCs w:val="15"/>
          <w:color w:val="auto"/>
        </w:rPr>
        <w:t>At the end of 1Q23, and based on the parameters of the former regulaton, the Regulatory Tier 1 Rato and Regulatory Global Capital Rato for BCP Stand-alone stood at 10.7% (+72 bps QoQ) and 14.9% (+50 bps QoQ) respectvely. These slight increases were primarily driven by an increase in the balances for Share Capital and Legal Reserves, which rose due to earnings capitalizaton in 2022. The uptck in these ratos was also impacted, albeit to a lesser extent, by a drop in loan balances for RWAs. In the YoY analysis, the Regulatory Tier 1 Rato registered no variaton.</w:t>
      </w:r>
    </w:p>
    <w:p>
      <w:pPr>
        <w:spacing w:after="0" w:line="187" w:lineRule="exact"/>
        <w:rPr>
          <w:sz w:val="20"/>
          <w:szCs w:val="20"/>
          <w:color w:val="auto"/>
        </w:rPr>
      </w:pPr>
    </w:p>
    <w:p>
      <w:pPr>
        <w:jc w:val="both"/>
        <w:ind w:left="5849"/>
        <w:spacing w:after="0" w:line="237" w:lineRule="auto"/>
        <w:rPr>
          <w:sz w:val="20"/>
          <w:szCs w:val="20"/>
          <w:color w:val="auto"/>
        </w:rPr>
      </w:pPr>
      <w:r>
        <w:rPr>
          <w:rFonts w:ascii="Calibri" w:cs="Calibri" w:eastAsia="Calibri" w:hAnsi="Calibri"/>
          <w:sz w:val="15"/>
          <w:szCs w:val="15"/>
          <w:color w:val="auto"/>
        </w:rPr>
        <w:t>At the end of 1Q23, and based on the new regulaton, the Regulatory Tier 1 Capital Rato and the Regulatory Global Capital Rato stood at 11.9% and 16.5% respectvely. Both ratos stand above the regulatory minimum.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9"/>
        <w:spacing w:after="0" w:line="193" w:lineRule="auto"/>
        <w:rPr>
          <w:sz w:val="20"/>
          <w:szCs w:val="20"/>
          <w:color w:val="auto"/>
        </w:rPr>
      </w:pPr>
      <w:r>
        <w:rPr>
          <w:rFonts w:ascii="Calibri" w:cs="Calibri" w:eastAsia="Calibri" w:hAnsi="Calibri"/>
          <w:sz w:val="15"/>
          <w:szCs w:val="15"/>
          <w:color w:val="auto"/>
        </w:rPr>
        <w:t>The Common Equity Tier 1 (CET 1)</w:t>
      </w:r>
      <w:r>
        <w:rPr>
          <w:rFonts w:ascii="Calibri" w:cs="Calibri" w:eastAsia="Calibri" w:hAnsi="Calibri"/>
          <w:sz w:val="25"/>
          <w:szCs w:val="25"/>
          <w:color w:val="auto"/>
          <w:vertAlign w:val="superscript"/>
        </w:rPr>
        <w:t>1</w:t>
      </w:r>
      <w:r>
        <w:rPr>
          <w:rFonts w:ascii="Calibri" w:cs="Calibri" w:eastAsia="Calibri" w:hAnsi="Calibri"/>
          <w:sz w:val="15"/>
          <w:szCs w:val="15"/>
          <w:color w:val="auto"/>
        </w:rPr>
        <w:t xml:space="preserve"> rato at BCP registered a decrease of 66 bps QoQ and stood at 11.9% at the end of 1Q23. This drop was triggered by dividend declaraton, which reduced the balance of Retained Earnings. The reducton in RWA levels, driven by a decrease in the loan volume, partally ofset the decrease in this rato. Finally, in the YoY analysis, the CET 1 rato rose 30 bps, fueled by (i) an uptck in Retained Earnings and (ii) higher levels of Share Capital and Legal Reserves.</w:t>
      </w:r>
    </w:p>
    <w:p>
      <w:pPr>
        <w:spacing w:after="0" w:line="205"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10.3 Analysis of Capital at Mibanco</w:t>
      </w:r>
    </w:p>
    <w:p>
      <w:pPr>
        <w:spacing w:after="0" w:line="184" w:lineRule="exact"/>
        <w:rPr>
          <w:sz w:val="20"/>
          <w:szCs w:val="20"/>
          <w:color w:val="auto"/>
        </w:rPr>
      </w:pPr>
    </w:p>
    <w:p>
      <w:pPr>
        <w:jc w:val="both"/>
        <w:ind w:left="5849"/>
        <w:spacing w:after="0" w:line="237" w:lineRule="auto"/>
        <w:rPr>
          <w:sz w:val="20"/>
          <w:szCs w:val="20"/>
          <w:color w:val="auto"/>
        </w:rPr>
      </w:pPr>
      <w:r>
        <w:rPr>
          <w:rFonts w:ascii="Calibri" w:cs="Calibri" w:eastAsia="Calibri" w:hAnsi="Calibri"/>
          <w:sz w:val="15"/>
          <w:szCs w:val="15"/>
          <w:color w:val="auto"/>
        </w:rPr>
        <w:t>At the end of 1Q23, based on calculatons under the previous regulaton, Tier 1 and Regulatory Global Capital ratos at Mibanco stood at 12.48% (+10 bps QoQ) and 14.79% (+10 bps QoQ), respectvely. These variatons refect the increase in Retained Earnings and an uptck in balances of Reserves. The YoY evoluton registered a reducton of 76 bps and 82 bps in the Regulatory Tier 1 and Regulatory Global Capital ratos respectvely. Both variatons were driven by growth in RWAs, which was associated with loan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-662305</wp:posOffset>
            </wp:positionV>
            <wp:extent cx="2759075" cy="20459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59075" cy="2045970"/>
                    </a:xfrm>
                    <a:prstGeom prst="rect">
                      <a:avLst/>
                    </a:prstGeom>
                    <a:noFill/>
                  </pic:spPr>
                </pic:pic>
              </a:graphicData>
            </a:graphic>
          </wp:anchor>
        </w:drawing>
      </w:r>
    </w:p>
    <w:p>
      <w:pPr>
        <w:spacing w:after="0" w:line="166" w:lineRule="exact"/>
        <w:rPr>
          <w:sz w:val="20"/>
          <w:szCs w:val="20"/>
          <w:color w:val="auto"/>
        </w:rPr>
      </w:pPr>
    </w:p>
    <w:p>
      <w:pPr>
        <w:jc w:val="both"/>
        <w:ind w:left="5849"/>
        <w:spacing w:after="0" w:line="237" w:lineRule="auto"/>
        <w:rPr>
          <w:sz w:val="20"/>
          <w:szCs w:val="20"/>
          <w:color w:val="auto"/>
        </w:rPr>
      </w:pPr>
      <w:r>
        <w:rPr>
          <w:rFonts w:ascii="Calibri" w:cs="Calibri" w:eastAsia="Calibri" w:hAnsi="Calibri"/>
          <w:sz w:val="15"/>
          <w:szCs w:val="15"/>
          <w:color w:val="auto"/>
        </w:rPr>
        <w:t>At the end of 1Q23, based on the parameters of the new regulaton, the Regulatory Tier 1 Rato and the Regulatory Global Capital Rato for Mibanco stood at 16.40% and 18.76% respectvely. Both are above the regulatory minimum.</w:t>
      </w:r>
    </w:p>
    <w:p>
      <w:pPr>
        <w:spacing w:after="0" w:line="206" w:lineRule="exact"/>
        <w:rPr>
          <w:sz w:val="20"/>
          <w:szCs w:val="20"/>
          <w:color w:val="auto"/>
        </w:rPr>
      </w:pPr>
    </w:p>
    <w:p>
      <w:pPr>
        <w:jc w:val="both"/>
        <w:ind w:left="5849"/>
        <w:spacing w:after="0" w:line="237" w:lineRule="auto"/>
        <w:rPr>
          <w:sz w:val="20"/>
          <w:szCs w:val="20"/>
          <w:color w:val="auto"/>
        </w:rPr>
      </w:pPr>
      <w:r>
        <w:rPr>
          <w:rFonts w:ascii="Calibri" w:cs="Calibri" w:eastAsia="Calibri" w:hAnsi="Calibri"/>
          <w:sz w:val="15"/>
          <w:szCs w:val="15"/>
          <w:color w:val="auto"/>
        </w:rPr>
        <w:t>Finally, the CET1 Rato fell 8 bps QoQ due to an increase in RWAS. Growth in the later was atributable to a deterioraton in the portolio’s credit risk profle, which refected the negatve impacts of an adverse economic environment in the wake of protests in the south and rains in the north. YoY, this rato rose 38 bps due to growth in levels of Capital, Reserves and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446405</wp:posOffset>
            </wp:positionV>
            <wp:extent cx="1433830" cy="146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3383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9" w:hanging="69"/>
        <w:spacing w:after="0"/>
        <w:tabs>
          <w:tab w:leader="none" w:pos="69" w:val="left"/>
        </w:tabs>
        <w:numPr>
          <w:ilvl w:val="0"/>
          <w:numId w:val="47"/>
        </w:numPr>
        <w:rPr>
          <w:rFonts w:ascii="Calibri" w:cs="Calibri" w:eastAsia="Calibri" w:hAnsi="Calibri"/>
          <w:sz w:val="8"/>
          <w:szCs w:val="8"/>
          <w:color w:val="auto"/>
        </w:rPr>
      </w:pPr>
      <w:r>
        <w:rPr>
          <w:rFonts w:ascii="Calibri" w:cs="Calibri" w:eastAsia="Calibri" w:hAnsi="Calibri"/>
          <w:sz w:val="10"/>
          <w:szCs w:val="10"/>
          <w:color w:val="auto"/>
        </w:rPr>
        <w:t>CET 1, unlike the other capital ratos, is calculated in accordance with IFRS.</w:t>
      </w:r>
    </w:p>
    <w:p>
      <w:pPr>
        <w:spacing w:after="0" w:line="240"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31" w:right="319" w:bottom="1440" w:gutter="0" w:footer="0" w:header="0"/>
        </w:sectPr>
      </w:pPr>
    </w:p>
    <w:bookmarkStart w:id="45" w:name="page46"/>
    <w:bookmarkEnd w:id="45"/>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10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0" w:lineRule="exact"/>
        <w:rPr>
          <w:sz w:val="20"/>
          <w:szCs w:val="20"/>
          <w:color w:val="auto"/>
        </w:rPr>
      </w:pPr>
    </w:p>
    <w:p>
      <w:pPr>
        <w:spacing w:after="0" w:line="206" w:lineRule="exact"/>
        <w:rPr>
          <w:sz w:val="20"/>
          <w:szCs w:val="20"/>
          <w:color w:val="auto"/>
        </w:rPr>
      </w:pPr>
    </w:p>
    <w:p>
      <w:pPr>
        <w:ind w:left="9"/>
        <w:spacing w:after="0"/>
        <w:rPr>
          <w:sz w:val="20"/>
          <w:szCs w:val="20"/>
          <w:color w:val="auto"/>
        </w:rPr>
      </w:pPr>
      <w:r>
        <w:rPr>
          <w:rFonts w:ascii="Calibri" w:cs="Calibri" w:eastAsia="Calibri" w:hAnsi="Calibri"/>
          <w:sz w:val="44"/>
          <w:szCs w:val="44"/>
          <w:b w:val="1"/>
          <w:bCs w:val="1"/>
          <w:color w:val="E93CAC"/>
        </w:rPr>
        <w:t xml:space="preserve">11 </w:t>
      </w:r>
      <w:r>
        <w:rPr>
          <w:rFonts w:ascii="Calibri" w:cs="Calibri" w:eastAsia="Calibri" w:hAnsi="Calibri"/>
          <w:sz w:val="27"/>
          <w:szCs w:val="27"/>
          <w:b w:val="1"/>
          <w:bCs w:val="1"/>
          <w:color w:val="E93CAC"/>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153910" cy="7924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3910" cy="792480"/>
                    </a:xfrm>
                    <a:prstGeom prst="rect">
                      <a:avLst/>
                    </a:prstGeom>
                    <a:noFill/>
                  </pic:spPr>
                </pic:pic>
              </a:graphicData>
            </a:graphic>
          </wp:anchor>
        </w:drawing>
      </w:r>
    </w:p>
    <w:p>
      <w:pPr>
        <w:spacing w:after="0" w:line="228" w:lineRule="exact"/>
        <w:rPr>
          <w:sz w:val="20"/>
          <w:szCs w:val="20"/>
          <w:color w:val="auto"/>
        </w:rPr>
      </w:pPr>
    </w:p>
    <w:p>
      <w:pPr>
        <w:jc w:val="both"/>
        <w:ind w:left="109" w:right="100"/>
        <w:spacing w:after="0" w:line="237" w:lineRule="auto"/>
        <w:rPr>
          <w:sz w:val="20"/>
          <w:szCs w:val="20"/>
          <w:color w:val="auto"/>
        </w:rPr>
      </w:pPr>
      <w:r>
        <w:rPr>
          <w:rFonts w:ascii="Calibri" w:cs="Calibri" w:eastAsia="Calibri" w:hAnsi="Calibri"/>
          <w:sz w:val="15"/>
          <w:szCs w:val="15"/>
          <w:color w:val="FFFFFF"/>
        </w:rPr>
        <w:t>In 1Q23, the Peruvian economy is estmated to have contracted slightly by around 0.4% YoY (compared to 1.7% YoY in 4Q22), afected by social protests in January and February and intense rains and foods caused by Cyclone Yaku in March. These factors exacerbated the slowdown that was already being observed in non-primary sectors, with private consumpton contnuing to lose momentum and private investment deterioratng.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-332105</wp:posOffset>
            </wp:positionV>
            <wp:extent cx="7082155" cy="7423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82155" cy="742315"/>
                    </a:xfrm>
                    <a:prstGeom prst="rect">
                      <a:avLst/>
                    </a:prstGeom>
                    <a:noFill/>
                  </pic:spPr>
                </pic:pic>
              </a:graphicData>
            </a:graphic>
          </wp:anchor>
        </w:drawing>
      </w:r>
    </w:p>
    <w:p>
      <w:pPr>
        <w:ind w:left="109"/>
        <w:spacing w:after="0" w:line="237" w:lineRule="auto"/>
        <w:rPr>
          <w:sz w:val="20"/>
          <w:szCs w:val="20"/>
          <w:color w:val="auto"/>
        </w:rPr>
      </w:pPr>
      <w:r>
        <w:rPr>
          <w:rFonts w:ascii="Calibri" w:cs="Calibri" w:eastAsia="Calibri" w:hAnsi="Calibri"/>
          <w:sz w:val="15"/>
          <w:szCs w:val="15"/>
          <w:color w:val="FFFFFF"/>
        </w:rPr>
        <w:t>The annual infaton rate closed the year at 8.4% YoY, remaining close to its 26-year high (8.8% in 2Q22). On the other hand, real GDP is estmated to grow by 1.8% this year.</w:t>
      </w:r>
    </w:p>
    <w:p>
      <w:pPr>
        <w:spacing w:after="0" w:line="3" w:lineRule="exact"/>
        <w:rPr>
          <w:sz w:val="20"/>
          <w:szCs w:val="20"/>
          <w:color w:val="auto"/>
        </w:rPr>
      </w:pPr>
    </w:p>
    <w:p>
      <w:pPr>
        <w:jc w:val="both"/>
        <w:ind w:left="109" w:right="120"/>
        <w:spacing w:after="0" w:line="236" w:lineRule="auto"/>
        <w:rPr>
          <w:sz w:val="20"/>
          <w:szCs w:val="20"/>
          <w:color w:val="auto"/>
        </w:rPr>
      </w:pPr>
      <w:r>
        <w:rPr>
          <w:rFonts w:ascii="Calibri" w:cs="Calibri" w:eastAsia="Calibri" w:hAnsi="Calibri"/>
          <w:sz w:val="15"/>
          <w:szCs w:val="15"/>
          <w:color w:val="FFFFFF"/>
        </w:rPr>
        <w:t>According to the Central Reserve Bank of Peru (BCRP), the exchange rate closed at USDPEN 3.7617 in 1Q23, representng an appreciaton of 1.3% compared to the end of 4Q22 and a depreciaton of 1.9% compared to a year ago.</w:t>
      </w: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83"/>
        </w:trPr>
        <w:tc>
          <w:tcPr>
            <w:tcW w:w="4480" w:type="dxa"/>
            <w:vAlign w:val="bottom"/>
          </w:tcPr>
          <w:p>
            <w:pPr>
              <w:spacing w:after="0"/>
              <w:rPr>
                <w:sz w:val="20"/>
                <w:szCs w:val="20"/>
                <w:color w:val="auto"/>
              </w:rPr>
            </w:pPr>
            <w:r>
              <w:rPr>
                <w:rFonts w:ascii="Calibri" w:cs="Calibri" w:eastAsia="Calibri" w:hAnsi="Calibri"/>
                <w:sz w:val="15"/>
                <w:szCs w:val="15"/>
                <w:b w:val="1"/>
                <w:bCs w:val="1"/>
                <w:color w:val="auto"/>
              </w:rPr>
              <w:t>Peru: Economic Forecast</w:t>
            </w: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2"/>
        </w:trPr>
        <w:tc>
          <w:tcPr>
            <w:tcW w:w="4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4480" w:type="dxa"/>
            <w:vAlign w:val="bottom"/>
            <w:tcBorders>
              <w:bottom w:val="single" w:sz="8" w:color="2AD2C9"/>
            </w:tcBorders>
            <w:shd w:val="clear" w:color="auto" w:fill="2AD2C9"/>
          </w:tcPr>
          <w:p>
            <w:pPr>
              <w:ind w:left="2100"/>
              <w:spacing w:after="0" w:line="180" w:lineRule="exact"/>
              <w:rPr>
                <w:sz w:val="20"/>
                <w:szCs w:val="20"/>
                <w:color w:val="auto"/>
              </w:rPr>
            </w:pPr>
            <w:r>
              <w:rPr>
                <w:rFonts w:ascii="Calibri" w:cs="Calibri" w:eastAsia="Calibri" w:hAnsi="Calibri"/>
                <w:sz w:val="15"/>
                <w:szCs w:val="15"/>
                <w:b w:val="1"/>
                <w:bCs w:val="1"/>
                <w:color w:val="FFFFFF"/>
              </w:rPr>
              <w:t>Peru</w:t>
            </w:r>
          </w:p>
        </w:tc>
        <w:tc>
          <w:tcPr>
            <w:tcW w:w="1180" w:type="dxa"/>
            <w:vAlign w:val="bottom"/>
            <w:tcBorders>
              <w:bottom w:val="single" w:sz="8" w:color="2AD2C9"/>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8"/>
              </w:rPr>
              <w:t>2018</w:t>
            </w:r>
          </w:p>
        </w:tc>
        <w:tc>
          <w:tcPr>
            <w:tcW w:w="1140" w:type="dxa"/>
            <w:vAlign w:val="bottom"/>
            <w:tcBorders>
              <w:bottom w:val="single" w:sz="8" w:color="2AD2C9"/>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8"/>
              </w:rPr>
              <w:t>2019</w:t>
            </w:r>
          </w:p>
        </w:tc>
        <w:tc>
          <w:tcPr>
            <w:tcW w:w="1140" w:type="dxa"/>
            <w:vAlign w:val="bottom"/>
            <w:tcBorders>
              <w:bottom w:val="single" w:sz="8" w:color="2AD2C9"/>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8"/>
              </w:rPr>
              <w:t>2020</w:t>
            </w:r>
          </w:p>
        </w:tc>
        <w:tc>
          <w:tcPr>
            <w:tcW w:w="1160" w:type="dxa"/>
            <w:vAlign w:val="bottom"/>
            <w:tcBorders>
              <w:bottom w:val="single" w:sz="8" w:color="2AD2C9"/>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8"/>
              </w:rPr>
              <w:t>2021</w:t>
            </w:r>
          </w:p>
        </w:tc>
        <w:tc>
          <w:tcPr>
            <w:tcW w:w="1140" w:type="dxa"/>
            <w:vAlign w:val="bottom"/>
            <w:tcBorders>
              <w:bottom w:val="single" w:sz="8" w:color="2AD2C9"/>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8"/>
              </w:rPr>
              <w:t>2022</w:t>
            </w:r>
          </w:p>
        </w:tc>
        <w:tc>
          <w:tcPr>
            <w:tcW w:w="1000" w:type="dxa"/>
            <w:vAlign w:val="bottom"/>
            <w:tcBorders>
              <w:bottom w:val="single" w:sz="8" w:color="2AD2C9"/>
            </w:tcBorders>
            <w:shd w:val="clear" w:color="auto" w:fill="2AD2C9"/>
          </w:tcPr>
          <w:p>
            <w:pPr>
              <w:jc w:val="center"/>
              <w:spacing w:after="0" w:line="181" w:lineRule="exact"/>
              <w:rPr>
                <w:sz w:val="20"/>
                <w:szCs w:val="20"/>
                <w:color w:val="auto"/>
              </w:rPr>
            </w:pPr>
            <w:r>
              <w:rPr>
                <w:rFonts w:ascii="Calibri" w:cs="Calibri" w:eastAsia="Calibri" w:hAnsi="Calibri"/>
                <w:sz w:val="12"/>
                <w:szCs w:val="12"/>
                <w:b w:val="1"/>
                <w:bCs w:val="1"/>
                <w:color w:val="FFFFFF"/>
              </w:rPr>
              <w:t xml:space="preserve">2023 </w:t>
            </w:r>
            <w:r>
              <w:rPr>
                <w:rFonts w:ascii="Calibri" w:cs="Calibri" w:eastAsia="Calibri" w:hAnsi="Calibri"/>
                <w:sz w:val="19"/>
                <w:szCs w:val="19"/>
                <w:b w:val="1"/>
                <w:bCs w:val="1"/>
                <w:color w:val="FFFFFF"/>
                <w:vertAlign w:val="superscript"/>
              </w:rPr>
              <w:t>(3)</w:t>
            </w:r>
          </w:p>
        </w:tc>
        <w:tc>
          <w:tcPr>
            <w:tcW w:w="20" w:type="dxa"/>
            <w:vAlign w:val="bottom"/>
            <w:tcBorders>
              <w:bottom w:val="single" w:sz="8" w:color="2AD2C9"/>
            </w:tcBorders>
          </w:tcPr>
          <w:p>
            <w:pPr>
              <w:spacing w:after="0"/>
              <w:rPr>
                <w:sz w:val="17"/>
                <w:szCs w:val="17"/>
                <w:color w:val="auto"/>
              </w:rPr>
            </w:pPr>
          </w:p>
        </w:tc>
      </w:tr>
      <w:tr>
        <w:trPr>
          <w:trHeight w:val="146"/>
        </w:trPr>
        <w:tc>
          <w:tcPr>
            <w:tcW w:w="4480" w:type="dxa"/>
            <w:vAlign w:val="bottom"/>
          </w:tcPr>
          <w:p>
            <w:pPr>
              <w:spacing w:after="0" w:line="145" w:lineRule="exact"/>
              <w:rPr>
                <w:sz w:val="20"/>
                <w:szCs w:val="20"/>
                <w:color w:val="auto"/>
              </w:rPr>
            </w:pPr>
            <w:r>
              <w:rPr>
                <w:rFonts w:ascii="Calibri" w:cs="Calibri" w:eastAsia="Calibri" w:hAnsi="Calibri"/>
                <w:sz w:val="15"/>
                <w:szCs w:val="15"/>
                <w:color w:val="auto"/>
              </w:rPr>
              <w:t>GDP (US$ Millions)</w:t>
            </w:r>
          </w:p>
        </w:tc>
        <w:tc>
          <w:tcPr>
            <w:tcW w:w="1180" w:type="dxa"/>
            <w:vAlign w:val="bottom"/>
          </w:tcPr>
          <w:p>
            <w:pPr>
              <w:jc w:val="center"/>
              <w:spacing w:after="0" w:line="145" w:lineRule="exact"/>
              <w:rPr>
                <w:sz w:val="20"/>
                <w:szCs w:val="20"/>
                <w:color w:val="auto"/>
              </w:rPr>
            </w:pPr>
            <w:r>
              <w:rPr>
                <w:rFonts w:ascii="Calibri" w:cs="Calibri" w:eastAsia="Calibri" w:hAnsi="Calibri"/>
                <w:sz w:val="15"/>
                <w:szCs w:val="15"/>
                <w:color w:val="auto"/>
                <w:w w:val="97"/>
              </w:rPr>
              <w:t>226,856</w:t>
            </w:r>
          </w:p>
        </w:tc>
        <w:tc>
          <w:tcPr>
            <w:tcW w:w="1140" w:type="dxa"/>
            <w:vAlign w:val="bottom"/>
          </w:tcPr>
          <w:p>
            <w:pPr>
              <w:jc w:val="center"/>
              <w:spacing w:after="0" w:line="145" w:lineRule="exact"/>
              <w:rPr>
                <w:sz w:val="20"/>
                <w:szCs w:val="20"/>
                <w:color w:val="auto"/>
              </w:rPr>
            </w:pPr>
            <w:r>
              <w:rPr>
                <w:rFonts w:ascii="Calibri" w:cs="Calibri" w:eastAsia="Calibri" w:hAnsi="Calibri"/>
                <w:sz w:val="15"/>
                <w:szCs w:val="15"/>
                <w:color w:val="auto"/>
              </w:rPr>
              <w:t>232,447</w:t>
            </w:r>
          </w:p>
        </w:tc>
        <w:tc>
          <w:tcPr>
            <w:tcW w:w="1140" w:type="dxa"/>
            <w:vAlign w:val="bottom"/>
          </w:tcPr>
          <w:p>
            <w:pPr>
              <w:jc w:val="center"/>
              <w:spacing w:after="0" w:line="145" w:lineRule="exact"/>
              <w:rPr>
                <w:sz w:val="20"/>
                <w:szCs w:val="20"/>
                <w:color w:val="auto"/>
              </w:rPr>
            </w:pPr>
            <w:r>
              <w:rPr>
                <w:rFonts w:ascii="Calibri" w:cs="Calibri" w:eastAsia="Calibri" w:hAnsi="Calibri"/>
                <w:sz w:val="15"/>
                <w:szCs w:val="15"/>
                <w:color w:val="auto"/>
              </w:rPr>
              <w:t>205,553</w:t>
            </w:r>
          </w:p>
        </w:tc>
        <w:tc>
          <w:tcPr>
            <w:tcW w:w="1160" w:type="dxa"/>
            <w:vAlign w:val="bottom"/>
          </w:tcPr>
          <w:p>
            <w:pPr>
              <w:jc w:val="center"/>
              <w:spacing w:after="0" w:line="145" w:lineRule="exact"/>
              <w:rPr>
                <w:sz w:val="20"/>
                <w:szCs w:val="20"/>
                <w:color w:val="auto"/>
              </w:rPr>
            </w:pPr>
            <w:r>
              <w:rPr>
                <w:rFonts w:ascii="Calibri" w:cs="Calibri" w:eastAsia="Calibri" w:hAnsi="Calibri"/>
                <w:sz w:val="15"/>
                <w:szCs w:val="15"/>
                <w:color w:val="auto"/>
                <w:w w:val="97"/>
              </w:rPr>
              <w:t>225,953</w:t>
            </w:r>
          </w:p>
        </w:tc>
        <w:tc>
          <w:tcPr>
            <w:tcW w:w="1140" w:type="dxa"/>
            <w:vAlign w:val="bottom"/>
          </w:tcPr>
          <w:p>
            <w:pPr>
              <w:jc w:val="center"/>
              <w:spacing w:after="0" w:line="145" w:lineRule="exact"/>
              <w:rPr>
                <w:sz w:val="20"/>
                <w:szCs w:val="20"/>
                <w:color w:val="auto"/>
              </w:rPr>
            </w:pPr>
            <w:r>
              <w:rPr>
                <w:rFonts w:ascii="Calibri" w:cs="Calibri" w:eastAsia="Calibri" w:hAnsi="Calibri"/>
                <w:sz w:val="15"/>
                <w:szCs w:val="15"/>
                <w:color w:val="auto"/>
                <w:w w:val="97"/>
              </w:rPr>
              <w:t>244,752</w:t>
            </w:r>
          </w:p>
        </w:tc>
        <w:tc>
          <w:tcPr>
            <w:tcW w:w="1000" w:type="dxa"/>
            <w:vAlign w:val="bottom"/>
            <w:shd w:val="clear" w:color="auto" w:fill="D9D9D9"/>
          </w:tcPr>
          <w:p>
            <w:pPr>
              <w:jc w:val="center"/>
              <w:spacing w:after="0" w:line="145" w:lineRule="exact"/>
              <w:rPr>
                <w:sz w:val="20"/>
                <w:szCs w:val="20"/>
                <w:color w:val="auto"/>
              </w:rPr>
            </w:pPr>
            <w:r>
              <w:rPr>
                <w:rFonts w:ascii="Calibri" w:cs="Calibri" w:eastAsia="Calibri" w:hAnsi="Calibri"/>
                <w:sz w:val="15"/>
                <w:szCs w:val="15"/>
                <w:color w:val="auto"/>
                <w:w w:val="97"/>
              </w:rPr>
              <w:t>263,866</w:t>
            </w:r>
          </w:p>
        </w:tc>
        <w:tc>
          <w:tcPr>
            <w:tcW w:w="20" w:type="dxa"/>
            <w:vAlign w:val="bottom"/>
          </w:tcPr>
          <w:p>
            <w:pPr>
              <w:spacing w:after="0"/>
              <w:rPr>
                <w:sz w:val="12"/>
                <w:szCs w:val="12"/>
                <w:color w:val="auto"/>
              </w:rPr>
            </w:pPr>
          </w:p>
        </w:tc>
      </w:tr>
      <w:tr>
        <w:trPr>
          <w:trHeight w:val="179"/>
        </w:trPr>
        <w:tc>
          <w:tcPr>
            <w:tcW w:w="4480" w:type="dxa"/>
            <w:vAlign w:val="bottom"/>
          </w:tcPr>
          <w:p>
            <w:pPr>
              <w:spacing w:after="0" w:line="180" w:lineRule="exact"/>
              <w:rPr>
                <w:sz w:val="20"/>
                <w:szCs w:val="20"/>
                <w:color w:val="auto"/>
              </w:rPr>
            </w:pPr>
            <w:r>
              <w:rPr>
                <w:rFonts w:ascii="Calibri" w:cs="Calibri" w:eastAsia="Calibri" w:hAnsi="Calibri"/>
                <w:sz w:val="15"/>
                <w:szCs w:val="15"/>
                <w:color w:val="auto"/>
              </w:rPr>
              <w:t>Real GDP (% change)</w:t>
            </w:r>
          </w:p>
        </w:tc>
        <w:tc>
          <w:tcPr>
            <w:tcW w:w="1180" w:type="dxa"/>
            <w:vAlign w:val="bottom"/>
          </w:tcPr>
          <w:p>
            <w:pPr>
              <w:jc w:val="center"/>
              <w:spacing w:after="0" w:line="180" w:lineRule="exact"/>
              <w:rPr>
                <w:sz w:val="20"/>
                <w:szCs w:val="20"/>
                <w:color w:val="auto"/>
              </w:rPr>
            </w:pPr>
            <w:r>
              <w:rPr>
                <w:rFonts w:ascii="Calibri" w:cs="Calibri" w:eastAsia="Calibri" w:hAnsi="Calibri"/>
                <w:sz w:val="15"/>
                <w:szCs w:val="15"/>
                <w:color w:val="auto"/>
                <w:w w:val="94"/>
              </w:rPr>
              <w:t>4.0</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w w:val="94"/>
              </w:rPr>
              <w:t>2.2</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w w:val="96"/>
              </w:rPr>
              <w:t>-11.0</w:t>
            </w:r>
          </w:p>
        </w:tc>
        <w:tc>
          <w:tcPr>
            <w:tcW w:w="1160" w:type="dxa"/>
            <w:vAlign w:val="bottom"/>
          </w:tcPr>
          <w:p>
            <w:pPr>
              <w:jc w:val="center"/>
              <w:spacing w:after="0" w:line="180" w:lineRule="exact"/>
              <w:rPr>
                <w:sz w:val="20"/>
                <w:szCs w:val="20"/>
                <w:color w:val="auto"/>
              </w:rPr>
            </w:pPr>
            <w:r>
              <w:rPr>
                <w:rFonts w:ascii="Calibri" w:cs="Calibri" w:eastAsia="Calibri" w:hAnsi="Calibri"/>
                <w:sz w:val="15"/>
                <w:szCs w:val="15"/>
                <w:color w:val="auto"/>
                <w:w w:val="97"/>
              </w:rPr>
              <w:t>13.6</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rPr>
              <w:t>2.7</w:t>
            </w:r>
          </w:p>
        </w:tc>
        <w:tc>
          <w:tcPr>
            <w:tcW w:w="1000" w:type="dxa"/>
            <w:vAlign w:val="bottom"/>
            <w:shd w:val="clear" w:color="auto" w:fill="D9D9D9"/>
          </w:tcPr>
          <w:p>
            <w:pPr>
              <w:jc w:val="center"/>
              <w:spacing w:after="0" w:line="180" w:lineRule="exact"/>
              <w:rPr>
                <w:sz w:val="20"/>
                <w:szCs w:val="20"/>
                <w:color w:val="auto"/>
              </w:rPr>
            </w:pPr>
            <w:r>
              <w:rPr>
                <w:rFonts w:ascii="Calibri" w:cs="Calibri" w:eastAsia="Calibri" w:hAnsi="Calibri"/>
                <w:sz w:val="15"/>
                <w:szCs w:val="15"/>
                <w:color w:val="auto"/>
              </w:rPr>
              <w:t>1.8</w:t>
            </w:r>
          </w:p>
        </w:tc>
        <w:tc>
          <w:tcPr>
            <w:tcW w:w="20" w:type="dxa"/>
            <w:vAlign w:val="bottom"/>
          </w:tcPr>
          <w:p>
            <w:pPr>
              <w:spacing w:after="0"/>
              <w:rPr>
                <w:sz w:val="15"/>
                <w:szCs w:val="15"/>
                <w:color w:val="auto"/>
              </w:rPr>
            </w:pPr>
          </w:p>
        </w:tc>
      </w:tr>
      <w:tr>
        <w:trPr>
          <w:trHeight w:val="182"/>
        </w:trPr>
        <w:tc>
          <w:tcPr>
            <w:tcW w:w="4480" w:type="dxa"/>
            <w:vAlign w:val="bottom"/>
          </w:tcPr>
          <w:p>
            <w:pPr>
              <w:spacing w:after="0" w:line="181" w:lineRule="exact"/>
              <w:rPr>
                <w:sz w:val="20"/>
                <w:szCs w:val="20"/>
                <w:color w:val="auto"/>
              </w:rPr>
            </w:pPr>
            <w:r>
              <w:rPr>
                <w:rFonts w:ascii="Calibri" w:cs="Calibri" w:eastAsia="Calibri" w:hAnsi="Calibri"/>
                <w:sz w:val="15"/>
                <w:szCs w:val="15"/>
                <w:color w:val="auto"/>
              </w:rPr>
              <w:t>GDP per capita (US$)</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7,045</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7,152</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6,300</w:t>
            </w:r>
          </w:p>
        </w:tc>
        <w:tc>
          <w:tcPr>
            <w:tcW w:w="116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6,840</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7,329</w:t>
            </w:r>
          </w:p>
        </w:tc>
        <w:tc>
          <w:tcPr>
            <w:tcW w:w="1000" w:type="dxa"/>
            <w:vAlign w:val="bottom"/>
            <w:shd w:val="clear" w:color="auto" w:fill="D9D9D9"/>
          </w:tcPr>
          <w:p>
            <w:pPr>
              <w:jc w:val="center"/>
              <w:spacing w:after="0" w:line="181" w:lineRule="exact"/>
              <w:rPr>
                <w:sz w:val="20"/>
                <w:szCs w:val="20"/>
                <w:color w:val="auto"/>
              </w:rPr>
            </w:pPr>
            <w:r>
              <w:rPr>
                <w:rFonts w:ascii="Calibri" w:cs="Calibri" w:eastAsia="Calibri" w:hAnsi="Calibri"/>
                <w:sz w:val="15"/>
                <w:szCs w:val="15"/>
                <w:color w:val="auto"/>
                <w:w w:val="99"/>
              </w:rPr>
              <w:t>7,809</w:t>
            </w:r>
          </w:p>
        </w:tc>
        <w:tc>
          <w:tcPr>
            <w:tcW w:w="20" w:type="dxa"/>
            <w:vAlign w:val="bottom"/>
          </w:tcPr>
          <w:p>
            <w:pPr>
              <w:spacing w:after="0"/>
              <w:rPr>
                <w:sz w:val="15"/>
                <w:szCs w:val="15"/>
                <w:color w:val="auto"/>
              </w:rPr>
            </w:pPr>
          </w:p>
        </w:tc>
      </w:tr>
      <w:tr>
        <w:trPr>
          <w:trHeight w:val="182"/>
        </w:trPr>
        <w:tc>
          <w:tcPr>
            <w:tcW w:w="4480" w:type="dxa"/>
            <w:vAlign w:val="bottom"/>
          </w:tcPr>
          <w:p>
            <w:pPr>
              <w:spacing w:after="0" w:line="181" w:lineRule="exact"/>
              <w:rPr>
                <w:sz w:val="20"/>
                <w:szCs w:val="20"/>
                <w:color w:val="auto"/>
              </w:rPr>
            </w:pPr>
            <w:r>
              <w:rPr>
                <w:rFonts w:ascii="Calibri" w:cs="Calibri" w:eastAsia="Calibri" w:hAnsi="Calibri"/>
                <w:sz w:val="15"/>
                <w:szCs w:val="15"/>
                <w:color w:val="auto"/>
              </w:rPr>
              <w:t>Domestc demand (% change)</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w w:val="94"/>
              </w:rPr>
              <w:t>4.1</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4"/>
              </w:rPr>
              <w:t>2.2</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3"/>
              </w:rPr>
              <w:t>-9.9</w:t>
            </w:r>
          </w:p>
        </w:tc>
        <w:tc>
          <w:tcPr>
            <w:tcW w:w="116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14.7</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rPr>
              <w:t>2.3</w:t>
            </w:r>
          </w:p>
        </w:tc>
        <w:tc>
          <w:tcPr>
            <w:tcW w:w="1000" w:type="dxa"/>
            <w:vAlign w:val="bottom"/>
            <w:shd w:val="clear" w:color="auto" w:fill="D9D9D9"/>
          </w:tcPr>
          <w:p>
            <w:pPr>
              <w:jc w:val="center"/>
              <w:spacing w:after="0" w:line="181" w:lineRule="exact"/>
              <w:rPr>
                <w:sz w:val="20"/>
                <w:szCs w:val="20"/>
                <w:color w:val="auto"/>
              </w:rPr>
            </w:pPr>
            <w:r>
              <w:rPr>
                <w:rFonts w:ascii="Calibri" w:cs="Calibri" w:eastAsia="Calibri" w:hAnsi="Calibri"/>
                <w:sz w:val="15"/>
                <w:szCs w:val="15"/>
                <w:color w:val="auto"/>
              </w:rPr>
              <w:t>0.9</w:t>
            </w:r>
          </w:p>
        </w:tc>
        <w:tc>
          <w:tcPr>
            <w:tcW w:w="20" w:type="dxa"/>
            <w:vAlign w:val="bottom"/>
          </w:tcPr>
          <w:p>
            <w:pPr>
              <w:spacing w:after="0"/>
              <w:rPr>
                <w:sz w:val="15"/>
                <w:szCs w:val="15"/>
                <w:color w:val="auto"/>
              </w:rPr>
            </w:pPr>
          </w:p>
        </w:tc>
      </w:tr>
      <w:tr>
        <w:trPr>
          <w:trHeight w:val="182"/>
        </w:trPr>
        <w:tc>
          <w:tcPr>
            <w:tcW w:w="4480" w:type="dxa"/>
            <w:vAlign w:val="bottom"/>
          </w:tcPr>
          <w:p>
            <w:pPr>
              <w:spacing w:after="0" w:line="181" w:lineRule="exact"/>
              <w:rPr>
                <w:sz w:val="20"/>
                <w:szCs w:val="20"/>
                <w:color w:val="auto"/>
              </w:rPr>
            </w:pPr>
            <w:r>
              <w:rPr>
                <w:rFonts w:ascii="Calibri" w:cs="Calibri" w:eastAsia="Calibri" w:hAnsi="Calibri"/>
                <w:sz w:val="15"/>
                <w:szCs w:val="15"/>
                <w:color w:val="auto"/>
              </w:rPr>
              <w:t>Gross fxed investment (as % GDP)</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22.2</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22.5</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21.1</w:t>
            </w:r>
          </w:p>
        </w:tc>
        <w:tc>
          <w:tcPr>
            <w:tcW w:w="116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25.2</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25.4</w:t>
            </w:r>
          </w:p>
        </w:tc>
        <w:tc>
          <w:tcPr>
            <w:tcW w:w="1000" w:type="dxa"/>
            <w:vAlign w:val="bottom"/>
            <w:shd w:val="clear" w:color="auto" w:fill="D9D9D9"/>
          </w:tcPr>
          <w:p>
            <w:pPr>
              <w:jc w:val="center"/>
              <w:spacing w:after="0" w:line="181" w:lineRule="exact"/>
              <w:rPr>
                <w:sz w:val="20"/>
                <w:szCs w:val="20"/>
                <w:color w:val="auto"/>
              </w:rPr>
            </w:pPr>
            <w:r>
              <w:rPr>
                <w:rFonts w:ascii="Calibri" w:cs="Calibri" w:eastAsia="Calibri" w:hAnsi="Calibri"/>
                <w:sz w:val="15"/>
                <w:szCs w:val="15"/>
                <w:color w:val="auto"/>
                <w:w w:val="97"/>
              </w:rPr>
              <w:t>24.2</w:t>
            </w:r>
          </w:p>
        </w:tc>
        <w:tc>
          <w:tcPr>
            <w:tcW w:w="20" w:type="dxa"/>
            <w:vAlign w:val="bottom"/>
          </w:tcPr>
          <w:p>
            <w:pPr>
              <w:spacing w:after="0"/>
              <w:rPr>
                <w:sz w:val="15"/>
                <w:szCs w:val="15"/>
                <w:color w:val="auto"/>
              </w:rPr>
            </w:pPr>
          </w:p>
        </w:tc>
      </w:tr>
      <w:tr>
        <w:trPr>
          <w:trHeight w:val="205"/>
        </w:trPr>
        <w:tc>
          <w:tcPr>
            <w:tcW w:w="4480" w:type="dxa"/>
            <w:vAlign w:val="bottom"/>
          </w:tcPr>
          <w:p>
            <w:pPr>
              <w:spacing w:after="0" w:line="181" w:lineRule="exact"/>
              <w:rPr>
                <w:sz w:val="20"/>
                <w:szCs w:val="20"/>
                <w:color w:val="auto"/>
              </w:rPr>
            </w:pPr>
            <w:r>
              <w:rPr>
                <w:rFonts w:ascii="Calibri" w:cs="Calibri" w:eastAsia="Calibri" w:hAnsi="Calibri"/>
                <w:sz w:val="15"/>
                <w:szCs w:val="15"/>
                <w:color w:val="auto"/>
              </w:rPr>
              <w:t>Financial system loan without Reactva (% change) (1)</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10.3</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4"/>
              </w:rPr>
              <w:t>6.4</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3"/>
              </w:rPr>
              <w:t>-4.3</w:t>
            </w:r>
          </w:p>
        </w:tc>
        <w:tc>
          <w:tcPr>
            <w:tcW w:w="116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12.6</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rPr>
              <w:t>9.7</w:t>
            </w:r>
          </w:p>
        </w:tc>
        <w:tc>
          <w:tcPr>
            <w:tcW w:w="1000" w:type="dxa"/>
            <w:vAlign w:val="bottom"/>
            <w:tcBorders>
              <w:bottom w:val="single" w:sz="8" w:color="D9D9D9"/>
            </w:tcBorders>
            <w:shd w:val="clear" w:color="auto" w:fill="D9D9D9"/>
          </w:tcPr>
          <w:p>
            <w:pPr>
              <w:jc w:val="center"/>
              <w:spacing w:after="0" w:line="181" w:lineRule="exact"/>
              <w:rPr>
                <w:sz w:val="20"/>
                <w:szCs w:val="20"/>
                <w:color w:val="auto"/>
              </w:rPr>
            </w:pPr>
            <w:r>
              <w:rPr>
                <w:rFonts w:ascii="Calibri" w:cs="Calibri" w:eastAsia="Calibri" w:hAnsi="Calibri"/>
                <w:sz w:val="15"/>
                <w:szCs w:val="15"/>
                <w:color w:val="auto"/>
              </w:rPr>
              <w:t>5.0</w:t>
            </w:r>
          </w:p>
        </w:tc>
        <w:tc>
          <w:tcPr>
            <w:tcW w:w="20" w:type="dxa"/>
            <w:vAlign w:val="bottom"/>
          </w:tcPr>
          <w:p>
            <w:pPr>
              <w:spacing w:after="0"/>
              <w:rPr>
                <w:sz w:val="17"/>
                <w:szCs w:val="17"/>
                <w:color w:val="auto"/>
              </w:rPr>
            </w:pPr>
          </w:p>
        </w:tc>
      </w:tr>
      <w:tr>
        <w:trPr>
          <w:trHeight w:val="184"/>
        </w:trPr>
        <w:tc>
          <w:tcPr>
            <w:tcW w:w="4480" w:type="dxa"/>
            <w:vAlign w:val="bottom"/>
            <w:tcBorders>
              <w:top w:val="single" w:sz="8" w:color="2AD2C9"/>
              <w:bottom w:val="single" w:sz="8" w:color="2AD2C9"/>
            </w:tcBorders>
          </w:tcPr>
          <w:p>
            <w:pPr>
              <w:spacing w:after="0" w:line="180" w:lineRule="exact"/>
              <w:rPr>
                <w:sz w:val="20"/>
                <w:szCs w:val="20"/>
                <w:color w:val="auto"/>
              </w:rPr>
            </w:pPr>
            <w:r>
              <w:rPr>
                <w:rFonts w:ascii="Calibri" w:cs="Calibri" w:eastAsia="Calibri" w:hAnsi="Calibri"/>
                <w:sz w:val="15"/>
                <w:szCs w:val="15"/>
                <w:color w:val="auto"/>
              </w:rPr>
              <w:t>Infaton, end of period(2)</w:t>
            </w:r>
          </w:p>
        </w:tc>
        <w:tc>
          <w:tcPr>
            <w:tcW w:w="1180" w:type="dxa"/>
            <w:vAlign w:val="bottom"/>
            <w:tcBorders>
              <w:top w:val="single" w:sz="8" w:color="2AD2C9"/>
              <w:bottom w:val="single" w:sz="8" w:color="2AD2C9"/>
            </w:tcBorders>
          </w:tcPr>
          <w:p>
            <w:pPr>
              <w:jc w:val="center"/>
              <w:spacing w:after="0" w:line="180" w:lineRule="exact"/>
              <w:rPr>
                <w:sz w:val="20"/>
                <w:szCs w:val="20"/>
                <w:color w:val="auto"/>
              </w:rPr>
            </w:pPr>
            <w:r>
              <w:rPr>
                <w:rFonts w:ascii="Calibri" w:cs="Calibri" w:eastAsia="Calibri" w:hAnsi="Calibri"/>
                <w:sz w:val="15"/>
                <w:szCs w:val="15"/>
                <w:color w:val="auto"/>
                <w:w w:val="94"/>
              </w:rPr>
              <w:t>2.2</w:t>
            </w:r>
          </w:p>
        </w:tc>
        <w:tc>
          <w:tcPr>
            <w:tcW w:w="1140" w:type="dxa"/>
            <w:vAlign w:val="bottom"/>
            <w:tcBorders>
              <w:top w:val="single" w:sz="8" w:color="2AD2C9"/>
              <w:bottom w:val="single" w:sz="8" w:color="2AD2C9"/>
            </w:tcBorders>
          </w:tcPr>
          <w:p>
            <w:pPr>
              <w:jc w:val="center"/>
              <w:spacing w:after="0" w:line="180" w:lineRule="exact"/>
              <w:rPr>
                <w:sz w:val="20"/>
                <w:szCs w:val="20"/>
                <w:color w:val="auto"/>
              </w:rPr>
            </w:pPr>
            <w:r>
              <w:rPr>
                <w:rFonts w:ascii="Calibri" w:cs="Calibri" w:eastAsia="Calibri" w:hAnsi="Calibri"/>
                <w:sz w:val="15"/>
                <w:szCs w:val="15"/>
                <w:color w:val="auto"/>
                <w:w w:val="94"/>
              </w:rPr>
              <w:t>1.9</w:t>
            </w:r>
          </w:p>
        </w:tc>
        <w:tc>
          <w:tcPr>
            <w:tcW w:w="1140" w:type="dxa"/>
            <w:vAlign w:val="bottom"/>
            <w:tcBorders>
              <w:top w:val="single" w:sz="8" w:color="2AD2C9"/>
              <w:bottom w:val="single" w:sz="8" w:color="2AD2C9"/>
            </w:tcBorders>
          </w:tcPr>
          <w:p>
            <w:pPr>
              <w:jc w:val="center"/>
              <w:spacing w:after="0" w:line="180" w:lineRule="exact"/>
              <w:rPr>
                <w:sz w:val="20"/>
                <w:szCs w:val="20"/>
                <w:color w:val="auto"/>
              </w:rPr>
            </w:pPr>
            <w:r>
              <w:rPr>
                <w:rFonts w:ascii="Calibri" w:cs="Calibri" w:eastAsia="Calibri" w:hAnsi="Calibri"/>
                <w:sz w:val="15"/>
                <w:szCs w:val="15"/>
                <w:color w:val="auto"/>
                <w:w w:val="94"/>
              </w:rPr>
              <w:t>2.0</w:t>
            </w:r>
          </w:p>
        </w:tc>
        <w:tc>
          <w:tcPr>
            <w:tcW w:w="1160" w:type="dxa"/>
            <w:vAlign w:val="bottom"/>
            <w:tcBorders>
              <w:top w:val="single" w:sz="8" w:color="2AD2C9"/>
              <w:bottom w:val="single" w:sz="8" w:color="2AD2C9"/>
            </w:tcBorders>
          </w:tcPr>
          <w:p>
            <w:pPr>
              <w:jc w:val="center"/>
              <w:spacing w:after="0" w:line="180" w:lineRule="exact"/>
              <w:rPr>
                <w:sz w:val="20"/>
                <w:szCs w:val="20"/>
                <w:color w:val="auto"/>
              </w:rPr>
            </w:pPr>
            <w:r>
              <w:rPr>
                <w:rFonts w:ascii="Calibri" w:cs="Calibri" w:eastAsia="Calibri" w:hAnsi="Calibri"/>
                <w:sz w:val="15"/>
                <w:szCs w:val="15"/>
                <w:color w:val="auto"/>
              </w:rPr>
              <w:t>6.4</w:t>
            </w:r>
          </w:p>
        </w:tc>
        <w:tc>
          <w:tcPr>
            <w:tcW w:w="1140" w:type="dxa"/>
            <w:vAlign w:val="bottom"/>
            <w:tcBorders>
              <w:top w:val="single" w:sz="8" w:color="2AD2C9"/>
              <w:bottom w:val="single" w:sz="8" w:color="2AD2C9"/>
            </w:tcBorders>
          </w:tcPr>
          <w:p>
            <w:pPr>
              <w:jc w:val="center"/>
              <w:spacing w:after="0" w:line="180" w:lineRule="exact"/>
              <w:rPr>
                <w:sz w:val="20"/>
                <w:szCs w:val="20"/>
                <w:color w:val="auto"/>
              </w:rPr>
            </w:pPr>
            <w:r>
              <w:rPr>
                <w:rFonts w:ascii="Calibri" w:cs="Calibri" w:eastAsia="Calibri" w:hAnsi="Calibri"/>
                <w:sz w:val="15"/>
                <w:szCs w:val="15"/>
                <w:color w:val="auto"/>
              </w:rPr>
              <w:t>8.5</w:t>
            </w:r>
          </w:p>
        </w:tc>
        <w:tc>
          <w:tcPr>
            <w:tcW w:w="1000" w:type="dxa"/>
            <w:vAlign w:val="bottom"/>
            <w:tcBorders>
              <w:top w:val="single" w:sz="8" w:color="2AD2C9"/>
              <w:bottom w:val="single" w:sz="8" w:color="2AD2C9"/>
            </w:tcBorders>
            <w:shd w:val="clear" w:color="auto" w:fill="D9D9D9"/>
          </w:tcPr>
          <w:p>
            <w:pPr>
              <w:jc w:val="center"/>
              <w:spacing w:after="0" w:line="180" w:lineRule="exact"/>
              <w:rPr>
                <w:sz w:val="20"/>
                <w:szCs w:val="20"/>
                <w:color w:val="auto"/>
              </w:rPr>
            </w:pPr>
            <w:r>
              <w:rPr>
                <w:rFonts w:ascii="Calibri" w:cs="Calibri" w:eastAsia="Calibri" w:hAnsi="Calibri"/>
                <w:sz w:val="15"/>
                <w:szCs w:val="15"/>
                <w:color w:val="auto"/>
              </w:rPr>
              <w:t>4.8</w:t>
            </w:r>
          </w:p>
        </w:tc>
        <w:tc>
          <w:tcPr>
            <w:tcW w:w="20" w:type="dxa"/>
            <w:vAlign w:val="bottom"/>
          </w:tcPr>
          <w:p>
            <w:pPr>
              <w:spacing w:after="0"/>
              <w:rPr>
                <w:sz w:val="16"/>
                <w:szCs w:val="16"/>
                <w:color w:val="auto"/>
              </w:rPr>
            </w:pPr>
          </w:p>
        </w:tc>
      </w:tr>
      <w:tr>
        <w:trPr>
          <w:trHeight w:val="184"/>
        </w:trPr>
        <w:tc>
          <w:tcPr>
            <w:tcW w:w="4480" w:type="dxa"/>
            <w:vAlign w:val="bottom"/>
            <w:tcBorders>
              <w:bottom w:val="single" w:sz="8" w:color="2AD2C9"/>
            </w:tcBorders>
          </w:tcPr>
          <w:p>
            <w:pPr>
              <w:spacing w:after="0" w:line="180" w:lineRule="exact"/>
              <w:rPr>
                <w:sz w:val="20"/>
                <w:szCs w:val="20"/>
                <w:color w:val="auto"/>
              </w:rPr>
            </w:pPr>
            <w:r>
              <w:rPr>
                <w:rFonts w:ascii="Calibri" w:cs="Calibri" w:eastAsia="Calibri" w:hAnsi="Calibri"/>
                <w:sz w:val="15"/>
                <w:szCs w:val="15"/>
                <w:color w:val="auto"/>
              </w:rPr>
              <w:t>Reference Rate, end of period</w:t>
            </w:r>
          </w:p>
        </w:tc>
        <w:tc>
          <w:tcPr>
            <w:tcW w:w="1180" w:type="dxa"/>
            <w:vAlign w:val="bottom"/>
            <w:tcBorders>
              <w:bottom w:val="single" w:sz="8" w:color="2AD2C9"/>
            </w:tcBorders>
          </w:tcPr>
          <w:p>
            <w:pPr>
              <w:jc w:val="center"/>
              <w:spacing w:after="0" w:line="180" w:lineRule="exact"/>
              <w:rPr>
                <w:sz w:val="20"/>
                <w:szCs w:val="20"/>
                <w:color w:val="auto"/>
              </w:rPr>
            </w:pPr>
            <w:r>
              <w:rPr>
                <w:rFonts w:ascii="Calibri" w:cs="Calibri" w:eastAsia="Calibri" w:hAnsi="Calibri"/>
                <w:sz w:val="15"/>
                <w:szCs w:val="15"/>
                <w:color w:val="auto"/>
                <w:w w:val="97"/>
              </w:rPr>
              <w:t>2.75</w:t>
            </w:r>
          </w:p>
        </w:tc>
        <w:tc>
          <w:tcPr>
            <w:tcW w:w="1140" w:type="dxa"/>
            <w:vAlign w:val="bottom"/>
            <w:tcBorders>
              <w:bottom w:val="single" w:sz="8" w:color="2AD2C9"/>
            </w:tcBorders>
          </w:tcPr>
          <w:p>
            <w:pPr>
              <w:jc w:val="center"/>
              <w:spacing w:after="0" w:line="180" w:lineRule="exact"/>
              <w:rPr>
                <w:sz w:val="20"/>
                <w:szCs w:val="20"/>
                <w:color w:val="auto"/>
              </w:rPr>
            </w:pPr>
            <w:r>
              <w:rPr>
                <w:rFonts w:ascii="Calibri" w:cs="Calibri" w:eastAsia="Calibri" w:hAnsi="Calibri"/>
                <w:sz w:val="15"/>
                <w:szCs w:val="15"/>
                <w:color w:val="auto"/>
                <w:w w:val="97"/>
              </w:rPr>
              <w:t>2.25</w:t>
            </w:r>
          </w:p>
        </w:tc>
        <w:tc>
          <w:tcPr>
            <w:tcW w:w="1140" w:type="dxa"/>
            <w:vAlign w:val="bottom"/>
            <w:tcBorders>
              <w:bottom w:val="single" w:sz="8" w:color="2AD2C9"/>
            </w:tcBorders>
          </w:tcPr>
          <w:p>
            <w:pPr>
              <w:jc w:val="center"/>
              <w:spacing w:after="0" w:line="180" w:lineRule="exact"/>
              <w:rPr>
                <w:sz w:val="20"/>
                <w:szCs w:val="20"/>
                <w:color w:val="auto"/>
              </w:rPr>
            </w:pPr>
            <w:r>
              <w:rPr>
                <w:rFonts w:ascii="Calibri" w:cs="Calibri" w:eastAsia="Calibri" w:hAnsi="Calibri"/>
                <w:sz w:val="15"/>
                <w:szCs w:val="15"/>
                <w:color w:val="auto"/>
                <w:w w:val="97"/>
              </w:rPr>
              <w:t>0.25</w:t>
            </w:r>
          </w:p>
        </w:tc>
        <w:tc>
          <w:tcPr>
            <w:tcW w:w="1160" w:type="dxa"/>
            <w:vAlign w:val="bottom"/>
            <w:tcBorders>
              <w:bottom w:val="single" w:sz="8" w:color="2AD2C9"/>
            </w:tcBorders>
          </w:tcPr>
          <w:p>
            <w:pPr>
              <w:jc w:val="center"/>
              <w:spacing w:after="0" w:line="180" w:lineRule="exact"/>
              <w:rPr>
                <w:sz w:val="20"/>
                <w:szCs w:val="20"/>
                <w:color w:val="auto"/>
              </w:rPr>
            </w:pPr>
            <w:r>
              <w:rPr>
                <w:rFonts w:ascii="Calibri" w:cs="Calibri" w:eastAsia="Calibri" w:hAnsi="Calibri"/>
                <w:sz w:val="15"/>
                <w:szCs w:val="15"/>
                <w:color w:val="auto"/>
                <w:w w:val="97"/>
              </w:rPr>
              <w:t>2.50</w:t>
            </w:r>
          </w:p>
        </w:tc>
        <w:tc>
          <w:tcPr>
            <w:tcW w:w="1140" w:type="dxa"/>
            <w:vAlign w:val="bottom"/>
            <w:tcBorders>
              <w:bottom w:val="single" w:sz="8" w:color="2AD2C9"/>
            </w:tcBorders>
          </w:tcPr>
          <w:p>
            <w:pPr>
              <w:jc w:val="center"/>
              <w:spacing w:after="0" w:line="180" w:lineRule="exact"/>
              <w:rPr>
                <w:sz w:val="20"/>
                <w:szCs w:val="20"/>
                <w:color w:val="auto"/>
              </w:rPr>
            </w:pPr>
            <w:r>
              <w:rPr>
                <w:rFonts w:ascii="Calibri" w:cs="Calibri" w:eastAsia="Calibri" w:hAnsi="Calibri"/>
                <w:sz w:val="15"/>
                <w:szCs w:val="15"/>
                <w:color w:val="auto"/>
                <w:w w:val="97"/>
              </w:rPr>
              <w:t>7.50</w:t>
            </w:r>
          </w:p>
        </w:tc>
        <w:tc>
          <w:tcPr>
            <w:tcW w:w="1000" w:type="dxa"/>
            <w:vAlign w:val="bottom"/>
            <w:tcBorders>
              <w:bottom w:val="single" w:sz="8" w:color="2AD2C9"/>
            </w:tcBorders>
            <w:shd w:val="clear" w:color="auto" w:fill="D9D9D9"/>
          </w:tcPr>
          <w:p>
            <w:pPr>
              <w:jc w:val="center"/>
              <w:spacing w:after="0" w:line="180" w:lineRule="exact"/>
              <w:rPr>
                <w:sz w:val="20"/>
                <w:szCs w:val="20"/>
                <w:color w:val="auto"/>
              </w:rPr>
            </w:pPr>
            <w:r>
              <w:rPr>
                <w:rFonts w:ascii="Calibri" w:cs="Calibri" w:eastAsia="Calibri" w:hAnsi="Calibri"/>
                <w:sz w:val="15"/>
                <w:szCs w:val="15"/>
                <w:color w:val="auto"/>
                <w:w w:val="97"/>
              </w:rPr>
              <w:t>6.75</w:t>
            </w:r>
          </w:p>
        </w:tc>
        <w:tc>
          <w:tcPr>
            <w:tcW w:w="20" w:type="dxa"/>
            <w:vAlign w:val="bottom"/>
          </w:tcPr>
          <w:p>
            <w:pPr>
              <w:spacing w:after="0"/>
              <w:rPr>
                <w:sz w:val="16"/>
                <w:szCs w:val="16"/>
                <w:color w:val="auto"/>
              </w:rPr>
            </w:pPr>
          </w:p>
        </w:tc>
      </w:tr>
      <w:tr>
        <w:trPr>
          <w:trHeight w:val="163"/>
        </w:trPr>
        <w:tc>
          <w:tcPr>
            <w:tcW w:w="4480" w:type="dxa"/>
            <w:vAlign w:val="bottom"/>
          </w:tcPr>
          <w:p>
            <w:pPr>
              <w:spacing w:after="0" w:line="163" w:lineRule="exact"/>
              <w:rPr>
                <w:sz w:val="20"/>
                <w:szCs w:val="20"/>
                <w:color w:val="auto"/>
              </w:rPr>
            </w:pPr>
            <w:r>
              <w:rPr>
                <w:rFonts w:ascii="Calibri" w:cs="Calibri" w:eastAsia="Calibri" w:hAnsi="Calibri"/>
                <w:sz w:val="15"/>
                <w:szCs w:val="15"/>
                <w:color w:val="auto"/>
              </w:rPr>
              <w:t>Exchange rate, end of period</w:t>
            </w:r>
          </w:p>
        </w:tc>
        <w:tc>
          <w:tcPr>
            <w:tcW w:w="1180" w:type="dxa"/>
            <w:vAlign w:val="bottom"/>
          </w:tcPr>
          <w:p>
            <w:pPr>
              <w:jc w:val="center"/>
              <w:spacing w:after="0" w:line="163" w:lineRule="exact"/>
              <w:rPr>
                <w:sz w:val="20"/>
                <w:szCs w:val="20"/>
                <w:color w:val="auto"/>
              </w:rPr>
            </w:pPr>
            <w:r>
              <w:rPr>
                <w:rFonts w:ascii="Calibri" w:cs="Calibri" w:eastAsia="Calibri" w:hAnsi="Calibri"/>
                <w:sz w:val="15"/>
                <w:szCs w:val="15"/>
                <w:color w:val="auto"/>
                <w:w w:val="97"/>
              </w:rPr>
              <w:t>3.37</w:t>
            </w:r>
          </w:p>
        </w:tc>
        <w:tc>
          <w:tcPr>
            <w:tcW w:w="1140" w:type="dxa"/>
            <w:vAlign w:val="bottom"/>
          </w:tcPr>
          <w:p>
            <w:pPr>
              <w:jc w:val="center"/>
              <w:spacing w:after="0" w:line="163" w:lineRule="exact"/>
              <w:rPr>
                <w:sz w:val="20"/>
                <w:szCs w:val="20"/>
                <w:color w:val="auto"/>
              </w:rPr>
            </w:pPr>
            <w:r>
              <w:rPr>
                <w:rFonts w:ascii="Calibri" w:cs="Calibri" w:eastAsia="Calibri" w:hAnsi="Calibri"/>
                <w:sz w:val="15"/>
                <w:szCs w:val="15"/>
                <w:color w:val="auto"/>
                <w:w w:val="97"/>
              </w:rPr>
              <w:t>3.31</w:t>
            </w:r>
          </w:p>
        </w:tc>
        <w:tc>
          <w:tcPr>
            <w:tcW w:w="1140" w:type="dxa"/>
            <w:vAlign w:val="bottom"/>
          </w:tcPr>
          <w:p>
            <w:pPr>
              <w:jc w:val="center"/>
              <w:spacing w:after="0" w:line="163" w:lineRule="exact"/>
              <w:rPr>
                <w:sz w:val="20"/>
                <w:szCs w:val="20"/>
                <w:color w:val="auto"/>
              </w:rPr>
            </w:pPr>
            <w:r>
              <w:rPr>
                <w:rFonts w:ascii="Calibri" w:cs="Calibri" w:eastAsia="Calibri" w:hAnsi="Calibri"/>
                <w:sz w:val="15"/>
                <w:szCs w:val="15"/>
                <w:color w:val="auto"/>
                <w:w w:val="97"/>
              </w:rPr>
              <w:t>3.62</w:t>
            </w:r>
          </w:p>
        </w:tc>
        <w:tc>
          <w:tcPr>
            <w:tcW w:w="1160" w:type="dxa"/>
            <w:vAlign w:val="bottom"/>
          </w:tcPr>
          <w:p>
            <w:pPr>
              <w:jc w:val="center"/>
              <w:spacing w:after="0" w:line="163" w:lineRule="exact"/>
              <w:rPr>
                <w:sz w:val="20"/>
                <w:szCs w:val="20"/>
                <w:color w:val="auto"/>
              </w:rPr>
            </w:pPr>
            <w:r>
              <w:rPr>
                <w:rFonts w:ascii="Calibri" w:cs="Calibri" w:eastAsia="Calibri" w:hAnsi="Calibri"/>
                <w:sz w:val="15"/>
                <w:szCs w:val="15"/>
                <w:color w:val="auto"/>
                <w:w w:val="97"/>
              </w:rPr>
              <w:t>3.99</w:t>
            </w:r>
          </w:p>
        </w:tc>
        <w:tc>
          <w:tcPr>
            <w:tcW w:w="1140" w:type="dxa"/>
            <w:vAlign w:val="bottom"/>
          </w:tcPr>
          <w:p>
            <w:pPr>
              <w:jc w:val="center"/>
              <w:spacing w:after="0" w:line="163" w:lineRule="exact"/>
              <w:rPr>
                <w:sz w:val="20"/>
                <w:szCs w:val="20"/>
                <w:color w:val="auto"/>
              </w:rPr>
            </w:pPr>
            <w:r>
              <w:rPr>
                <w:rFonts w:ascii="Calibri" w:cs="Calibri" w:eastAsia="Calibri" w:hAnsi="Calibri"/>
                <w:sz w:val="15"/>
                <w:szCs w:val="15"/>
                <w:color w:val="auto"/>
                <w:w w:val="97"/>
              </w:rPr>
              <w:t>3.81</w:t>
            </w:r>
          </w:p>
        </w:tc>
        <w:tc>
          <w:tcPr>
            <w:tcW w:w="1000" w:type="dxa"/>
            <w:vAlign w:val="bottom"/>
            <w:shd w:val="clear" w:color="auto" w:fill="D9D9D9"/>
          </w:tcPr>
          <w:p>
            <w:pPr>
              <w:jc w:val="center"/>
              <w:spacing w:after="0" w:line="163" w:lineRule="exact"/>
              <w:rPr>
                <w:sz w:val="20"/>
                <w:szCs w:val="20"/>
                <w:color w:val="auto"/>
              </w:rPr>
            </w:pPr>
            <w:r>
              <w:rPr>
                <w:rFonts w:ascii="Calibri" w:cs="Calibri" w:eastAsia="Calibri" w:hAnsi="Calibri"/>
                <w:sz w:val="15"/>
                <w:szCs w:val="15"/>
                <w:color w:val="auto"/>
                <w:w w:val="97"/>
              </w:rPr>
              <w:t>3.80</w:t>
            </w:r>
          </w:p>
        </w:tc>
        <w:tc>
          <w:tcPr>
            <w:tcW w:w="20" w:type="dxa"/>
            <w:vAlign w:val="bottom"/>
          </w:tcPr>
          <w:p>
            <w:pPr>
              <w:spacing w:after="0"/>
              <w:rPr>
                <w:sz w:val="14"/>
                <w:szCs w:val="14"/>
                <w:color w:val="auto"/>
              </w:rPr>
            </w:pPr>
          </w:p>
        </w:tc>
      </w:tr>
      <w:tr>
        <w:trPr>
          <w:trHeight w:val="203"/>
        </w:trPr>
        <w:tc>
          <w:tcPr>
            <w:tcW w:w="4480" w:type="dxa"/>
            <w:vAlign w:val="bottom"/>
          </w:tcPr>
          <w:p>
            <w:pPr>
              <w:spacing w:after="0" w:line="180" w:lineRule="exact"/>
              <w:rPr>
                <w:sz w:val="20"/>
                <w:szCs w:val="20"/>
                <w:color w:val="auto"/>
              </w:rPr>
            </w:pPr>
            <w:r>
              <w:rPr>
                <w:rFonts w:ascii="Calibri" w:cs="Calibri" w:eastAsia="Calibri" w:hAnsi="Calibri"/>
                <w:sz w:val="15"/>
                <w:szCs w:val="15"/>
                <w:color w:val="auto"/>
              </w:rPr>
              <w:t>Exchange rate, (% change)</w:t>
            </w:r>
          </w:p>
        </w:tc>
        <w:tc>
          <w:tcPr>
            <w:tcW w:w="1180" w:type="dxa"/>
            <w:vAlign w:val="bottom"/>
          </w:tcPr>
          <w:p>
            <w:pPr>
              <w:jc w:val="center"/>
              <w:spacing w:after="0" w:line="180" w:lineRule="exact"/>
              <w:rPr>
                <w:sz w:val="20"/>
                <w:szCs w:val="20"/>
                <w:color w:val="auto"/>
              </w:rPr>
            </w:pPr>
            <w:r>
              <w:rPr>
                <w:rFonts w:ascii="Calibri" w:cs="Calibri" w:eastAsia="Calibri" w:hAnsi="Calibri"/>
                <w:sz w:val="15"/>
                <w:szCs w:val="15"/>
                <w:color w:val="auto"/>
              </w:rPr>
              <w:t>4.0%</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-1.8%</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rPr>
              <w:t>9.3%</w:t>
            </w:r>
          </w:p>
        </w:tc>
        <w:tc>
          <w:tcPr>
            <w:tcW w:w="1160" w:type="dxa"/>
            <w:vAlign w:val="bottom"/>
          </w:tcPr>
          <w:p>
            <w:pPr>
              <w:jc w:val="center"/>
              <w:spacing w:after="0" w:line="180" w:lineRule="exact"/>
              <w:rPr>
                <w:sz w:val="20"/>
                <w:szCs w:val="20"/>
                <w:color w:val="auto"/>
              </w:rPr>
            </w:pPr>
            <w:r>
              <w:rPr>
                <w:rFonts w:ascii="Calibri" w:cs="Calibri" w:eastAsia="Calibri" w:hAnsi="Calibri"/>
                <w:sz w:val="15"/>
                <w:szCs w:val="15"/>
                <w:color w:val="auto"/>
                <w:w w:val="96"/>
              </w:rPr>
              <w:t>10.3%</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-4.5%</w:t>
            </w:r>
          </w:p>
        </w:tc>
        <w:tc>
          <w:tcPr>
            <w:tcW w:w="1000" w:type="dxa"/>
            <w:vAlign w:val="bottom"/>
            <w:tcBorders>
              <w:bottom w:val="single" w:sz="8" w:color="D9D9D9"/>
            </w:tcBorders>
            <w:shd w:val="clear" w:color="auto" w:fill="D9D9D9"/>
          </w:tcPr>
          <w:p>
            <w:pPr>
              <w:jc w:val="center"/>
              <w:spacing w:after="0" w:line="180" w:lineRule="exact"/>
              <w:rPr>
                <w:sz w:val="20"/>
                <w:szCs w:val="20"/>
                <w:color w:val="auto"/>
              </w:rPr>
            </w:pPr>
            <w:r>
              <w:rPr>
                <w:rFonts w:ascii="Calibri" w:cs="Calibri" w:eastAsia="Calibri" w:hAnsi="Calibri"/>
                <w:sz w:val="15"/>
                <w:szCs w:val="15"/>
                <w:color w:val="auto"/>
                <w:w w:val="98"/>
              </w:rPr>
              <w:t>-0.3%</w:t>
            </w:r>
          </w:p>
        </w:tc>
        <w:tc>
          <w:tcPr>
            <w:tcW w:w="20" w:type="dxa"/>
            <w:vAlign w:val="bottom"/>
          </w:tcPr>
          <w:p>
            <w:pPr>
              <w:spacing w:after="0"/>
              <w:rPr>
                <w:sz w:val="17"/>
                <w:szCs w:val="17"/>
                <w:color w:val="auto"/>
              </w:rPr>
            </w:pPr>
          </w:p>
        </w:tc>
      </w:tr>
      <w:tr>
        <w:trPr>
          <w:trHeight w:val="163"/>
        </w:trPr>
        <w:tc>
          <w:tcPr>
            <w:tcW w:w="4480" w:type="dxa"/>
            <w:vAlign w:val="bottom"/>
            <w:tcBorders>
              <w:top w:val="single" w:sz="8" w:color="2AD2C9"/>
            </w:tcBorders>
          </w:tcPr>
          <w:p>
            <w:pPr>
              <w:spacing w:after="0" w:line="163" w:lineRule="exact"/>
              <w:rPr>
                <w:sz w:val="20"/>
                <w:szCs w:val="20"/>
                <w:color w:val="auto"/>
              </w:rPr>
            </w:pPr>
            <w:r>
              <w:rPr>
                <w:rFonts w:ascii="Calibri" w:cs="Calibri" w:eastAsia="Calibri" w:hAnsi="Calibri"/>
                <w:sz w:val="15"/>
                <w:szCs w:val="15"/>
                <w:color w:val="auto"/>
              </w:rPr>
              <w:t>Fiscal balance (% GDP)</w:t>
            </w:r>
          </w:p>
        </w:tc>
        <w:tc>
          <w:tcPr>
            <w:tcW w:w="1180" w:type="dxa"/>
            <w:vAlign w:val="bottom"/>
            <w:tcBorders>
              <w:top w:val="single" w:sz="8" w:color="2AD2C9"/>
            </w:tcBorders>
          </w:tcPr>
          <w:p>
            <w:pPr>
              <w:jc w:val="center"/>
              <w:spacing w:after="0" w:line="163" w:lineRule="exact"/>
              <w:rPr>
                <w:sz w:val="20"/>
                <w:szCs w:val="20"/>
                <w:color w:val="auto"/>
              </w:rPr>
            </w:pPr>
            <w:r>
              <w:rPr>
                <w:rFonts w:ascii="Calibri" w:cs="Calibri" w:eastAsia="Calibri" w:hAnsi="Calibri"/>
                <w:sz w:val="15"/>
                <w:szCs w:val="15"/>
                <w:color w:val="auto"/>
              </w:rPr>
              <w:t>-2.3</w:t>
            </w:r>
          </w:p>
        </w:tc>
        <w:tc>
          <w:tcPr>
            <w:tcW w:w="1140" w:type="dxa"/>
            <w:vAlign w:val="bottom"/>
            <w:tcBorders>
              <w:top w:val="single" w:sz="8" w:color="2AD2C9"/>
            </w:tcBorders>
          </w:tcPr>
          <w:p>
            <w:pPr>
              <w:jc w:val="center"/>
              <w:spacing w:after="0" w:line="163" w:lineRule="exact"/>
              <w:rPr>
                <w:sz w:val="20"/>
                <w:szCs w:val="20"/>
                <w:color w:val="auto"/>
              </w:rPr>
            </w:pPr>
            <w:r>
              <w:rPr>
                <w:rFonts w:ascii="Calibri" w:cs="Calibri" w:eastAsia="Calibri" w:hAnsi="Calibri"/>
                <w:sz w:val="15"/>
                <w:szCs w:val="15"/>
                <w:color w:val="auto"/>
              </w:rPr>
              <w:t>-1.6</w:t>
            </w:r>
          </w:p>
        </w:tc>
        <w:tc>
          <w:tcPr>
            <w:tcW w:w="1140" w:type="dxa"/>
            <w:vAlign w:val="bottom"/>
            <w:tcBorders>
              <w:top w:val="single" w:sz="8" w:color="2AD2C9"/>
            </w:tcBorders>
          </w:tcPr>
          <w:p>
            <w:pPr>
              <w:jc w:val="center"/>
              <w:spacing w:after="0" w:line="163" w:lineRule="exact"/>
              <w:rPr>
                <w:sz w:val="20"/>
                <w:szCs w:val="20"/>
                <w:color w:val="auto"/>
              </w:rPr>
            </w:pPr>
            <w:r>
              <w:rPr>
                <w:rFonts w:ascii="Calibri" w:cs="Calibri" w:eastAsia="Calibri" w:hAnsi="Calibri"/>
                <w:sz w:val="15"/>
                <w:szCs w:val="15"/>
                <w:color w:val="auto"/>
                <w:w w:val="93"/>
              </w:rPr>
              <w:t>-8.9</w:t>
            </w:r>
          </w:p>
        </w:tc>
        <w:tc>
          <w:tcPr>
            <w:tcW w:w="1160" w:type="dxa"/>
            <w:vAlign w:val="bottom"/>
            <w:tcBorders>
              <w:top w:val="single" w:sz="8" w:color="2AD2C9"/>
            </w:tcBorders>
          </w:tcPr>
          <w:p>
            <w:pPr>
              <w:jc w:val="center"/>
              <w:spacing w:after="0" w:line="163" w:lineRule="exact"/>
              <w:rPr>
                <w:sz w:val="20"/>
                <w:szCs w:val="20"/>
                <w:color w:val="auto"/>
              </w:rPr>
            </w:pPr>
            <w:r>
              <w:rPr>
                <w:rFonts w:ascii="Calibri" w:cs="Calibri" w:eastAsia="Calibri" w:hAnsi="Calibri"/>
                <w:sz w:val="15"/>
                <w:szCs w:val="15"/>
                <w:color w:val="auto"/>
              </w:rPr>
              <w:t>-2.5</w:t>
            </w:r>
          </w:p>
        </w:tc>
        <w:tc>
          <w:tcPr>
            <w:tcW w:w="1140" w:type="dxa"/>
            <w:vAlign w:val="bottom"/>
            <w:tcBorders>
              <w:top w:val="single" w:sz="8" w:color="2AD2C9"/>
            </w:tcBorders>
          </w:tcPr>
          <w:p>
            <w:pPr>
              <w:jc w:val="center"/>
              <w:spacing w:after="0" w:line="163" w:lineRule="exact"/>
              <w:rPr>
                <w:sz w:val="20"/>
                <w:szCs w:val="20"/>
                <w:color w:val="auto"/>
              </w:rPr>
            </w:pPr>
            <w:r>
              <w:rPr>
                <w:rFonts w:ascii="Calibri" w:cs="Calibri" w:eastAsia="Calibri" w:hAnsi="Calibri"/>
                <w:sz w:val="15"/>
                <w:szCs w:val="15"/>
                <w:color w:val="auto"/>
              </w:rPr>
              <w:t>-1.6</w:t>
            </w:r>
          </w:p>
        </w:tc>
        <w:tc>
          <w:tcPr>
            <w:tcW w:w="1000" w:type="dxa"/>
            <w:vAlign w:val="bottom"/>
            <w:tcBorders>
              <w:top w:val="single" w:sz="8" w:color="2AD2C9"/>
            </w:tcBorders>
            <w:shd w:val="clear" w:color="auto" w:fill="D9D9D9"/>
          </w:tcPr>
          <w:p>
            <w:pPr>
              <w:jc w:val="center"/>
              <w:spacing w:after="0" w:line="163" w:lineRule="exact"/>
              <w:rPr>
                <w:sz w:val="20"/>
                <w:szCs w:val="20"/>
                <w:color w:val="auto"/>
              </w:rPr>
            </w:pPr>
            <w:r>
              <w:rPr>
                <w:rFonts w:ascii="Calibri" w:cs="Calibri" w:eastAsia="Calibri" w:hAnsi="Calibri"/>
                <w:sz w:val="15"/>
                <w:szCs w:val="15"/>
                <w:color w:val="auto"/>
              </w:rPr>
              <w:t>-2.0</w:t>
            </w:r>
          </w:p>
        </w:tc>
        <w:tc>
          <w:tcPr>
            <w:tcW w:w="20" w:type="dxa"/>
            <w:vAlign w:val="bottom"/>
          </w:tcPr>
          <w:p>
            <w:pPr>
              <w:spacing w:after="0"/>
              <w:rPr>
                <w:sz w:val="14"/>
                <w:szCs w:val="14"/>
                <w:color w:val="auto"/>
              </w:rPr>
            </w:pPr>
          </w:p>
        </w:tc>
      </w:tr>
      <w:tr>
        <w:trPr>
          <w:trHeight w:val="203"/>
        </w:trPr>
        <w:tc>
          <w:tcPr>
            <w:tcW w:w="4480" w:type="dxa"/>
            <w:vAlign w:val="bottom"/>
          </w:tcPr>
          <w:p>
            <w:pPr>
              <w:spacing w:after="0" w:line="180" w:lineRule="exact"/>
              <w:rPr>
                <w:sz w:val="20"/>
                <w:szCs w:val="20"/>
                <w:color w:val="auto"/>
              </w:rPr>
            </w:pPr>
            <w:r>
              <w:rPr>
                <w:rFonts w:ascii="Calibri" w:cs="Calibri" w:eastAsia="Calibri" w:hAnsi="Calibri"/>
                <w:sz w:val="15"/>
                <w:szCs w:val="15"/>
                <w:color w:val="auto"/>
              </w:rPr>
              <w:t>Public Debt (as % GDP)</w:t>
            </w:r>
          </w:p>
        </w:tc>
        <w:tc>
          <w:tcPr>
            <w:tcW w:w="1180" w:type="dxa"/>
            <w:vAlign w:val="bottom"/>
          </w:tcPr>
          <w:p>
            <w:pPr>
              <w:jc w:val="center"/>
              <w:spacing w:after="0" w:line="180" w:lineRule="exact"/>
              <w:rPr>
                <w:sz w:val="20"/>
                <w:szCs w:val="20"/>
                <w:color w:val="auto"/>
              </w:rPr>
            </w:pPr>
            <w:r>
              <w:rPr>
                <w:rFonts w:ascii="Calibri" w:cs="Calibri" w:eastAsia="Calibri" w:hAnsi="Calibri"/>
                <w:sz w:val="15"/>
                <w:szCs w:val="15"/>
                <w:color w:val="auto"/>
                <w:w w:val="97"/>
              </w:rPr>
              <w:t>25.6</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w w:val="97"/>
              </w:rPr>
              <w:t>26.6</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w w:val="97"/>
              </w:rPr>
              <w:t>34.6</w:t>
            </w:r>
          </w:p>
        </w:tc>
        <w:tc>
          <w:tcPr>
            <w:tcW w:w="1160" w:type="dxa"/>
            <w:vAlign w:val="bottom"/>
          </w:tcPr>
          <w:p>
            <w:pPr>
              <w:jc w:val="center"/>
              <w:spacing w:after="0" w:line="180" w:lineRule="exact"/>
              <w:rPr>
                <w:sz w:val="20"/>
                <w:szCs w:val="20"/>
                <w:color w:val="auto"/>
              </w:rPr>
            </w:pPr>
            <w:r>
              <w:rPr>
                <w:rFonts w:ascii="Calibri" w:cs="Calibri" w:eastAsia="Calibri" w:hAnsi="Calibri"/>
                <w:sz w:val="15"/>
                <w:szCs w:val="15"/>
                <w:color w:val="auto"/>
                <w:w w:val="97"/>
              </w:rPr>
              <w:t>35.9</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w w:val="97"/>
              </w:rPr>
              <w:t>34.0</w:t>
            </w:r>
          </w:p>
        </w:tc>
        <w:tc>
          <w:tcPr>
            <w:tcW w:w="1000" w:type="dxa"/>
            <w:vAlign w:val="bottom"/>
            <w:tcBorders>
              <w:bottom w:val="single" w:sz="8" w:color="D9D9D9"/>
            </w:tcBorders>
            <w:shd w:val="clear" w:color="auto" w:fill="D9D9D9"/>
          </w:tcPr>
          <w:p>
            <w:pPr>
              <w:jc w:val="center"/>
              <w:spacing w:after="0" w:line="180" w:lineRule="exact"/>
              <w:rPr>
                <w:sz w:val="20"/>
                <w:szCs w:val="20"/>
                <w:color w:val="auto"/>
              </w:rPr>
            </w:pPr>
            <w:r>
              <w:rPr>
                <w:rFonts w:ascii="Calibri" w:cs="Calibri" w:eastAsia="Calibri" w:hAnsi="Calibri"/>
                <w:sz w:val="15"/>
                <w:szCs w:val="15"/>
                <w:color w:val="auto"/>
                <w:w w:val="97"/>
              </w:rPr>
              <w:t>33.8</w:t>
            </w:r>
          </w:p>
        </w:tc>
        <w:tc>
          <w:tcPr>
            <w:tcW w:w="20" w:type="dxa"/>
            <w:vAlign w:val="bottom"/>
          </w:tcPr>
          <w:p>
            <w:pPr>
              <w:spacing w:after="0"/>
              <w:rPr>
                <w:sz w:val="17"/>
                <w:szCs w:val="17"/>
                <w:color w:val="auto"/>
              </w:rPr>
            </w:pPr>
          </w:p>
        </w:tc>
      </w:tr>
      <w:tr>
        <w:trPr>
          <w:trHeight w:val="163"/>
        </w:trPr>
        <w:tc>
          <w:tcPr>
            <w:tcW w:w="4480" w:type="dxa"/>
            <w:vAlign w:val="bottom"/>
            <w:tcBorders>
              <w:top w:val="single" w:sz="8" w:color="2AD2C9"/>
            </w:tcBorders>
          </w:tcPr>
          <w:p>
            <w:pPr>
              <w:spacing w:after="0" w:line="163" w:lineRule="exact"/>
              <w:rPr>
                <w:sz w:val="20"/>
                <w:szCs w:val="20"/>
                <w:color w:val="auto"/>
              </w:rPr>
            </w:pPr>
            <w:r>
              <w:rPr>
                <w:rFonts w:ascii="Calibri" w:cs="Calibri" w:eastAsia="Calibri" w:hAnsi="Calibri"/>
                <w:sz w:val="15"/>
                <w:szCs w:val="15"/>
                <w:color w:val="auto"/>
              </w:rPr>
              <w:t>Trade balance (US$ Millions)</w:t>
            </w:r>
          </w:p>
        </w:tc>
        <w:tc>
          <w:tcPr>
            <w:tcW w:w="1180" w:type="dxa"/>
            <w:vAlign w:val="bottom"/>
            <w:tcBorders>
              <w:top w:val="single" w:sz="8" w:color="2AD2C9"/>
            </w:tcBorders>
          </w:tcPr>
          <w:p>
            <w:pPr>
              <w:jc w:val="center"/>
              <w:spacing w:after="0" w:line="163" w:lineRule="exact"/>
              <w:rPr>
                <w:sz w:val="20"/>
                <w:szCs w:val="20"/>
                <w:color w:val="auto"/>
              </w:rPr>
            </w:pPr>
            <w:r>
              <w:rPr>
                <w:rFonts w:ascii="Calibri" w:cs="Calibri" w:eastAsia="Calibri" w:hAnsi="Calibri"/>
                <w:sz w:val="15"/>
                <w:szCs w:val="15"/>
                <w:color w:val="auto"/>
                <w:w w:val="99"/>
              </w:rPr>
              <w:t>7,201</w:t>
            </w:r>
          </w:p>
        </w:tc>
        <w:tc>
          <w:tcPr>
            <w:tcW w:w="1140" w:type="dxa"/>
            <w:vAlign w:val="bottom"/>
            <w:tcBorders>
              <w:top w:val="single" w:sz="8" w:color="2AD2C9"/>
            </w:tcBorders>
          </w:tcPr>
          <w:p>
            <w:pPr>
              <w:jc w:val="center"/>
              <w:spacing w:after="0" w:line="163" w:lineRule="exact"/>
              <w:rPr>
                <w:sz w:val="20"/>
                <w:szCs w:val="20"/>
                <w:color w:val="auto"/>
              </w:rPr>
            </w:pPr>
            <w:r>
              <w:rPr>
                <w:rFonts w:ascii="Calibri" w:cs="Calibri" w:eastAsia="Calibri" w:hAnsi="Calibri"/>
                <w:sz w:val="15"/>
                <w:szCs w:val="15"/>
                <w:color w:val="auto"/>
                <w:w w:val="99"/>
              </w:rPr>
              <w:t>6,879</w:t>
            </w:r>
          </w:p>
        </w:tc>
        <w:tc>
          <w:tcPr>
            <w:tcW w:w="1140" w:type="dxa"/>
            <w:vAlign w:val="bottom"/>
            <w:tcBorders>
              <w:top w:val="single" w:sz="8" w:color="2AD2C9"/>
            </w:tcBorders>
          </w:tcPr>
          <w:p>
            <w:pPr>
              <w:jc w:val="center"/>
              <w:spacing w:after="0" w:line="163" w:lineRule="exact"/>
              <w:rPr>
                <w:sz w:val="20"/>
                <w:szCs w:val="20"/>
                <w:color w:val="auto"/>
              </w:rPr>
            </w:pPr>
            <w:r>
              <w:rPr>
                <w:rFonts w:ascii="Calibri" w:cs="Calibri" w:eastAsia="Calibri" w:hAnsi="Calibri"/>
                <w:sz w:val="15"/>
                <w:szCs w:val="15"/>
                <w:color w:val="auto"/>
                <w:w w:val="99"/>
              </w:rPr>
              <w:t>8,196</w:t>
            </w:r>
          </w:p>
        </w:tc>
        <w:tc>
          <w:tcPr>
            <w:tcW w:w="1160" w:type="dxa"/>
            <w:vAlign w:val="bottom"/>
            <w:tcBorders>
              <w:top w:val="single" w:sz="8" w:color="2AD2C9"/>
            </w:tcBorders>
          </w:tcPr>
          <w:p>
            <w:pPr>
              <w:jc w:val="center"/>
              <w:spacing w:after="0" w:line="163" w:lineRule="exact"/>
              <w:rPr>
                <w:sz w:val="20"/>
                <w:szCs w:val="20"/>
                <w:color w:val="auto"/>
              </w:rPr>
            </w:pPr>
            <w:r>
              <w:rPr>
                <w:rFonts w:ascii="Calibri" w:cs="Calibri" w:eastAsia="Calibri" w:hAnsi="Calibri"/>
                <w:sz w:val="15"/>
                <w:szCs w:val="15"/>
                <w:color w:val="auto"/>
                <w:w w:val="95"/>
              </w:rPr>
              <w:t>14,927</w:t>
            </w:r>
          </w:p>
        </w:tc>
        <w:tc>
          <w:tcPr>
            <w:tcW w:w="1140" w:type="dxa"/>
            <w:vAlign w:val="bottom"/>
            <w:tcBorders>
              <w:top w:val="single" w:sz="8" w:color="2AD2C9"/>
            </w:tcBorders>
          </w:tcPr>
          <w:p>
            <w:pPr>
              <w:jc w:val="center"/>
              <w:spacing w:after="0" w:line="163" w:lineRule="exact"/>
              <w:rPr>
                <w:sz w:val="20"/>
                <w:szCs w:val="20"/>
                <w:color w:val="auto"/>
              </w:rPr>
            </w:pPr>
            <w:r>
              <w:rPr>
                <w:rFonts w:ascii="Calibri" w:cs="Calibri" w:eastAsia="Calibri" w:hAnsi="Calibri"/>
                <w:sz w:val="15"/>
                <w:szCs w:val="15"/>
                <w:color w:val="auto"/>
                <w:w w:val="99"/>
              </w:rPr>
              <w:t>9,565</w:t>
            </w:r>
          </w:p>
        </w:tc>
        <w:tc>
          <w:tcPr>
            <w:tcW w:w="1000" w:type="dxa"/>
            <w:vAlign w:val="bottom"/>
            <w:tcBorders>
              <w:top w:val="single" w:sz="8" w:color="2AD2C9"/>
            </w:tcBorders>
            <w:shd w:val="clear" w:color="auto" w:fill="D9D9D9"/>
          </w:tcPr>
          <w:p>
            <w:pPr>
              <w:jc w:val="center"/>
              <w:spacing w:after="0" w:line="163" w:lineRule="exact"/>
              <w:rPr>
                <w:sz w:val="20"/>
                <w:szCs w:val="20"/>
                <w:color w:val="auto"/>
              </w:rPr>
            </w:pPr>
            <w:r>
              <w:rPr>
                <w:rFonts w:ascii="Calibri" w:cs="Calibri" w:eastAsia="Calibri" w:hAnsi="Calibri"/>
                <w:sz w:val="15"/>
                <w:szCs w:val="15"/>
                <w:color w:val="auto"/>
                <w:w w:val="99"/>
              </w:rPr>
              <w:t>9,000</w:t>
            </w:r>
          </w:p>
        </w:tc>
        <w:tc>
          <w:tcPr>
            <w:tcW w:w="20" w:type="dxa"/>
            <w:vAlign w:val="bottom"/>
          </w:tcPr>
          <w:p>
            <w:pPr>
              <w:spacing w:after="0"/>
              <w:rPr>
                <w:sz w:val="14"/>
                <w:szCs w:val="14"/>
                <w:color w:val="auto"/>
              </w:rPr>
            </w:pPr>
          </w:p>
        </w:tc>
      </w:tr>
      <w:tr>
        <w:trPr>
          <w:trHeight w:val="179"/>
        </w:trPr>
        <w:tc>
          <w:tcPr>
            <w:tcW w:w="4480" w:type="dxa"/>
            <w:vAlign w:val="bottom"/>
          </w:tcPr>
          <w:p>
            <w:pPr>
              <w:spacing w:after="0" w:line="180" w:lineRule="exact"/>
              <w:rPr>
                <w:sz w:val="20"/>
                <w:szCs w:val="20"/>
                <w:color w:val="auto"/>
              </w:rPr>
            </w:pPr>
            <w:r>
              <w:rPr>
                <w:rFonts w:ascii="Calibri" w:cs="Calibri" w:eastAsia="Calibri" w:hAnsi="Calibri"/>
                <w:sz w:val="15"/>
                <w:szCs w:val="15"/>
                <w:color w:val="auto"/>
              </w:rPr>
              <w:t>(As % GDP)</w:t>
            </w:r>
          </w:p>
        </w:tc>
        <w:tc>
          <w:tcPr>
            <w:tcW w:w="1180" w:type="dxa"/>
            <w:vAlign w:val="bottom"/>
          </w:tcPr>
          <w:p>
            <w:pPr>
              <w:jc w:val="center"/>
              <w:spacing w:after="0" w:line="180" w:lineRule="exact"/>
              <w:rPr>
                <w:sz w:val="20"/>
                <w:szCs w:val="20"/>
                <w:color w:val="auto"/>
              </w:rPr>
            </w:pPr>
            <w:r>
              <w:rPr>
                <w:rFonts w:ascii="Calibri" w:cs="Calibri" w:eastAsia="Calibri" w:hAnsi="Calibri"/>
                <w:sz w:val="15"/>
                <w:szCs w:val="15"/>
                <w:color w:val="auto"/>
              </w:rPr>
              <w:t>3.2%</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rPr>
              <w:t>3.0%</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rPr>
              <w:t>4.0%</w:t>
            </w:r>
          </w:p>
        </w:tc>
        <w:tc>
          <w:tcPr>
            <w:tcW w:w="1160" w:type="dxa"/>
            <w:vAlign w:val="bottom"/>
          </w:tcPr>
          <w:p>
            <w:pPr>
              <w:jc w:val="center"/>
              <w:spacing w:after="0" w:line="180" w:lineRule="exact"/>
              <w:rPr>
                <w:sz w:val="20"/>
                <w:szCs w:val="20"/>
                <w:color w:val="auto"/>
              </w:rPr>
            </w:pPr>
            <w:r>
              <w:rPr>
                <w:rFonts w:ascii="Calibri" w:cs="Calibri" w:eastAsia="Calibri" w:hAnsi="Calibri"/>
                <w:sz w:val="15"/>
                <w:szCs w:val="15"/>
                <w:color w:val="auto"/>
                <w:w w:val="94"/>
              </w:rPr>
              <w:t>6.6%</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rPr>
              <w:t>3.9%</w:t>
            </w:r>
          </w:p>
        </w:tc>
        <w:tc>
          <w:tcPr>
            <w:tcW w:w="1000" w:type="dxa"/>
            <w:vAlign w:val="bottom"/>
            <w:shd w:val="clear" w:color="auto" w:fill="D9D9D9"/>
          </w:tcPr>
          <w:p>
            <w:pPr>
              <w:jc w:val="center"/>
              <w:spacing w:after="0" w:line="180" w:lineRule="exact"/>
              <w:rPr>
                <w:sz w:val="20"/>
                <w:szCs w:val="20"/>
                <w:color w:val="auto"/>
              </w:rPr>
            </w:pPr>
            <w:r>
              <w:rPr>
                <w:rFonts w:ascii="Calibri" w:cs="Calibri" w:eastAsia="Calibri" w:hAnsi="Calibri"/>
                <w:sz w:val="15"/>
                <w:szCs w:val="15"/>
                <w:color w:val="auto"/>
                <w:w w:val="94"/>
              </w:rPr>
              <w:t>3.4%</w:t>
            </w:r>
          </w:p>
        </w:tc>
        <w:tc>
          <w:tcPr>
            <w:tcW w:w="20" w:type="dxa"/>
            <w:vAlign w:val="bottom"/>
          </w:tcPr>
          <w:p>
            <w:pPr>
              <w:spacing w:after="0"/>
              <w:rPr>
                <w:sz w:val="15"/>
                <w:szCs w:val="15"/>
                <w:color w:val="auto"/>
              </w:rPr>
            </w:pPr>
          </w:p>
        </w:tc>
      </w:tr>
      <w:tr>
        <w:trPr>
          <w:trHeight w:val="182"/>
        </w:trPr>
        <w:tc>
          <w:tcPr>
            <w:tcW w:w="4480" w:type="dxa"/>
            <w:vAlign w:val="bottom"/>
          </w:tcPr>
          <w:p>
            <w:pPr>
              <w:spacing w:after="0" w:line="181" w:lineRule="exact"/>
              <w:rPr>
                <w:sz w:val="20"/>
                <w:szCs w:val="20"/>
                <w:color w:val="auto"/>
              </w:rPr>
            </w:pPr>
            <w:r>
              <w:rPr>
                <w:rFonts w:ascii="Calibri" w:cs="Calibri" w:eastAsia="Calibri" w:hAnsi="Calibri"/>
                <w:sz w:val="15"/>
                <w:szCs w:val="15"/>
                <w:color w:val="auto"/>
              </w:rPr>
              <w:t>Exports</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rPr>
              <w:t>49,066</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rPr>
              <w:t>47,980</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rPr>
              <w:t>42,905</w:t>
            </w:r>
          </w:p>
        </w:tc>
        <w:tc>
          <w:tcPr>
            <w:tcW w:w="1160" w:type="dxa"/>
            <w:vAlign w:val="bottom"/>
          </w:tcPr>
          <w:p>
            <w:pPr>
              <w:jc w:val="center"/>
              <w:spacing w:after="0" w:line="181" w:lineRule="exact"/>
              <w:rPr>
                <w:sz w:val="20"/>
                <w:szCs w:val="20"/>
                <w:color w:val="auto"/>
              </w:rPr>
            </w:pPr>
            <w:r>
              <w:rPr>
                <w:rFonts w:ascii="Calibri" w:cs="Calibri" w:eastAsia="Calibri" w:hAnsi="Calibri"/>
                <w:sz w:val="15"/>
                <w:szCs w:val="15"/>
                <w:color w:val="auto"/>
                <w:w w:val="95"/>
              </w:rPr>
              <w:t>63,151</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rPr>
              <w:t>65,834</w:t>
            </w:r>
          </w:p>
        </w:tc>
        <w:tc>
          <w:tcPr>
            <w:tcW w:w="1000" w:type="dxa"/>
            <w:vAlign w:val="bottom"/>
            <w:shd w:val="clear" w:color="auto" w:fill="D9D9D9"/>
          </w:tcPr>
          <w:p>
            <w:pPr>
              <w:jc w:val="center"/>
              <w:spacing w:after="0" w:line="181" w:lineRule="exact"/>
              <w:rPr>
                <w:sz w:val="20"/>
                <w:szCs w:val="20"/>
                <w:color w:val="auto"/>
              </w:rPr>
            </w:pPr>
            <w:r>
              <w:rPr>
                <w:rFonts w:ascii="Calibri" w:cs="Calibri" w:eastAsia="Calibri" w:hAnsi="Calibri"/>
                <w:sz w:val="15"/>
                <w:szCs w:val="15"/>
                <w:color w:val="auto"/>
                <w:w w:val="95"/>
              </w:rPr>
              <w:t>64,800</w:t>
            </w:r>
          </w:p>
        </w:tc>
        <w:tc>
          <w:tcPr>
            <w:tcW w:w="20" w:type="dxa"/>
            <w:vAlign w:val="bottom"/>
          </w:tcPr>
          <w:p>
            <w:pPr>
              <w:spacing w:after="0"/>
              <w:rPr>
                <w:sz w:val="15"/>
                <w:szCs w:val="15"/>
                <w:color w:val="auto"/>
              </w:rPr>
            </w:pPr>
          </w:p>
        </w:tc>
      </w:tr>
      <w:tr>
        <w:trPr>
          <w:trHeight w:val="182"/>
        </w:trPr>
        <w:tc>
          <w:tcPr>
            <w:tcW w:w="4480" w:type="dxa"/>
            <w:vAlign w:val="bottom"/>
          </w:tcPr>
          <w:p>
            <w:pPr>
              <w:spacing w:after="0" w:line="181" w:lineRule="exact"/>
              <w:rPr>
                <w:sz w:val="20"/>
                <w:szCs w:val="20"/>
                <w:color w:val="auto"/>
              </w:rPr>
            </w:pPr>
            <w:r>
              <w:rPr>
                <w:rFonts w:ascii="Calibri" w:cs="Calibri" w:eastAsia="Calibri" w:hAnsi="Calibri"/>
                <w:sz w:val="15"/>
                <w:szCs w:val="15"/>
                <w:color w:val="auto"/>
              </w:rPr>
              <w:t>Imports</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rPr>
              <w:t>41,866</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rPr>
              <w:t>41,101</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rPr>
              <w:t>34,709</w:t>
            </w:r>
          </w:p>
        </w:tc>
        <w:tc>
          <w:tcPr>
            <w:tcW w:w="1160" w:type="dxa"/>
            <w:vAlign w:val="bottom"/>
          </w:tcPr>
          <w:p>
            <w:pPr>
              <w:jc w:val="center"/>
              <w:spacing w:after="0" w:line="181" w:lineRule="exact"/>
              <w:rPr>
                <w:sz w:val="20"/>
                <w:szCs w:val="20"/>
                <w:color w:val="auto"/>
              </w:rPr>
            </w:pPr>
            <w:r>
              <w:rPr>
                <w:rFonts w:ascii="Calibri" w:cs="Calibri" w:eastAsia="Calibri" w:hAnsi="Calibri"/>
                <w:sz w:val="15"/>
                <w:szCs w:val="15"/>
                <w:color w:val="auto"/>
                <w:w w:val="95"/>
              </w:rPr>
              <w:t>48,223</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rPr>
              <w:t>56,269</w:t>
            </w:r>
          </w:p>
        </w:tc>
        <w:tc>
          <w:tcPr>
            <w:tcW w:w="1000" w:type="dxa"/>
            <w:vAlign w:val="bottom"/>
            <w:shd w:val="clear" w:color="auto" w:fill="D9D9D9"/>
          </w:tcPr>
          <w:p>
            <w:pPr>
              <w:jc w:val="center"/>
              <w:spacing w:after="0" w:line="181" w:lineRule="exact"/>
              <w:rPr>
                <w:sz w:val="20"/>
                <w:szCs w:val="20"/>
                <w:color w:val="auto"/>
              </w:rPr>
            </w:pPr>
            <w:r>
              <w:rPr>
                <w:rFonts w:ascii="Calibri" w:cs="Calibri" w:eastAsia="Calibri" w:hAnsi="Calibri"/>
                <w:sz w:val="15"/>
                <w:szCs w:val="15"/>
                <w:color w:val="auto"/>
                <w:w w:val="95"/>
              </w:rPr>
              <w:t>55,800</w:t>
            </w:r>
          </w:p>
        </w:tc>
        <w:tc>
          <w:tcPr>
            <w:tcW w:w="20" w:type="dxa"/>
            <w:vAlign w:val="bottom"/>
          </w:tcPr>
          <w:p>
            <w:pPr>
              <w:spacing w:after="0"/>
              <w:rPr>
                <w:sz w:val="15"/>
                <w:szCs w:val="15"/>
                <w:color w:val="auto"/>
              </w:rPr>
            </w:pPr>
          </w:p>
        </w:tc>
      </w:tr>
      <w:tr>
        <w:trPr>
          <w:trHeight w:val="182"/>
        </w:trPr>
        <w:tc>
          <w:tcPr>
            <w:tcW w:w="4480" w:type="dxa"/>
            <w:vAlign w:val="bottom"/>
          </w:tcPr>
          <w:p>
            <w:pPr>
              <w:spacing w:after="0" w:line="181" w:lineRule="exact"/>
              <w:rPr>
                <w:sz w:val="20"/>
                <w:szCs w:val="20"/>
                <w:color w:val="auto"/>
              </w:rPr>
            </w:pPr>
            <w:r>
              <w:rPr>
                <w:rFonts w:ascii="Calibri" w:cs="Calibri" w:eastAsia="Calibri" w:hAnsi="Calibri"/>
                <w:sz w:val="15"/>
                <w:szCs w:val="15"/>
                <w:color w:val="auto"/>
              </w:rPr>
              <w:t>Current account balance (US$ Millions)</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-2,895</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-1,680</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2,398</w:t>
            </w:r>
          </w:p>
        </w:tc>
        <w:tc>
          <w:tcPr>
            <w:tcW w:w="116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-5,179</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-10,644</w:t>
            </w:r>
          </w:p>
        </w:tc>
        <w:tc>
          <w:tcPr>
            <w:tcW w:w="1000" w:type="dxa"/>
            <w:vAlign w:val="bottom"/>
            <w:shd w:val="clear" w:color="auto" w:fill="D9D9D9"/>
          </w:tcPr>
          <w:p>
            <w:pPr>
              <w:jc w:val="center"/>
              <w:spacing w:after="0" w:line="181" w:lineRule="exact"/>
              <w:rPr>
                <w:sz w:val="20"/>
                <w:szCs w:val="20"/>
                <w:color w:val="auto"/>
              </w:rPr>
            </w:pPr>
            <w:r>
              <w:rPr>
                <w:rFonts w:ascii="Calibri" w:cs="Calibri" w:eastAsia="Calibri" w:hAnsi="Calibri"/>
                <w:sz w:val="15"/>
                <w:szCs w:val="15"/>
                <w:color w:val="auto"/>
                <w:w w:val="97"/>
              </w:rPr>
              <w:t>-9,157</w:t>
            </w:r>
          </w:p>
        </w:tc>
        <w:tc>
          <w:tcPr>
            <w:tcW w:w="20" w:type="dxa"/>
            <w:vAlign w:val="bottom"/>
          </w:tcPr>
          <w:p>
            <w:pPr>
              <w:spacing w:after="0"/>
              <w:rPr>
                <w:sz w:val="15"/>
                <w:szCs w:val="15"/>
                <w:color w:val="auto"/>
              </w:rPr>
            </w:pPr>
          </w:p>
        </w:tc>
      </w:tr>
      <w:tr>
        <w:trPr>
          <w:trHeight w:val="182"/>
        </w:trPr>
        <w:tc>
          <w:tcPr>
            <w:tcW w:w="4480" w:type="dxa"/>
            <w:vAlign w:val="bottom"/>
          </w:tcPr>
          <w:p>
            <w:pPr>
              <w:spacing w:after="0" w:line="181" w:lineRule="exact"/>
              <w:rPr>
                <w:sz w:val="20"/>
                <w:szCs w:val="20"/>
                <w:color w:val="auto"/>
              </w:rPr>
            </w:pPr>
            <w:r>
              <w:rPr>
                <w:rFonts w:ascii="Calibri" w:cs="Calibri" w:eastAsia="Calibri" w:hAnsi="Calibri"/>
                <w:sz w:val="15"/>
                <w:szCs w:val="15"/>
                <w:color w:val="auto"/>
              </w:rPr>
              <w:t>Current account balance (As % GDP)</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w w:val="98"/>
              </w:rPr>
              <w:t>-1.3%</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8"/>
              </w:rPr>
              <w:t>-0.7%</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rPr>
              <w:t>1.2%</w:t>
            </w:r>
          </w:p>
        </w:tc>
        <w:tc>
          <w:tcPr>
            <w:tcW w:w="1160" w:type="dxa"/>
            <w:vAlign w:val="bottom"/>
          </w:tcPr>
          <w:p>
            <w:pPr>
              <w:jc w:val="center"/>
              <w:spacing w:after="0" w:line="181" w:lineRule="exact"/>
              <w:rPr>
                <w:sz w:val="20"/>
                <w:szCs w:val="20"/>
                <w:color w:val="auto"/>
              </w:rPr>
            </w:pPr>
            <w:r>
              <w:rPr>
                <w:rFonts w:ascii="Calibri" w:cs="Calibri" w:eastAsia="Calibri" w:hAnsi="Calibri"/>
                <w:sz w:val="15"/>
                <w:szCs w:val="15"/>
                <w:color w:val="auto"/>
                <w:w w:val="98"/>
              </w:rPr>
              <w:t>-2.3%</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8"/>
              </w:rPr>
              <w:t>-4.3%</w:t>
            </w:r>
          </w:p>
        </w:tc>
        <w:tc>
          <w:tcPr>
            <w:tcW w:w="1000" w:type="dxa"/>
            <w:vAlign w:val="bottom"/>
            <w:shd w:val="clear" w:color="auto" w:fill="D9D9D9"/>
          </w:tcPr>
          <w:p>
            <w:pPr>
              <w:jc w:val="center"/>
              <w:spacing w:after="0" w:line="181" w:lineRule="exact"/>
              <w:rPr>
                <w:sz w:val="20"/>
                <w:szCs w:val="20"/>
                <w:color w:val="auto"/>
              </w:rPr>
            </w:pPr>
            <w:r>
              <w:rPr>
                <w:rFonts w:ascii="Calibri" w:cs="Calibri" w:eastAsia="Calibri" w:hAnsi="Calibri"/>
                <w:sz w:val="15"/>
                <w:szCs w:val="15"/>
                <w:color w:val="auto"/>
                <w:w w:val="98"/>
              </w:rPr>
              <w:t>-3.5%</w:t>
            </w:r>
          </w:p>
        </w:tc>
        <w:tc>
          <w:tcPr>
            <w:tcW w:w="20" w:type="dxa"/>
            <w:vAlign w:val="bottom"/>
          </w:tcPr>
          <w:p>
            <w:pPr>
              <w:spacing w:after="0"/>
              <w:rPr>
                <w:sz w:val="15"/>
                <w:szCs w:val="15"/>
                <w:color w:val="auto"/>
              </w:rPr>
            </w:pPr>
          </w:p>
        </w:tc>
      </w:tr>
      <w:tr>
        <w:trPr>
          <w:trHeight w:val="182"/>
        </w:trPr>
        <w:tc>
          <w:tcPr>
            <w:tcW w:w="4480" w:type="dxa"/>
            <w:vAlign w:val="bottom"/>
          </w:tcPr>
          <w:p>
            <w:pPr>
              <w:spacing w:after="0" w:line="181" w:lineRule="exact"/>
              <w:rPr>
                <w:sz w:val="20"/>
                <w:szCs w:val="20"/>
                <w:color w:val="auto"/>
              </w:rPr>
            </w:pPr>
            <w:r>
              <w:rPr>
                <w:rFonts w:ascii="Calibri" w:cs="Calibri" w:eastAsia="Calibri" w:hAnsi="Calibri"/>
                <w:sz w:val="15"/>
                <w:szCs w:val="15"/>
                <w:color w:val="auto"/>
              </w:rPr>
              <w:t>Net internatonal reserves (US$ Millions)</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rPr>
              <w:t>60,121</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rPr>
              <w:t>68,316</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rPr>
              <w:t>74,707</w:t>
            </w:r>
          </w:p>
        </w:tc>
        <w:tc>
          <w:tcPr>
            <w:tcW w:w="1160" w:type="dxa"/>
            <w:vAlign w:val="bottom"/>
          </w:tcPr>
          <w:p>
            <w:pPr>
              <w:jc w:val="center"/>
              <w:spacing w:after="0" w:line="181" w:lineRule="exact"/>
              <w:rPr>
                <w:sz w:val="20"/>
                <w:szCs w:val="20"/>
                <w:color w:val="auto"/>
              </w:rPr>
            </w:pPr>
            <w:r>
              <w:rPr>
                <w:rFonts w:ascii="Calibri" w:cs="Calibri" w:eastAsia="Calibri" w:hAnsi="Calibri"/>
                <w:sz w:val="15"/>
                <w:szCs w:val="15"/>
                <w:color w:val="auto"/>
                <w:w w:val="95"/>
              </w:rPr>
              <w:t>78,495</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rPr>
              <w:t>71,883</w:t>
            </w:r>
          </w:p>
        </w:tc>
        <w:tc>
          <w:tcPr>
            <w:tcW w:w="1000" w:type="dxa"/>
            <w:vAlign w:val="bottom"/>
            <w:shd w:val="clear" w:color="auto" w:fill="D9D9D9"/>
          </w:tcPr>
          <w:p>
            <w:pPr>
              <w:jc w:val="center"/>
              <w:spacing w:after="0" w:line="181" w:lineRule="exact"/>
              <w:rPr>
                <w:sz w:val="20"/>
                <w:szCs w:val="20"/>
                <w:color w:val="auto"/>
              </w:rPr>
            </w:pPr>
            <w:r>
              <w:rPr>
                <w:rFonts w:ascii="Calibri" w:cs="Calibri" w:eastAsia="Calibri" w:hAnsi="Calibri"/>
                <w:sz w:val="15"/>
                <w:szCs w:val="15"/>
                <w:color w:val="auto"/>
                <w:w w:val="95"/>
              </w:rPr>
              <w:t>72,000</w:t>
            </w:r>
          </w:p>
        </w:tc>
        <w:tc>
          <w:tcPr>
            <w:tcW w:w="20" w:type="dxa"/>
            <w:vAlign w:val="bottom"/>
          </w:tcPr>
          <w:p>
            <w:pPr>
              <w:spacing w:after="0"/>
              <w:rPr>
                <w:sz w:val="15"/>
                <w:szCs w:val="15"/>
                <w:color w:val="auto"/>
              </w:rPr>
            </w:pPr>
          </w:p>
        </w:tc>
      </w:tr>
      <w:tr>
        <w:trPr>
          <w:trHeight w:val="182"/>
        </w:trPr>
        <w:tc>
          <w:tcPr>
            <w:tcW w:w="4480" w:type="dxa"/>
            <w:vAlign w:val="bottom"/>
          </w:tcPr>
          <w:p>
            <w:pPr>
              <w:spacing w:after="0" w:line="181" w:lineRule="exact"/>
              <w:rPr>
                <w:sz w:val="20"/>
                <w:szCs w:val="20"/>
                <w:color w:val="auto"/>
              </w:rPr>
            </w:pPr>
            <w:r>
              <w:rPr>
                <w:rFonts w:ascii="Calibri" w:cs="Calibri" w:eastAsia="Calibri" w:hAnsi="Calibri"/>
                <w:sz w:val="15"/>
                <w:szCs w:val="15"/>
                <w:color w:val="auto"/>
              </w:rPr>
              <w:t>(As % GDP)</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w w:val="96"/>
              </w:rPr>
              <w:t>26.5%</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rPr>
              <w:t>29.4%</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rPr>
              <w:t>36.3%</w:t>
            </w:r>
          </w:p>
        </w:tc>
        <w:tc>
          <w:tcPr>
            <w:tcW w:w="1160" w:type="dxa"/>
            <w:vAlign w:val="bottom"/>
          </w:tcPr>
          <w:p>
            <w:pPr>
              <w:jc w:val="center"/>
              <w:spacing w:after="0" w:line="181" w:lineRule="exact"/>
              <w:rPr>
                <w:sz w:val="20"/>
                <w:szCs w:val="20"/>
                <w:color w:val="auto"/>
              </w:rPr>
            </w:pPr>
            <w:r>
              <w:rPr>
                <w:rFonts w:ascii="Calibri" w:cs="Calibri" w:eastAsia="Calibri" w:hAnsi="Calibri"/>
                <w:sz w:val="15"/>
                <w:szCs w:val="15"/>
                <w:color w:val="auto"/>
                <w:w w:val="96"/>
              </w:rPr>
              <w:t>34.7%</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6"/>
              </w:rPr>
              <w:t>29.4%</w:t>
            </w:r>
          </w:p>
        </w:tc>
        <w:tc>
          <w:tcPr>
            <w:tcW w:w="1000" w:type="dxa"/>
            <w:vAlign w:val="bottom"/>
            <w:shd w:val="clear" w:color="auto" w:fill="D9D9D9"/>
          </w:tcPr>
          <w:p>
            <w:pPr>
              <w:jc w:val="center"/>
              <w:spacing w:after="0" w:line="181" w:lineRule="exact"/>
              <w:rPr>
                <w:sz w:val="20"/>
                <w:szCs w:val="20"/>
                <w:color w:val="auto"/>
              </w:rPr>
            </w:pPr>
            <w:r>
              <w:rPr>
                <w:rFonts w:ascii="Calibri" w:cs="Calibri" w:eastAsia="Calibri" w:hAnsi="Calibri"/>
                <w:sz w:val="15"/>
                <w:szCs w:val="15"/>
                <w:color w:val="auto"/>
                <w:w w:val="96"/>
              </w:rPr>
              <w:t>27.3%</w:t>
            </w:r>
          </w:p>
        </w:tc>
        <w:tc>
          <w:tcPr>
            <w:tcW w:w="20" w:type="dxa"/>
            <w:vAlign w:val="bottom"/>
          </w:tcPr>
          <w:p>
            <w:pPr>
              <w:spacing w:after="0"/>
              <w:rPr>
                <w:sz w:val="15"/>
                <w:szCs w:val="15"/>
                <w:color w:val="auto"/>
              </w:rPr>
            </w:pPr>
          </w:p>
        </w:tc>
      </w:tr>
      <w:tr>
        <w:trPr>
          <w:trHeight w:val="182"/>
        </w:trPr>
        <w:tc>
          <w:tcPr>
            <w:tcW w:w="4480" w:type="dxa"/>
            <w:vAlign w:val="bottom"/>
          </w:tcPr>
          <w:p>
            <w:pPr>
              <w:spacing w:after="0" w:line="181" w:lineRule="exact"/>
              <w:rPr>
                <w:sz w:val="20"/>
                <w:szCs w:val="20"/>
                <w:color w:val="auto"/>
              </w:rPr>
            </w:pPr>
            <w:r>
              <w:rPr>
                <w:rFonts w:ascii="Calibri" w:cs="Calibri" w:eastAsia="Calibri" w:hAnsi="Calibri"/>
                <w:sz w:val="15"/>
                <w:szCs w:val="15"/>
                <w:color w:val="auto"/>
              </w:rPr>
              <w:t>(As months of imports)</w:t>
            </w:r>
          </w:p>
        </w:tc>
        <w:tc>
          <w:tcPr>
            <w:tcW w:w="1180" w:type="dxa"/>
            <w:vAlign w:val="bottom"/>
          </w:tcPr>
          <w:p>
            <w:pPr>
              <w:jc w:val="center"/>
              <w:spacing w:after="0" w:line="181" w:lineRule="exact"/>
              <w:rPr>
                <w:sz w:val="20"/>
                <w:szCs w:val="20"/>
                <w:color w:val="auto"/>
              </w:rPr>
            </w:pPr>
            <w:r>
              <w:rPr>
                <w:rFonts w:ascii="Calibri" w:cs="Calibri" w:eastAsia="Calibri" w:hAnsi="Calibri"/>
                <w:sz w:val="15"/>
                <w:szCs w:val="15"/>
                <w:color w:val="auto"/>
              </w:rPr>
              <w:t>17</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1"/>
              </w:rPr>
              <w:t>20</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w w:val="91"/>
              </w:rPr>
              <w:t>26</w:t>
            </w:r>
          </w:p>
        </w:tc>
        <w:tc>
          <w:tcPr>
            <w:tcW w:w="1160" w:type="dxa"/>
            <w:vAlign w:val="bottom"/>
          </w:tcPr>
          <w:p>
            <w:pPr>
              <w:jc w:val="center"/>
              <w:spacing w:after="0" w:line="181" w:lineRule="exact"/>
              <w:rPr>
                <w:sz w:val="20"/>
                <w:szCs w:val="20"/>
                <w:color w:val="auto"/>
              </w:rPr>
            </w:pPr>
            <w:r>
              <w:rPr>
                <w:rFonts w:ascii="Calibri" w:cs="Calibri" w:eastAsia="Calibri" w:hAnsi="Calibri"/>
                <w:sz w:val="15"/>
                <w:szCs w:val="15"/>
                <w:color w:val="auto"/>
              </w:rPr>
              <w:t>20</w:t>
            </w:r>
          </w:p>
        </w:tc>
        <w:tc>
          <w:tcPr>
            <w:tcW w:w="1140" w:type="dxa"/>
            <w:vAlign w:val="bottom"/>
          </w:tcPr>
          <w:p>
            <w:pPr>
              <w:jc w:val="center"/>
              <w:spacing w:after="0" w:line="181" w:lineRule="exact"/>
              <w:rPr>
                <w:sz w:val="20"/>
                <w:szCs w:val="20"/>
                <w:color w:val="auto"/>
              </w:rPr>
            </w:pPr>
            <w:r>
              <w:rPr>
                <w:rFonts w:ascii="Calibri" w:cs="Calibri" w:eastAsia="Calibri" w:hAnsi="Calibri"/>
                <w:sz w:val="15"/>
                <w:szCs w:val="15"/>
                <w:color w:val="auto"/>
              </w:rPr>
              <w:t>15</w:t>
            </w:r>
          </w:p>
        </w:tc>
        <w:tc>
          <w:tcPr>
            <w:tcW w:w="1000" w:type="dxa"/>
            <w:vAlign w:val="bottom"/>
            <w:tcBorders>
              <w:bottom w:val="single" w:sz="8" w:color="D9D9D9"/>
            </w:tcBorders>
            <w:shd w:val="clear" w:color="auto" w:fill="D9D9D9"/>
          </w:tcPr>
          <w:p>
            <w:pPr>
              <w:jc w:val="center"/>
              <w:spacing w:after="0" w:line="181" w:lineRule="exact"/>
              <w:rPr>
                <w:sz w:val="20"/>
                <w:szCs w:val="20"/>
                <w:color w:val="auto"/>
              </w:rPr>
            </w:pPr>
            <w:r>
              <w:rPr>
                <w:rFonts w:ascii="Calibri" w:cs="Calibri" w:eastAsia="Calibri" w:hAnsi="Calibri"/>
                <w:sz w:val="15"/>
                <w:szCs w:val="15"/>
                <w:color w:val="auto"/>
              </w:rPr>
              <w:t>15</w:t>
            </w:r>
          </w:p>
        </w:tc>
        <w:tc>
          <w:tcPr>
            <w:tcW w:w="20" w:type="dxa"/>
            <w:vAlign w:val="bottom"/>
          </w:tcPr>
          <w:p>
            <w:pPr>
              <w:spacing w:after="0"/>
              <w:rPr>
                <w:sz w:val="15"/>
                <w:szCs w:val="15"/>
                <w:color w:val="auto"/>
              </w:rPr>
            </w:pPr>
          </w:p>
        </w:tc>
      </w:tr>
      <w:tr>
        <w:trPr>
          <w:trHeight w:val="23"/>
        </w:trPr>
        <w:tc>
          <w:tcPr>
            <w:tcW w:w="4480" w:type="dxa"/>
            <w:vAlign w:val="bottom"/>
            <w:shd w:val="clear" w:color="auto" w:fill="2AD2C9"/>
          </w:tcPr>
          <w:p>
            <w:pPr>
              <w:spacing w:after="0" w:line="20" w:lineRule="exact"/>
              <w:rPr>
                <w:sz w:val="1"/>
                <w:szCs w:val="1"/>
                <w:color w:val="auto"/>
              </w:rPr>
            </w:pPr>
          </w:p>
        </w:tc>
        <w:tc>
          <w:tcPr>
            <w:tcW w:w="1180" w:type="dxa"/>
            <w:vAlign w:val="bottom"/>
            <w:shd w:val="clear" w:color="auto" w:fill="2AD2C9"/>
          </w:tcPr>
          <w:p>
            <w:pPr>
              <w:spacing w:after="0" w:line="20" w:lineRule="exact"/>
              <w:rPr>
                <w:sz w:val="1"/>
                <w:szCs w:val="1"/>
                <w:color w:val="auto"/>
              </w:rPr>
            </w:pPr>
          </w:p>
        </w:tc>
        <w:tc>
          <w:tcPr>
            <w:tcW w:w="1140" w:type="dxa"/>
            <w:vAlign w:val="bottom"/>
            <w:shd w:val="clear" w:color="auto" w:fill="2AD2C9"/>
          </w:tcPr>
          <w:p>
            <w:pPr>
              <w:spacing w:after="0" w:line="20" w:lineRule="exact"/>
              <w:rPr>
                <w:sz w:val="1"/>
                <w:szCs w:val="1"/>
                <w:color w:val="auto"/>
              </w:rPr>
            </w:pPr>
          </w:p>
        </w:tc>
        <w:tc>
          <w:tcPr>
            <w:tcW w:w="1140" w:type="dxa"/>
            <w:vAlign w:val="bottom"/>
            <w:shd w:val="clear" w:color="auto" w:fill="2AD2C9"/>
          </w:tcPr>
          <w:p>
            <w:pPr>
              <w:spacing w:after="0" w:line="20" w:lineRule="exact"/>
              <w:rPr>
                <w:sz w:val="1"/>
                <w:szCs w:val="1"/>
                <w:color w:val="auto"/>
              </w:rPr>
            </w:pPr>
          </w:p>
        </w:tc>
        <w:tc>
          <w:tcPr>
            <w:tcW w:w="1160" w:type="dxa"/>
            <w:vAlign w:val="bottom"/>
            <w:shd w:val="clear" w:color="auto" w:fill="2AD2C9"/>
          </w:tcPr>
          <w:p>
            <w:pPr>
              <w:spacing w:after="0" w:line="20" w:lineRule="exact"/>
              <w:rPr>
                <w:sz w:val="1"/>
                <w:szCs w:val="1"/>
                <w:color w:val="auto"/>
              </w:rPr>
            </w:pPr>
          </w:p>
        </w:tc>
        <w:tc>
          <w:tcPr>
            <w:tcW w:w="1140" w:type="dxa"/>
            <w:vAlign w:val="bottom"/>
            <w:shd w:val="clear" w:color="auto" w:fill="2AD2C9"/>
          </w:tcPr>
          <w:p>
            <w:pPr>
              <w:spacing w:after="0" w:line="20" w:lineRule="exact"/>
              <w:rPr>
                <w:sz w:val="1"/>
                <w:szCs w:val="1"/>
                <w:color w:val="auto"/>
              </w:rPr>
            </w:pPr>
          </w:p>
        </w:tc>
        <w:tc>
          <w:tcPr>
            <w:tcW w:w="1000" w:type="dxa"/>
            <w:vAlign w:val="bottom"/>
            <w:shd w:val="clear" w:color="auto" w:fill="2AD2C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-2636520</wp:posOffset>
            </wp:positionV>
            <wp:extent cx="14605" cy="1295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605" cy="129540"/>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-2636520</wp:posOffset>
            </wp:positionV>
            <wp:extent cx="14605" cy="1295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05" cy="129540"/>
                    </a:xfrm>
                    <a:prstGeom prst="rect">
                      <a:avLst/>
                    </a:prstGeom>
                    <a:noFill/>
                  </pic:spPr>
                </pic:pic>
              </a:graphicData>
            </a:graphic>
          </wp:anchor>
        </w:drawing>
        <w:drawing>
          <wp:anchor simplePos="0" relativeHeight="251657728" behindDoc="1" locked="0" layoutInCell="0" allowOverlap="1">
            <wp:simplePos x="0" y="0"/>
            <wp:positionH relativeFrom="column">
              <wp:posOffset>5770880</wp:posOffset>
            </wp:positionH>
            <wp:positionV relativeFrom="paragraph">
              <wp:posOffset>-2636520</wp:posOffset>
            </wp:positionV>
            <wp:extent cx="14605" cy="1295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605" cy="129540"/>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-2636520</wp:posOffset>
            </wp:positionV>
            <wp:extent cx="14605" cy="1295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605" cy="12954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-2636520</wp:posOffset>
            </wp:positionV>
            <wp:extent cx="14605" cy="1295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605" cy="12954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-2636520</wp:posOffset>
            </wp:positionV>
            <wp:extent cx="14605" cy="1295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605" cy="129540"/>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-2636520</wp:posOffset>
            </wp:positionV>
            <wp:extent cx="14605" cy="1295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605" cy="129540"/>
                    </a:xfrm>
                    <a:prstGeom prst="rect">
                      <a:avLst/>
                    </a:prstGeom>
                    <a:noFill/>
                  </pic:spPr>
                </pic:pic>
              </a:graphicData>
            </a:graphic>
          </wp:anchor>
        </w:drawing>
      </w:r>
    </w:p>
    <w:p>
      <w:pPr>
        <w:spacing w:after="0" w:line="75" w:lineRule="exact"/>
        <w:rPr>
          <w:sz w:val="20"/>
          <w:szCs w:val="20"/>
          <w:color w:val="auto"/>
        </w:rPr>
      </w:pPr>
    </w:p>
    <w:p>
      <w:pPr>
        <w:ind w:left="9"/>
        <w:spacing w:after="0"/>
        <w:rPr>
          <w:sz w:val="20"/>
          <w:szCs w:val="20"/>
          <w:color w:val="auto"/>
        </w:rPr>
      </w:pPr>
      <w:r>
        <w:rPr>
          <w:rFonts w:ascii="Calibri" w:cs="Calibri" w:eastAsia="Calibri" w:hAnsi="Calibri"/>
          <w:sz w:val="10"/>
          <w:szCs w:val="10"/>
          <w:i w:val="1"/>
          <w:iCs w:val="1"/>
          <w:color w:val="auto"/>
        </w:rPr>
        <w:t>Sources: INEI, BCRP, y SBS.</w:t>
      </w:r>
    </w:p>
    <w:p>
      <w:pPr>
        <w:ind w:left="129" w:hanging="129"/>
        <w:spacing w:after="0" w:line="223" w:lineRule="auto"/>
        <w:tabs>
          <w:tab w:leader="none" w:pos="129" w:val="left"/>
        </w:tabs>
        <w:numPr>
          <w:ilvl w:val="0"/>
          <w:numId w:val="48"/>
        </w:numPr>
        <w:rPr>
          <w:rFonts w:ascii="Calibri" w:cs="Calibri" w:eastAsia="Calibri" w:hAnsi="Calibri"/>
          <w:sz w:val="10"/>
          <w:szCs w:val="10"/>
          <w:color w:val="auto"/>
        </w:rPr>
      </w:pPr>
      <w:r>
        <w:rPr>
          <w:rFonts w:ascii="Calibri" w:cs="Calibri" w:eastAsia="Calibri" w:hAnsi="Calibri"/>
          <w:sz w:val="10"/>
          <w:szCs w:val="10"/>
          <w:color w:val="auto"/>
        </w:rPr>
        <w:t>Financial System, Current Exchange Rate</w:t>
      </w:r>
    </w:p>
    <w:p>
      <w:pPr>
        <w:ind w:left="129" w:hanging="129"/>
        <w:spacing w:after="0" w:line="223" w:lineRule="auto"/>
        <w:tabs>
          <w:tab w:leader="none" w:pos="129" w:val="left"/>
        </w:tabs>
        <w:numPr>
          <w:ilvl w:val="0"/>
          <w:numId w:val="48"/>
        </w:numPr>
        <w:rPr>
          <w:rFonts w:ascii="Calibri" w:cs="Calibri" w:eastAsia="Calibri" w:hAnsi="Calibri"/>
          <w:sz w:val="10"/>
          <w:szCs w:val="10"/>
          <w:color w:val="auto"/>
        </w:rPr>
      </w:pPr>
      <w:r>
        <w:rPr>
          <w:rFonts w:ascii="Calibri" w:cs="Calibri" w:eastAsia="Calibri" w:hAnsi="Calibri"/>
          <w:sz w:val="10"/>
          <w:szCs w:val="10"/>
          <w:color w:val="auto"/>
        </w:rPr>
        <w:t>Infaton target: 1% - 3%</w:t>
      </w:r>
    </w:p>
    <w:p>
      <w:pPr>
        <w:ind w:left="129" w:hanging="129"/>
        <w:spacing w:after="0" w:line="223" w:lineRule="auto"/>
        <w:tabs>
          <w:tab w:leader="none" w:pos="129" w:val="left"/>
        </w:tabs>
        <w:numPr>
          <w:ilvl w:val="0"/>
          <w:numId w:val="48"/>
        </w:numPr>
        <w:rPr>
          <w:rFonts w:ascii="Calibri" w:cs="Calibri" w:eastAsia="Calibri" w:hAnsi="Calibri"/>
          <w:sz w:val="10"/>
          <w:szCs w:val="10"/>
          <w:color w:val="auto"/>
        </w:rPr>
      </w:pPr>
      <w:r>
        <w:rPr>
          <w:rFonts w:ascii="Calibri" w:cs="Calibri" w:eastAsia="Calibri" w:hAnsi="Calibri"/>
          <w:sz w:val="10"/>
          <w:szCs w:val="10"/>
          <w:color w:val="auto"/>
        </w:rPr>
        <w:t>Grey area indicates estmates by BCP Economic Research as of April 2023</w:t>
      </w:r>
    </w:p>
    <w:p>
      <w:pPr>
        <w:spacing w:after="0" w:line="331"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31" w:right="319" w:bottom="1440" w:gutter="0" w:footer="0" w:header="0"/>
        </w:sectPr>
      </w:pPr>
    </w:p>
    <w:bookmarkStart w:id="46" w:name="page47"/>
    <w:bookmarkEnd w:id="46"/>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10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11. Economic Outlook</w:t>
      </w:r>
    </w:p>
    <w:p>
      <w:pPr>
        <w:spacing w:after="0" w:line="251"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Main Macroeconomic Variables</w:t>
      </w:r>
    </w:p>
    <w:p>
      <w:pPr>
        <w:spacing w:after="0" w:line="203" w:lineRule="exact"/>
        <w:rPr>
          <w:sz w:val="20"/>
          <w:szCs w:val="20"/>
          <w:color w:val="auto"/>
        </w:rPr>
      </w:pPr>
    </w:p>
    <w:p>
      <w:pPr>
        <w:ind w:left="4900"/>
        <w:spacing w:after="0"/>
        <w:rPr>
          <w:sz w:val="20"/>
          <w:szCs w:val="20"/>
          <w:color w:val="auto"/>
        </w:rPr>
      </w:pPr>
      <w:r>
        <w:rPr>
          <w:rFonts w:ascii="Calibri" w:cs="Calibri" w:eastAsia="Calibri" w:hAnsi="Calibri"/>
          <w:sz w:val="15"/>
          <w:szCs w:val="15"/>
          <w:b w:val="1"/>
          <w:bCs w:val="1"/>
          <w:color w:val="auto"/>
        </w:rPr>
        <w:t>Gross Domestc Product</w:t>
      </w:r>
    </w:p>
    <w:p>
      <w:pPr>
        <w:ind w:left="4840"/>
        <w:spacing w:after="0" w:line="237" w:lineRule="auto"/>
        <w:rPr>
          <w:sz w:val="20"/>
          <w:szCs w:val="20"/>
          <w:color w:val="auto"/>
        </w:rPr>
      </w:pPr>
      <w:r>
        <w:rPr>
          <w:rFonts w:ascii="Calibri" w:cs="Calibri" w:eastAsia="Calibri" w:hAnsi="Calibri"/>
          <w:sz w:val="15"/>
          <w:szCs w:val="15"/>
          <w:color w:val="auto"/>
        </w:rPr>
        <w:t>(Annual Variatons, %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13335</wp:posOffset>
            </wp:positionV>
            <wp:extent cx="2961005" cy="14192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961005" cy="141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0"/>
          <w:szCs w:val="10"/>
          <w:color w:val="auto"/>
        </w:rPr>
        <w:t>Sources: BCRP</w:t>
      </w:r>
    </w:p>
    <w:p>
      <w:pPr>
        <w:spacing w:after="0" w:line="316"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In 1Q23, the Peruvian economy is expected to slightly contract around 0.4% YoY (4Q22 1.7% YoY) afected by the social protests of January and February and the heavy rains and foods caused by the Cyclone Yaku. These factors exacerbated the slowdown that was already taking place in the non-primary sectors as private consumpton contnues losing dynamism and private investment deteriorates. In the primary sector, growth in copper producton from Quellaveco would have atenuated the impact of this events. According to INEI, the monthly economic actvity index fell 0.6% YoY in February and 1.1% YoY in January.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Annual Infaton and Central Bank Reference Rate</w:t>
      </w:r>
    </w:p>
    <w:p>
      <w:pPr>
        <w:jc w:val="center"/>
        <w:spacing w:after="0" w:line="237" w:lineRule="auto"/>
        <w:rPr>
          <w:sz w:val="20"/>
          <w:szCs w:val="20"/>
          <w:color w:val="auto"/>
        </w:rPr>
      </w:pPr>
      <w:r>
        <w:rPr>
          <w:rFonts w:ascii="Calibri" w:cs="Calibri" w:eastAsia="Calibri" w:hAnsi="Calibri"/>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13335</wp:posOffset>
            </wp:positionV>
            <wp:extent cx="3479800" cy="17437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79800" cy="174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0"/>
          <w:szCs w:val="10"/>
          <w:color w:val="auto"/>
        </w:rPr>
        <w:t>Sources: BCRP and INE</w:t>
      </w:r>
    </w:p>
    <w:p>
      <w:pPr>
        <w:spacing w:after="0" w:line="100"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Infaton, measured using the Consumer Price index of Lima Metropolitana, closed 1Q23 at 8.4% YoY, accumulatng eleven consecutve months above 8.0% YoY and remains close to its highest level in 26 years (8.8% YoY in June 2022). In the same period, core infaton (excludes food and energy) stood at 5.9% YoY, highest in 23 years. As of March 2023, infaton expectatons of the fnancial system for late 2023 and late 2024 stood at 5.00% and 3.50%, both above the upper bound of the BCRP´s target range between 1% and 3%.</w:t>
      </w:r>
    </w:p>
    <w:p>
      <w:pPr>
        <w:spacing w:after="0" w:line="206" w:lineRule="exact"/>
        <w:rPr>
          <w:sz w:val="20"/>
          <w:szCs w:val="20"/>
          <w:color w:val="auto"/>
        </w:rPr>
      </w:pPr>
    </w:p>
    <w:p>
      <w:pPr>
        <w:jc w:val="both"/>
        <w:spacing w:after="0" w:line="236" w:lineRule="auto"/>
        <w:rPr>
          <w:sz w:val="20"/>
          <w:szCs w:val="20"/>
          <w:color w:val="auto"/>
        </w:rPr>
      </w:pPr>
      <w:r>
        <w:rPr>
          <w:rFonts w:ascii="Calibri" w:cs="Calibri" w:eastAsia="Calibri" w:hAnsi="Calibri"/>
          <w:sz w:val="15"/>
          <w:szCs w:val="15"/>
          <w:color w:val="auto"/>
        </w:rPr>
        <w:t>The Central Bank of Perú (BCRP) increased its monetary policy rate from 0.25% in July 2021 to 7.75% in January 2023, a historical high. On its February meetng, it surprised markets by keeping its rate stable, decision that was repeated at its March and April meetng.</w:t>
      </w:r>
    </w:p>
    <w:p>
      <w:pPr>
        <w:spacing w:after="0" w:line="342"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47" w:name="page48"/>
    <w:bookmarkEnd w:id="47"/>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10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11. Economic Outlook</w:t>
      </w:r>
    </w:p>
    <w:p>
      <w:pPr>
        <w:spacing w:after="0" w:line="274" w:lineRule="exact"/>
        <w:rPr>
          <w:sz w:val="20"/>
          <w:szCs w:val="20"/>
          <w:color w:val="auto"/>
        </w:rPr>
      </w:pPr>
    </w:p>
    <w:p>
      <w:pPr>
        <w:jc w:val="center"/>
        <w:ind w:right="5860"/>
        <w:spacing w:after="0"/>
        <w:rPr>
          <w:sz w:val="20"/>
          <w:szCs w:val="20"/>
          <w:color w:val="auto"/>
        </w:rPr>
      </w:pPr>
      <w:r>
        <w:rPr>
          <w:rFonts w:ascii="Calibri" w:cs="Calibri" w:eastAsia="Calibri" w:hAnsi="Calibri"/>
          <w:sz w:val="15"/>
          <w:szCs w:val="15"/>
          <w:b w:val="1"/>
          <w:bCs w:val="1"/>
          <w:color w:val="auto"/>
        </w:rPr>
        <w:t>Fiscal Balance and Current Account Balance</w:t>
      </w:r>
    </w:p>
    <w:p>
      <w:pPr>
        <w:jc w:val="center"/>
        <w:ind w:right="5860"/>
        <w:spacing w:after="0" w:line="237" w:lineRule="auto"/>
        <w:rPr>
          <w:sz w:val="20"/>
          <w:szCs w:val="20"/>
          <w:color w:val="auto"/>
        </w:rPr>
      </w:pPr>
      <w:r>
        <w:rPr>
          <w:rFonts w:ascii="Calibri" w:cs="Calibri" w:eastAsia="Calibri" w:hAnsi="Calibri"/>
          <w:sz w:val="15"/>
          <w:szCs w:val="15"/>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262505" cy="12611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262505" cy="1261110"/>
                    </a:xfrm>
                    <a:prstGeom prst="rect">
                      <a:avLst/>
                    </a:prstGeom>
                    <a:noFill/>
                  </pic:spPr>
                </pic:pic>
              </a:graphicData>
            </a:graphic>
          </wp:anchor>
        </w:drawing>
      </w:r>
    </w:p>
    <w:p>
      <w:pPr>
        <w:spacing w:after="0" w:line="164" w:lineRule="exact"/>
        <w:rPr>
          <w:sz w:val="20"/>
          <w:szCs w:val="20"/>
          <w:color w:val="auto"/>
        </w:rPr>
      </w:pPr>
    </w:p>
    <w:p>
      <w:pPr>
        <w:jc w:val="both"/>
        <w:ind w:left="5840"/>
        <w:spacing w:after="0" w:line="237" w:lineRule="auto"/>
        <w:rPr>
          <w:sz w:val="20"/>
          <w:szCs w:val="20"/>
          <w:color w:val="auto"/>
        </w:rPr>
      </w:pPr>
      <w:r>
        <w:rPr>
          <w:rFonts w:ascii="Calibri" w:cs="Calibri" w:eastAsia="Calibri" w:hAnsi="Calibri"/>
          <w:sz w:val="15"/>
          <w:szCs w:val="15"/>
          <w:color w:val="auto"/>
        </w:rPr>
        <w:t>The annualized fscal defcit in the last 12 months to March 2023 was 1.9% of GDP, higher than in December 2022 (1.6% of GDP). In 1Q23, the increase was explained, to a greater extent, by less dynamic tax revenues (+1.0% YoY), mainly due to lower revenues from the regularizaton of income tax. Non-fnancial spending grew 8.7% YoY, refectng an increase in current expenditures (+7.2% YoY) and capital expenditures (14.4% YoY), related to public investment.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alibri" w:cs="Calibri" w:eastAsia="Calibri" w:hAnsi="Calibri"/>
          <w:sz w:val="10"/>
          <w:szCs w:val="10"/>
          <w:color w:val="auto"/>
        </w:rPr>
        <w:t>Source: BCRP</w:t>
      </w:r>
      <w:r>
        <w:rPr>
          <w:rFonts w:ascii="Calibri" w:cs="Calibri" w:eastAsia="Calibri" w:hAnsi="Calibri"/>
          <w:sz w:val="10"/>
          <w:szCs w:val="10"/>
          <w:i w:val="1"/>
          <w:iCs w:val="1"/>
          <w:color w:val="auto"/>
        </w:rPr>
        <w:t>*</w:t>
      </w:r>
    </w:p>
    <w:p>
      <w:pPr>
        <w:spacing w:after="0" w:line="223" w:lineRule="auto"/>
        <w:rPr>
          <w:sz w:val="20"/>
          <w:szCs w:val="20"/>
          <w:color w:val="auto"/>
        </w:rPr>
      </w:pPr>
      <w:r>
        <w:rPr>
          <w:rFonts w:ascii="Calibri" w:cs="Calibri" w:eastAsia="Calibri" w:hAnsi="Calibri"/>
          <w:sz w:val="10"/>
          <w:szCs w:val="10"/>
          <w:i w:val="1"/>
          <w:iCs w:val="1"/>
          <w:color w:val="auto"/>
        </w:rPr>
        <w:t>Estmate: BCP</w:t>
      </w:r>
    </w:p>
    <w:p>
      <w:pPr>
        <w:spacing w:after="0" w:line="173" w:lineRule="exact"/>
        <w:rPr>
          <w:sz w:val="20"/>
          <w:szCs w:val="20"/>
          <w:color w:val="auto"/>
        </w:rPr>
      </w:pPr>
    </w:p>
    <w:p>
      <w:pPr>
        <w:spacing w:after="0" w:line="236" w:lineRule="auto"/>
        <w:rPr>
          <w:sz w:val="20"/>
          <w:szCs w:val="20"/>
          <w:color w:val="auto"/>
        </w:rPr>
      </w:pPr>
      <w:r>
        <w:rPr>
          <w:rFonts w:ascii="Calibri" w:cs="Calibri" w:eastAsia="Calibri" w:hAnsi="Calibri"/>
          <w:sz w:val="15"/>
          <w:szCs w:val="15"/>
          <w:color w:val="auto"/>
        </w:rPr>
        <w:t>In January 2023, Moody’s changed the outlook for Peru’s long-term debt in foreign currency to negatve from stable (and kept the credit ratng at Baa1). This decision came afer Fitch and Standard &amp; Poor’s changed the outlook to negatve in October and December, respectvely, and afrmed their credit ratng in BBB</w:t>
      </w:r>
    </w:p>
    <w:p>
      <w:pPr>
        <w:spacing w:after="0" w:line="124" w:lineRule="exact"/>
        <w:rPr>
          <w:sz w:val="20"/>
          <w:szCs w:val="20"/>
          <w:color w:val="auto"/>
        </w:rPr>
      </w:pPr>
    </w:p>
    <w:p>
      <w:pPr>
        <w:spacing w:after="0"/>
        <w:rPr>
          <w:sz w:val="20"/>
          <w:szCs w:val="20"/>
          <w:color w:val="auto"/>
        </w:rPr>
      </w:pPr>
      <w:r>
        <w:rPr>
          <w:rFonts w:ascii="Calibri" w:cs="Calibri" w:eastAsia="Calibri" w:hAnsi="Calibri"/>
          <w:sz w:val="15"/>
          <w:szCs w:val="15"/>
          <w:color w:val="auto"/>
        </w:rPr>
        <w:t>Regarding the external accounts, the current account defcit closed Q422 at 4.3% of GDP in accumulated terms for the last 4 quarters.</w:t>
      </w:r>
    </w:p>
    <w:p>
      <w:pPr>
        <w:spacing w:after="0" w:line="116" w:lineRule="exact"/>
        <w:rPr>
          <w:sz w:val="20"/>
          <w:szCs w:val="20"/>
          <w:color w:val="auto"/>
        </w:rPr>
      </w:pPr>
    </w:p>
    <w:p>
      <w:pPr>
        <w:spacing w:after="0" w:line="236" w:lineRule="auto"/>
        <w:rPr>
          <w:sz w:val="20"/>
          <w:szCs w:val="20"/>
          <w:color w:val="auto"/>
        </w:rPr>
      </w:pPr>
      <w:r>
        <w:rPr>
          <w:rFonts w:ascii="Calibri" w:cs="Calibri" w:eastAsia="Calibri" w:hAnsi="Calibri"/>
          <w:sz w:val="15"/>
          <w:szCs w:val="15"/>
          <w:color w:val="auto"/>
        </w:rPr>
        <w:t>The 12-month accumulated trade balance surplus to February 2023 was USD 8.7 billion, lower than the registered in January of USD 9.5 billion and far from the historical record of USD 16.1 billion of March 2022. Exports, on the same period, fell 1.9% YoY to USD 64.1 billion, driven by lower volumes and prices, while imports grew 11.9 YoY to USD 55.5 billion.</w:t>
      </w:r>
    </w:p>
    <w:p>
      <w:pPr>
        <w:spacing w:after="0" w:line="128" w:lineRule="exact"/>
        <w:rPr>
          <w:sz w:val="20"/>
          <w:szCs w:val="20"/>
          <w:color w:val="auto"/>
        </w:rPr>
      </w:pPr>
    </w:p>
    <w:p>
      <w:pPr>
        <w:ind w:right="160"/>
        <w:spacing w:after="0" w:line="236" w:lineRule="auto"/>
        <w:rPr>
          <w:sz w:val="20"/>
          <w:szCs w:val="20"/>
          <w:color w:val="auto"/>
        </w:rPr>
      </w:pPr>
      <w:r>
        <w:rPr>
          <w:rFonts w:ascii="Calibri" w:cs="Calibri" w:eastAsia="Calibri" w:hAnsi="Calibri"/>
          <w:sz w:val="15"/>
          <w:szCs w:val="15"/>
          <w:color w:val="auto"/>
        </w:rPr>
        <w:t>Terms of trade fell 7.0% YoY in February 2023 due to an 8.1% YoY drop in export prices, mainly lower natural gas, zinc and copper prices and a contracton of 1.2% YoY in imports prices. In YTD, terms of trade increased 1.7% and are 10.6% above October 2022 levels (lowest print since April 2020).</w:t>
      </w:r>
    </w:p>
    <w:p>
      <w:pPr>
        <w:spacing w:after="0" w:line="204" w:lineRule="exact"/>
        <w:rPr>
          <w:sz w:val="20"/>
          <w:szCs w:val="20"/>
          <w:color w:val="auto"/>
        </w:rPr>
      </w:pPr>
    </w:p>
    <w:p>
      <w:pPr>
        <w:ind w:left="2260"/>
        <w:spacing w:after="0"/>
        <w:rPr>
          <w:sz w:val="20"/>
          <w:szCs w:val="20"/>
          <w:color w:val="auto"/>
        </w:rPr>
      </w:pPr>
      <w:r>
        <w:rPr>
          <w:rFonts w:ascii="Calibri" w:cs="Calibri" w:eastAsia="Calibri" w:hAnsi="Calibri"/>
          <w:sz w:val="15"/>
          <w:szCs w:val="15"/>
          <w:b w:val="1"/>
          <w:bCs w:val="1"/>
          <w:color w:val="auto"/>
        </w:rPr>
        <w:t>Exchange Rate</w:t>
      </w:r>
    </w:p>
    <w:p>
      <w:pPr>
        <w:ind w:left="2260"/>
        <w:spacing w:after="0" w:line="237" w:lineRule="auto"/>
        <w:rPr>
          <w:sz w:val="20"/>
          <w:szCs w:val="20"/>
          <w:color w:val="auto"/>
        </w:rPr>
      </w:pPr>
      <w:r>
        <w:rPr>
          <w:rFonts w:ascii="Calibri" w:cs="Calibri" w:eastAsia="Calibri" w:hAnsi="Calibri"/>
          <w:sz w:val="15"/>
          <w:szCs w:val="15"/>
          <w:color w:val="auto"/>
        </w:rPr>
        <w:t>(PEN per USD)</w:t>
      </w:r>
    </w:p>
    <w:p>
      <w:pPr>
        <w:spacing w:after="0" w:line="3" w:lineRule="exact"/>
        <w:rPr>
          <w:sz w:val="20"/>
          <w:szCs w:val="20"/>
          <w:color w:val="auto"/>
        </w:rPr>
      </w:pPr>
    </w:p>
    <w:p>
      <w:pPr>
        <w:jc w:val="both"/>
        <w:ind w:left="5840"/>
        <w:spacing w:after="0" w:line="237" w:lineRule="auto"/>
        <w:rPr>
          <w:sz w:val="20"/>
          <w:szCs w:val="20"/>
          <w:color w:val="auto"/>
        </w:rPr>
      </w:pPr>
      <w:r>
        <w:rPr>
          <w:rFonts w:ascii="Calibri" w:cs="Calibri" w:eastAsia="Calibri" w:hAnsi="Calibri"/>
          <w:sz w:val="15"/>
          <w:szCs w:val="15"/>
          <w:color w:val="auto"/>
        </w:rPr>
        <w:t>According to the BCRP, the exchange rate closed 1Q23 in USDPEN 3.7617, an appreciaton of 1.3% compared to the end of 4Q22 and a depreciaton of 1.9% compared to one year ago. In the same period, Latam main currencies also appreciated compared to the previous quarter due to the weakening of the global dollar and stll high commodity prices. Thus, the Mexican peso appreciated 7.5%, the Chilean peso 6.5%, the Brazilian Real 4.2% and the Colombian Peso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-676275</wp:posOffset>
            </wp:positionV>
            <wp:extent cx="2096770" cy="13544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096770" cy="1354455"/>
                    </a:xfrm>
                    <a:prstGeom prst="rect">
                      <a:avLst/>
                    </a:prstGeom>
                    <a:noFill/>
                  </pic:spPr>
                </pic:pic>
              </a:graphicData>
            </a:graphic>
          </wp:anchor>
        </w:drawing>
      </w:r>
    </w:p>
    <w:p>
      <w:pPr>
        <w:spacing w:after="0" w:line="166" w:lineRule="exact"/>
        <w:rPr>
          <w:sz w:val="20"/>
          <w:szCs w:val="20"/>
          <w:color w:val="auto"/>
        </w:rPr>
      </w:pPr>
    </w:p>
    <w:p>
      <w:pPr>
        <w:jc w:val="both"/>
        <w:ind w:left="5840"/>
        <w:spacing w:after="0" w:line="260" w:lineRule="auto"/>
        <w:rPr>
          <w:sz w:val="20"/>
          <w:szCs w:val="20"/>
          <w:color w:val="auto"/>
        </w:rPr>
      </w:pPr>
      <w:r>
        <w:rPr>
          <w:rFonts w:ascii="Calibri" w:cs="Calibri" w:eastAsia="Calibri" w:hAnsi="Calibri"/>
          <w:sz w:val="14"/>
          <w:szCs w:val="14"/>
          <w:color w:val="auto"/>
        </w:rPr>
        <w:t>Net Internatonal Reserves closed 1Q23 at USD 72.7 billion, above 4Q22 (USD 71.9 billion) but below 1Q22 (USD 75.3 billion). The Central Bank’s foreign exchange positon stood at USD 53.0 billion, a slight increase of USD 1.0 billion compared to the end of 4Q22.</w:t>
      </w:r>
    </w:p>
    <w:p>
      <w:pPr>
        <w:spacing w:after="0" w:line="303" w:lineRule="exact"/>
        <w:rPr>
          <w:sz w:val="20"/>
          <w:szCs w:val="20"/>
          <w:color w:val="auto"/>
        </w:rPr>
      </w:pPr>
    </w:p>
    <w:p>
      <w:pPr>
        <w:spacing w:after="0"/>
        <w:rPr>
          <w:sz w:val="20"/>
          <w:szCs w:val="20"/>
          <w:color w:val="auto"/>
        </w:rPr>
      </w:pPr>
      <w:r>
        <w:rPr>
          <w:rFonts w:ascii="Calibri" w:cs="Calibri" w:eastAsia="Calibri" w:hAnsi="Calibri"/>
          <w:sz w:val="15"/>
          <w:szCs w:val="15"/>
          <w:color w:val="auto"/>
        </w:rPr>
        <w:t>1.0 billion compared to the end of 4Q22.</w:t>
      </w:r>
    </w:p>
    <w:p>
      <w:pPr>
        <w:spacing w:after="0" w:line="161" w:lineRule="exact"/>
        <w:rPr>
          <w:sz w:val="20"/>
          <w:szCs w:val="20"/>
          <w:color w:val="auto"/>
        </w:rPr>
      </w:pPr>
    </w:p>
    <w:p>
      <w:pPr>
        <w:spacing w:after="0" w:line="236" w:lineRule="auto"/>
        <w:rPr>
          <w:sz w:val="20"/>
          <w:szCs w:val="20"/>
          <w:color w:val="auto"/>
        </w:rPr>
      </w:pPr>
      <w:r>
        <w:rPr>
          <w:rFonts w:ascii="Calibri" w:cs="Calibri" w:eastAsia="Calibri" w:hAnsi="Calibri"/>
          <w:sz w:val="15"/>
          <w:szCs w:val="15"/>
          <w:color w:val="auto"/>
        </w:rPr>
        <w:t>During 1Q23, the BCRP intervened only once in the FX spot market selling USD 1 million, lower than the net sales of USD 10 million in 4Q22, which were also done in a one-day operaton. In 2022, the BCRP sold USD 1.2 billion in the spot market (equivalent to 10% of 2021 net sales), with the interventon concentrated in the frst semester of the year.</w:t>
      </w:r>
    </w:p>
    <w:p>
      <w:pPr>
        <w:spacing w:after="0" w:line="342"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48" w:name="page49"/>
    <w:bookmarkEnd w:id="48"/>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410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153910" cy="2305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Safe Harbor for Forward-Looking Statements</w:t>
      </w:r>
    </w:p>
    <w:p>
      <w:pPr>
        <w:spacing w:after="0" w:line="255" w:lineRule="exact"/>
        <w:rPr>
          <w:sz w:val="20"/>
          <w:szCs w:val="20"/>
          <w:color w:val="auto"/>
        </w:rPr>
      </w:pPr>
    </w:p>
    <w:p>
      <w:pPr>
        <w:jc w:val="both"/>
        <w:ind w:left="9"/>
        <w:spacing w:after="0" w:line="237" w:lineRule="auto"/>
        <w:rPr>
          <w:sz w:val="20"/>
          <w:szCs w:val="20"/>
          <w:color w:val="auto"/>
        </w:rPr>
      </w:pPr>
      <w:r>
        <w:rPr>
          <w:rFonts w:ascii="Calibri" w:cs="Calibri" w:eastAsia="Calibri" w:hAnsi="Calibri"/>
          <w:sz w:val="15"/>
          <w:szCs w:val="15"/>
          <w:color w:val="auto"/>
        </w:rPr>
        <w:t>This material includes “forward-looking statements” within the meaning of Secton 27A of the U.S. Securites Act of 1933 and Secton 21E of the U.S. Securites Exchange Act of 1934. All statements other than statements of historical fact are forward-looking and may contain informaton about fnancial results, economic conditons, trends and known uncertaintes. Forward-looking statements are not assurances of future performance. Instead, they are based only on our management’s current views, beliefs, expectatons and assumptons regarding the future of our business, future plans and strategies, projectons, antcipated events and trends, the economy and other future conditons.</w:t>
      </w:r>
    </w:p>
    <w:p>
      <w:pPr>
        <w:spacing w:after="0" w:line="207" w:lineRule="exact"/>
        <w:rPr>
          <w:sz w:val="20"/>
          <w:szCs w:val="20"/>
          <w:color w:val="auto"/>
        </w:rPr>
      </w:pPr>
    </w:p>
    <w:p>
      <w:pPr>
        <w:jc w:val="both"/>
        <w:ind w:left="9"/>
        <w:spacing w:after="0" w:line="237" w:lineRule="auto"/>
        <w:rPr>
          <w:sz w:val="20"/>
          <w:szCs w:val="20"/>
          <w:color w:val="auto"/>
        </w:rPr>
      </w:pPr>
      <w:r>
        <w:rPr>
          <w:rFonts w:ascii="Calibri" w:cs="Calibri" w:eastAsia="Calibri" w:hAnsi="Calibri"/>
          <w:sz w:val="15"/>
          <w:szCs w:val="15"/>
          <w:color w:val="auto"/>
        </w:rPr>
        <w:t>Many forward-looking statements can be identfed by words such as: “antcipate”, “intend”, “plan”, “goal”, “seek”, “believe”, “project”, “estmate”, “expect”, “strategy”, “future”, “likely”, “would”, “may”, “should”, “will”, “see” and similar references to future periods. Examples of forward-looking statements include, among others, statements or estmates we make regarding guidance relatng to losses in our credit portolio, efciency rato, provisions and non-performing loans, current or future market risk and future market conditons, expected macroeconomic events and conditons, our belief that we have sufcient capital and liquidity to fund our business operatons, expectatons of the efect on our fnancial conditon of claims, legal actons, environmental costs, contngent liabilites and governmental and regulatory investgatons and proceedings, strategy for customer retenton, growth, governmental programs and regulatory initatves, credit administraton, product development, market positon, fnancial results and reserves and strategy for risk management.</w:t>
      </w:r>
    </w:p>
    <w:p>
      <w:pPr>
        <w:spacing w:after="0" w:line="209" w:lineRule="exact"/>
        <w:rPr>
          <w:sz w:val="20"/>
          <w:szCs w:val="20"/>
          <w:color w:val="auto"/>
        </w:rPr>
      </w:pPr>
    </w:p>
    <w:p>
      <w:pPr>
        <w:jc w:val="both"/>
        <w:ind w:left="9"/>
        <w:spacing w:after="0" w:line="236" w:lineRule="auto"/>
        <w:rPr>
          <w:sz w:val="20"/>
          <w:szCs w:val="20"/>
          <w:color w:val="auto"/>
        </w:rPr>
      </w:pPr>
      <w:r>
        <w:rPr>
          <w:rFonts w:ascii="Calibri" w:cs="Calibri" w:eastAsia="Calibri" w:hAnsi="Calibri"/>
          <w:sz w:val="15"/>
          <w:szCs w:val="15"/>
          <w:color w:val="auto"/>
        </w:rPr>
        <w:t>We cauton readers that forward-looking statements involve known and unknown risks and uncertaintes that could cause actual results, performance or events to difer materially from those that we expect or that are expressed or implied in the forward-looking statements, depending on the outcome of certain factors, including, without limitaton, adverse changes in:</w:t>
      </w:r>
    </w:p>
    <w:p>
      <w:pPr>
        <w:spacing w:after="0" w:line="204" w:lineRule="exact"/>
        <w:rPr>
          <w:sz w:val="20"/>
          <w:szCs w:val="20"/>
          <w:color w:val="auto"/>
        </w:rPr>
      </w:pPr>
    </w:p>
    <w:p>
      <w:pPr>
        <w:ind w:left="109" w:hanging="109"/>
        <w:spacing w:after="0"/>
        <w:tabs>
          <w:tab w:leader="none" w:pos="109" w:val="left"/>
        </w:tabs>
        <w:numPr>
          <w:ilvl w:val="0"/>
          <w:numId w:val="49"/>
        </w:numPr>
        <w:rPr>
          <w:rFonts w:ascii="Calibri" w:cs="Calibri" w:eastAsia="Calibri" w:hAnsi="Calibri"/>
          <w:sz w:val="15"/>
          <w:szCs w:val="15"/>
          <w:color w:val="auto"/>
        </w:rPr>
      </w:pPr>
      <w:r>
        <w:rPr>
          <w:rFonts w:ascii="Calibri" w:cs="Calibri" w:eastAsia="Calibri" w:hAnsi="Calibri"/>
          <w:sz w:val="15"/>
          <w:szCs w:val="15"/>
          <w:color w:val="auto"/>
        </w:rPr>
        <w:t>The occurrence of natural disasters or politcal or social instability in Peru;</w:t>
      </w:r>
    </w:p>
    <w:p>
      <w:pPr>
        <w:ind w:left="109" w:hanging="109"/>
        <w:spacing w:after="0" w:line="237" w:lineRule="auto"/>
        <w:tabs>
          <w:tab w:leader="none" w:pos="109" w:val="left"/>
        </w:tabs>
        <w:numPr>
          <w:ilvl w:val="0"/>
          <w:numId w:val="49"/>
        </w:numPr>
        <w:rPr>
          <w:rFonts w:ascii="Calibri" w:cs="Calibri" w:eastAsia="Calibri" w:hAnsi="Calibri"/>
          <w:sz w:val="15"/>
          <w:szCs w:val="15"/>
          <w:color w:val="auto"/>
        </w:rPr>
      </w:pPr>
      <w:r>
        <w:rPr>
          <w:rFonts w:ascii="Calibri" w:cs="Calibri" w:eastAsia="Calibri" w:hAnsi="Calibri"/>
          <w:sz w:val="15"/>
          <w:szCs w:val="15"/>
          <w:color w:val="auto"/>
        </w:rPr>
        <w:t>The adequacy of the dividends that our subsidiaries are able to pay to us, which may afect our ability to pay dividends to shareholders and corporate expenses;</w:t>
      </w:r>
    </w:p>
    <w:p>
      <w:pPr>
        <w:ind w:left="109" w:hanging="109"/>
        <w:spacing w:after="0" w:line="237" w:lineRule="auto"/>
        <w:tabs>
          <w:tab w:leader="none" w:pos="109" w:val="left"/>
        </w:tabs>
        <w:numPr>
          <w:ilvl w:val="0"/>
          <w:numId w:val="49"/>
        </w:numPr>
        <w:rPr>
          <w:rFonts w:ascii="Calibri" w:cs="Calibri" w:eastAsia="Calibri" w:hAnsi="Calibri"/>
          <w:sz w:val="15"/>
          <w:szCs w:val="15"/>
          <w:color w:val="auto"/>
        </w:rPr>
      </w:pPr>
      <w:r>
        <w:rPr>
          <w:rFonts w:ascii="Calibri" w:cs="Calibri" w:eastAsia="Calibri" w:hAnsi="Calibri"/>
          <w:sz w:val="15"/>
          <w:szCs w:val="15"/>
          <w:color w:val="auto"/>
        </w:rPr>
        <w:t>Performance of, and volatlity in, fnancial markets, including Latn-American and other markets;</w:t>
      </w:r>
    </w:p>
    <w:p>
      <w:pPr>
        <w:ind w:left="109" w:hanging="109"/>
        <w:spacing w:after="0" w:line="237" w:lineRule="auto"/>
        <w:tabs>
          <w:tab w:leader="none" w:pos="109" w:val="left"/>
        </w:tabs>
        <w:numPr>
          <w:ilvl w:val="0"/>
          <w:numId w:val="49"/>
        </w:numPr>
        <w:rPr>
          <w:rFonts w:ascii="Calibri" w:cs="Calibri" w:eastAsia="Calibri" w:hAnsi="Calibri"/>
          <w:sz w:val="15"/>
          <w:szCs w:val="15"/>
          <w:color w:val="auto"/>
        </w:rPr>
      </w:pPr>
      <w:r>
        <w:rPr>
          <w:rFonts w:ascii="Calibri" w:cs="Calibri" w:eastAsia="Calibri" w:hAnsi="Calibri"/>
          <w:sz w:val="15"/>
          <w:szCs w:val="15"/>
          <w:color w:val="auto"/>
        </w:rPr>
        <w:t>The frequency, severity and types of insured loss events;</w:t>
      </w:r>
    </w:p>
    <w:p>
      <w:pPr>
        <w:ind w:left="109" w:hanging="109"/>
        <w:spacing w:after="0" w:line="237" w:lineRule="auto"/>
        <w:tabs>
          <w:tab w:leader="none" w:pos="109" w:val="left"/>
        </w:tabs>
        <w:numPr>
          <w:ilvl w:val="0"/>
          <w:numId w:val="49"/>
        </w:numPr>
        <w:rPr>
          <w:rFonts w:ascii="Calibri" w:cs="Calibri" w:eastAsia="Calibri" w:hAnsi="Calibri"/>
          <w:sz w:val="15"/>
          <w:szCs w:val="15"/>
          <w:color w:val="auto"/>
        </w:rPr>
      </w:pPr>
      <w:r>
        <w:rPr>
          <w:rFonts w:ascii="Calibri" w:cs="Calibri" w:eastAsia="Calibri" w:hAnsi="Calibri"/>
          <w:sz w:val="15"/>
          <w:szCs w:val="15"/>
          <w:color w:val="auto"/>
        </w:rPr>
        <w:t>Fluctuatons in interest rate levels;</w:t>
      </w:r>
    </w:p>
    <w:p>
      <w:pPr>
        <w:ind w:left="109" w:hanging="109"/>
        <w:spacing w:after="0" w:line="237" w:lineRule="auto"/>
        <w:tabs>
          <w:tab w:leader="none" w:pos="109" w:val="left"/>
        </w:tabs>
        <w:numPr>
          <w:ilvl w:val="0"/>
          <w:numId w:val="49"/>
        </w:numPr>
        <w:rPr>
          <w:rFonts w:ascii="Calibri" w:cs="Calibri" w:eastAsia="Calibri" w:hAnsi="Calibri"/>
          <w:sz w:val="15"/>
          <w:szCs w:val="15"/>
          <w:color w:val="auto"/>
        </w:rPr>
      </w:pPr>
      <w:r>
        <w:rPr>
          <w:rFonts w:ascii="Calibri" w:cs="Calibri" w:eastAsia="Calibri" w:hAnsi="Calibri"/>
          <w:sz w:val="15"/>
          <w:szCs w:val="15"/>
          <w:color w:val="auto"/>
        </w:rPr>
        <w:t>Foreign currency exchange rates, including the Sol/US Dollar exchange rate;</w:t>
      </w:r>
    </w:p>
    <w:p>
      <w:pPr>
        <w:ind w:left="109" w:hanging="109"/>
        <w:spacing w:after="0" w:line="237" w:lineRule="auto"/>
        <w:tabs>
          <w:tab w:leader="none" w:pos="109" w:val="left"/>
        </w:tabs>
        <w:numPr>
          <w:ilvl w:val="0"/>
          <w:numId w:val="49"/>
        </w:numPr>
        <w:rPr>
          <w:rFonts w:ascii="Calibri" w:cs="Calibri" w:eastAsia="Calibri" w:hAnsi="Calibri"/>
          <w:sz w:val="15"/>
          <w:szCs w:val="15"/>
          <w:color w:val="auto"/>
        </w:rPr>
      </w:pPr>
      <w:r>
        <w:rPr>
          <w:rFonts w:ascii="Calibri" w:cs="Calibri" w:eastAsia="Calibri" w:hAnsi="Calibri"/>
          <w:sz w:val="15"/>
          <w:szCs w:val="15"/>
          <w:color w:val="auto"/>
        </w:rPr>
        <w:t>Deterioraton in the quality of our loan portolio;</w:t>
      </w:r>
    </w:p>
    <w:p>
      <w:pPr>
        <w:ind w:left="109" w:hanging="109"/>
        <w:spacing w:after="0" w:line="237" w:lineRule="auto"/>
        <w:tabs>
          <w:tab w:leader="none" w:pos="109" w:val="left"/>
        </w:tabs>
        <w:numPr>
          <w:ilvl w:val="0"/>
          <w:numId w:val="49"/>
        </w:numPr>
        <w:rPr>
          <w:rFonts w:ascii="Calibri" w:cs="Calibri" w:eastAsia="Calibri" w:hAnsi="Calibri"/>
          <w:sz w:val="15"/>
          <w:szCs w:val="15"/>
          <w:color w:val="auto"/>
        </w:rPr>
      </w:pPr>
      <w:r>
        <w:rPr>
          <w:rFonts w:ascii="Calibri" w:cs="Calibri" w:eastAsia="Calibri" w:hAnsi="Calibri"/>
          <w:sz w:val="15"/>
          <w:szCs w:val="15"/>
          <w:color w:val="auto"/>
        </w:rPr>
        <w:t>Increasing levels of competton in Peru and other markets in which we operate;</w:t>
      </w:r>
    </w:p>
    <w:p>
      <w:pPr>
        <w:ind w:left="109" w:hanging="109"/>
        <w:spacing w:after="0" w:line="237" w:lineRule="auto"/>
        <w:tabs>
          <w:tab w:leader="none" w:pos="109" w:val="left"/>
        </w:tabs>
        <w:numPr>
          <w:ilvl w:val="0"/>
          <w:numId w:val="49"/>
        </w:numPr>
        <w:rPr>
          <w:rFonts w:ascii="Calibri" w:cs="Calibri" w:eastAsia="Calibri" w:hAnsi="Calibri"/>
          <w:sz w:val="15"/>
          <w:szCs w:val="15"/>
          <w:color w:val="auto"/>
        </w:rPr>
      </w:pPr>
      <w:r>
        <w:rPr>
          <w:rFonts w:ascii="Calibri" w:cs="Calibri" w:eastAsia="Calibri" w:hAnsi="Calibri"/>
          <w:sz w:val="15"/>
          <w:szCs w:val="15"/>
          <w:color w:val="auto"/>
        </w:rPr>
        <w:t>Developments and changes in laws and regulatons afectng the fnancial sector and adopton of new internatonal guidelines;</w:t>
      </w:r>
    </w:p>
    <w:p>
      <w:pPr>
        <w:ind w:left="109" w:hanging="109"/>
        <w:spacing w:after="0" w:line="237" w:lineRule="auto"/>
        <w:tabs>
          <w:tab w:leader="none" w:pos="109" w:val="left"/>
        </w:tabs>
        <w:numPr>
          <w:ilvl w:val="0"/>
          <w:numId w:val="49"/>
        </w:numPr>
        <w:rPr>
          <w:rFonts w:ascii="Calibri" w:cs="Calibri" w:eastAsia="Calibri" w:hAnsi="Calibri"/>
          <w:sz w:val="15"/>
          <w:szCs w:val="15"/>
          <w:color w:val="auto"/>
        </w:rPr>
      </w:pPr>
      <w:r>
        <w:rPr>
          <w:rFonts w:ascii="Calibri" w:cs="Calibri" w:eastAsia="Calibri" w:hAnsi="Calibri"/>
          <w:sz w:val="15"/>
          <w:szCs w:val="15"/>
          <w:color w:val="auto"/>
        </w:rPr>
        <w:t>Changes in the policies of central banks and/or foreign governments;</w:t>
      </w:r>
    </w:p>
    <w:p>
      <w:pPr>
        <w:ind w:left="109" w:hanging="109"/>
        <w:spacing w:after="0" w:line="237" w:lineRule="auto"/>
        <w:tabs>
          <w:tab w:leader="none" w:pos="109" w:val="left"/>
        </w:tabs>
        <w:numPr>
          <w:ilvl w:val="0"/>
          <w:numId w:val="49"/>
        </w:numPr>
        <w:rPr>
          <w:rFonts w:ascii="Calibri" w:cs="Calibri" w:eastAsia="Calibri" w:hAnsi="Calibri"/>
          <w:sz w:val="15"/>
          <w:szCs w:val="15"/>
          <w:color w:val="auto"/>
        </w:rPr>
      </w:pPr>
      <w:r>
        <w:rPr>
          <w:rFonts w:ascii="Calibri" w:cs="Calibri" w:eastAsia="Calibri" w:hAnsi="Calibri"/>
          <w:sz w:val="15"/>
          <w:szCs w:val="15"/>
          <w:color w:val="auto"/>
        </w:rPr>
        <w:t>Efectveness of our risk management policies and of our operatonal and security systems;</w:t>
      </w:r>
    </w:p>
    <w:p>
      <w:pPr>
        <w:ind w:left="109" w:hanging="109"/>
        <w:spacing w:after="0" w:line="237" w:lineRule="auto"/>
        <w:tabs>
          <w:tab w:leader="none" w:pos="109" w:val="left"/>
        </w:tabs>
        <w:numPr>
          <w:ilvl w:val="0"/>
          <w:numId w:val="49"/>
        </w:numPr>
        <w:rPr>
          <w:rFonts w:ascii="Calibri" w:cs="Calibri" w:eastAsia="Calibri" w:hAnsi="Calibri"/>
          <w:sz w:val="15"/>
          <w:szCs w:val="15"/>
          <w:color w:val="auto"/>
        </w:rPr>
      </w:pPr>
      <w:r>
        <w:rPr>
          <w:rFonts w:ascii="Calibri" w:cs="Calibri" w:eastAsia="Calibri" w:hAnsi="Calibri"/>
          <w:sz w:val="15"/>
          <w:szCs w:val="15"/>
          <w:color w:val="auto"/>
        </w:rPr>
        <w:t>Losses associated with counterparty exposures;</w:t>
      </w:r>
    </w:p>
    <w:p>
      <w:pPr>
        <w:spacing w:after="0" w:line="2" w:lineRule="exact"/>
        <w:rPr>
          <w:rFonts w:ascii="Calibri" w:cs="Calibri" w:eastAsia="Calibri" w:hAnsi="Calibri"/>
          <w:sz w:val="15"/>
          <w:szCs w:val="15"/>
          <w:color w:val="auto"/>
        </w:rPr>
      </w:pPr>
    </w:p>
    <w:p>
      <w:pPr>
        <w:ind w:left="9" w:right="20" w:hanging="9"/>
        <w:spacing w:after="0" w:line="236" w:lineRule="auto"/>
        <w:tabs>
          <w:tab w:leader="none" w:pos="120" w:val="left"/>
        </w:tabs>
        <w:numPr>
          <w:ilvl w:val="0"/>
          <w:numId w:val="49"/>
        </w:numPr>
        <w:rPr>
          <w:rFonts w:ascii="Calibri" w:cs="Calibri" w:eastAsia="Calibri" w:hAnsi="Calibri"/>
          <w:sz w:val="15"/>
          <w:szCs w:val="15"/>
          <w:color w:val="auto"/>
        </w:rPr>
      </w:pPr>
      <w:r>
        <w:rPr>
          <w:rFonts w:ascii="Calibri" w:cs="Calibri" w:eastAsia="Calibri" w:hAnsi="Calibri"/>
          <w:sz w:val="15"/>
          <w:szCs w:val="15"/>
          <w:color w:val="auto"/>
        </w:rPr>
        <w:t>The scope of the coronavirus (“COVID-19”) outbreak, actons taken to contain the COVID-19 and related economic efects from such actons and our ability to maintain adequate stafng; and</w:t>
      </w:r>
    </w:p>
    <w:p>
      <w:pPr>
        <w:ind w:left="109" w:hanging="109"/>
        <w:spacing w:after="0" w:line="237" w:lineRule="auto"/>
        <w:tabs>
          <w:tab w:leader="none" w:pos="109" w:val="left"/>
        </w:tabs>
        <w:numPr>
          <w:ilvl w:val="0"/>
          <w:numId w:val="49"/>
        </w:numPr>
        <w:rPr>
          <w:rFonts w:ascii="Calibri" w:cs="Calibri" w:eastAsia="Calibri" w:hAnsi="Calibri"/>
          <w:sz w:val="15"/>
          <w:szCs w:val="15"/>
          <w:color w:val="auto"/>
        </w:rPr>
      </w:pPr>
      <w:r>
        <w:rPr>
          <w:rFonts w:ascii="Calibri" w:cs="Calibri" w:eastAsia="Calibri" w:hAnsi="Calibri"/>
          <w:sz w:val="15"/>
          <w:szCs w:val="15"/>
          <w:color w:val="auto"/>
        </w:rPr>
        <w:t>Changes in Bermuda laws and regulatons applicable to so-called non-resident enttes.</w:t>
      </w:r>
    </w:p>
    <w:p>
      <w:pPr>
        <w:spacing w:after="0" w:line="207" w:lineRule="exact"/>
        <w:rPr>
          <w:sz w:val="20"/>
          <w:szCs w:val="20"/>
          <w:color w:val="auto"/>
        </w:rPr>
      </w:pPr>
    </w:p>
    <w:p>
      <w:pPr>
        <w:jc w:val="both"/>
        <w:ind w:left="9"/>
        <w:spacing w:after="0" w:line="236" w:lineRule="auto"/>
        <w:rPr>
          <w:sz w:val="20"/>
          <w:szCs w:val="20"/>
          <w:color w:val="auto"/>
        </w:rPr>
      </w:pPr>
      <w:r>
        <w:rPr>
          <w:rFonts w:ascii="Calibri" w:cs="Calibri" w:eastAsia="Calibri" w:hAnsi="Calibri"/>
          <w:sz w:val="15"/>
          <w:szCs w:val="15"/>
          <w:color w:val="auto"/>
        </w:rPr>
        <w:t>See “Item 3. Key Informaton—3.D Risk Factors” and “Item 5. Operatng and Financial Review and Prospects” in our most recent Annual Report on Form 20-F fled with the U.S. Securites and Exchange Commission for additonal informaton and other such factors.</w:t>
      </w:r>
    </w:p>
    <w:p>
      <w:pPr>
        <w:spacing w:after="0" w:line="3" w:lineRule="exact"/>
        <w:rPr>
          <w:sz w:val="20"/>
          <w:szCs w:val="20"/>
          <w:color w:val="auto"/>
        </w:rPr>
      </w:pPr>
    </w:p>
    <w:p>
      <w:pPr>
        <w:jc w:val="both"/>
        <w:ind w:left="9"/>
        <w:spacing w:after="0" w:line="237" w:lineRule="auto"/>
        <w:rPr>
          <w:sz w:val="20"/>
          <w:szCs w:val="20"/>
          <w:color w:val="auto"/>
        </w:rPr>
      </w:pPr>
      <w:r>
        <w:rPr>
          <w:rFonts w:ascii="Calibri" w:cs="Calibri" w:eastAsia="Calibri" w:hAnsi="Calibri"/>
          <w:sz w:val="15"/>
          <w:szCs w:val="15"/>
          <w:color w:val="auto"/>
        </w:rPr>
        <w:t>You are cautoned not to place undue reliance on these forward-looking statements, which speak only as of the date hereof and are based only on informaton currently available to us. Therefore, you should not rely on any of these forward-looking statements. We undertake no obligaton to publicly update or revise these or any other forward-looking statements that may be made to refect events or circumstances afer the date hereof, whether as a result of changes in our business strategy or new informaton, to refect the occurrence of unantcipated events or otherwise.</w:t>
      </w:r>
    </w:p>
    <w:p>
      <w:pPr>
        <w:spacing w:after="0" w:line="342"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31"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407"/>
        </w:trPr>
        <w:tc>
          <w:tcPr>
            <w:tcW w:w="380" w:type="dxa"/>
            <w:vAlign w:val="bottom"/>
            <w:shd w:val="clear" w:color="auto" w:fill="000000"/>
          </w:tcPr>
          <w:p>
            <w:pPr>
              <w:spacing w:after="0"/>
              <w:rPr>
                <w:sz w:val="24"/>
                <w:szCs w:val="24"/>
                <w:color w:val="auto"/>
              </w:rPr>
            </w:pPr>
          </w:p>
        </w:tc>
        <w:tc>
          <w:tcPr>
            <w:tcW w:w="8040" w:type="dxa"/>
            <w:vAlign w:val="bottom"/>
            <w:shd w:val="clear" w:color="auto" w:fill="000000"/>
          </w:tcPr>
          <w:p>
            <w:pPr>
              <w:ind w:left="2320"/>
              <w:spacing w:after="0"/>
              <w:rPr>
                <w:sz w:val="20"/>
                <w:szCs w:val="20"/>
                <w:color w:val="auto"/>
              </w:rPr>
            </w:pPr>
            <w:r>
              <w:rPr>
                <w:rFonts w:ascii="Arial" w:cs="Arial" w:eastAsia="Arial" w:hAnsi="Arial"/>
                <w:sz w:val="14"/>
                <w:szCs w:val="14"/>
                <w:color w:val="A6A6A6"/>
              </w:rPr>
              <w:t xml:space="preserve">|   </w:t>
            </w:r>
            <w:r>
              <w:rPr>
                <w:rFonts w:ascii="Calibri" w:cs="Calibri" w:eastAsia="Calibri" w:hAnsi="Calibri"/>
                <w:sz w:val="15"/>
                <w:szCs w:val="15"/>
                <w:b w:val="1"/>
                <w:bCs w:val="1"/>
                <w:color w:val="FFFFFF"/>
              </w:rPr>
              <w:t>Earnings Release 1Q / 2023</w:t>
            </w:r>
          </w:p>
        </w:tc>
        <w:tc>
          <w:tcPr>
            <w:tcW w:w="2840" w:type="dxa"/>
            <w:vAlign w:val="bottom"/>
            <w:shd w:val="clear" w:color="auto" w:fill="000000"/>
          </w:tcPr>
          <w:p>
            <w:pPr>
              <w:jc w:val="right"/>
              <w:spacing w:after="0"/>
              <w:rPr>
                <w:sz w:val="20"/>
                <w:szCs w:val="20"/>
                <w:color w:val="auto"/>
              </w:rPr>
            </w:pPr>
            <w:r>
              <w:rPr>
                <w:rFonts w:ascii="Calibri" w:cs="Calibri" w:eastAsia="Calibri" w:hAnsi="Calibri"/>
                <w:sz w:val="17"/>
                <w:szCs w:val="17"/>
                <w:b w:val="1"/>
                <w:bCs w:val="1"/>
                <w:color w:val="E93CAC"/>
              </w:rPr>
              <w:t>Analysis of 1Q23 Consolidated Results</w:t>
            </w:r>
          </w:p>
        </w:tc>
      </w:tr>
      <w:tr>
        <w:trPr>
          <w:trHeight w:val="240"/>
        </w:trPr>
        <w:tc>
          <w:tcPr>
            <w:tcW w:w="8420" w:type="dxa"/>
            <w:vAlign w:val="bottom"/>
            <w:gridSpan w:val="2"/>
            <w:shd w:val="clear" w:color="auto" w:fill="000000"/>
          </w:tcPr>
          <w:p>
            <w:pPr>
              <w:spacing w:after="0"/>
              <w:rPr>
                <w:sz w:val="20"/>
                <w:szCs w:val="20"/>
                <w:color w:val="auto"/>
              </w:rPr>
            </w:pPr>
          </w:p>
        </w:tc>
        <w:tc>
          <w:tcPr>
            <w:tcW w:w="2840" w:type="dxa"/>
            <w:vAlign w:val="bottom"/>
            <w:shd w:val="clear" w:color="auto" w:fill="000000"/>
          </w:tcPr>
          <w:p>
            <w:pPr>
              <w:spacing w:after="0"/>
              <w:rPr>
                <w:sz w:val="20"/>
                <w:szCs w:val="20"/>
                <w:color w:val="auto"/>
              </w:rPr>
            </w:pPr>
          </w:p>
        </w:tc>
      </w:tr>
      <w:tr>
        <w:trPr>
          <w:trHeight w:val="687"/>
        </w:trPr>
        <w:tc>
          <w:tcPr>
            <w:tcW w:w="8420" w:type="dxa"/>
            <w:vAlign w:val="bottom"/>
            <w:gridSpan w:val="2"/>
          </w:tcPr>
          <w:p>
            <w:pPr>
              <w:spacing w:after="0"/>
              <w:rPr>
                <w:sz w:val="20"/>
                <w:szCs w:val="20"/>
                <w:color w:val="auto"/>
              </w:rPr>
            </w:pPr>
            <w:r>
              <w:rPr>
                <w:rFonts w:ascii="Calibri" w:cs="Calibri" w:eastAsia="Calibri" w:hAnsi="Calibri"/>
                <w:sz w:val="44"/>
                <w:szCs w:val="44"/>
                <w:b w:val="1"/>
                <w:bCs w:val="1"/>
                <w:color w:val="E93CAC"/>
              </w:rPr>
              <w:t xml:space="preserve">12 </w:t>
            </w:r>
            <w:r>
              <w:rPr>
                <w:rFonts w:ascii="Calibri" w:cs="Calibri" w:eastAsia="Calibri" w:hAnsi="Calibri"/>
                <w:sz w:val="27"/>
                <w:szCs w:val="27"/>
                <w:b w:val="1"/>
                <w:bCs w:val="1"/>
                <w:color w:val="E93CAC"/>
              </w:rPr>
              <w:t>Appendix</w:t>
            </w:r>
          </w:p>
        </w:tc>
        <w:tc>
          <w:tcPr>
            <w:tcW w:w="2840" w:type="dxa"/>
            <w:vAlign w:val="bottom"/>
          </w:tcPr>
          <w:p>
            <w:pPr>
              <w:spacing w:after="0"/>
              <w:rPr>
                <w:sz w:val="24"/>
                <w:szCs w:val="24"/>
                <w:color w:val="auto"/>
              </w:rPr>
            </w:pPr>
          </w:p>
        </w:tc>
      </w:tr>
      <w:tr>
        <w:trPr>
          <w:trHeight w:val="579"/>
        </w:trPr>
        <w:tc>
          <w:tcPr>
            <w:tcW w:w="8420" w:type="dxa"/>
            <w:vAlign w:val="bottom"/>
            <w:gridSpan w:val="2"/>
          </w:tcPr>
          <w:p>
            <w:pPr>
              <w:spacing w:after="0"/>
              <w:rPr>
                <w:sz w:val="20"/>
                <w:szCs w:val="20"/>
                <w:color w:val="auto"/>
              </w:rPr>
            </w:pPr>
            <w:r>
              <w:rPr>
                <w:rFonts w:ascii="Calibri" w:cs="Calibri" w:eastAsia="Calibri" w:hAnsi="Calibri"/>
                <w:sz w:val="17"/>
                <w:szCs w:val="17"/>
                <w:b w:val="1"/>
                <w:bCs w:val="1"/>
                <w:color w:val="auto"/>
              </w:rPr>
              <w:t>12.1. Implementaton of IFRS 17 – Restatement of fgures and ratos for 2022</w:t>
            </w:r>
          </w:p>
        </w:tc>
        <w:tc>
          <w:tcPr>
            <w:tcW w:w="284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12.1.1. Introducton to the new standards IFRS 17</w:t>
            </w:r>
          </w:p>
        </w:tc>
        <w:tc>
          <w:tcPr>
            <w:tcW w:w="284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12.1.2. Conceptual Framework</w:t>
            </w:r>
          </w:p>
        </w:tc>
        <w:tc>
          <w:tcPr>
            <w:tcW w:w="284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12.1.3. Recogniton of Proft and Loss</w:t>
            </w:r>
          </w:p>
        </w:tc>
        <w:tc>
          <w:tcPr>
            <w:tcW w:w="284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12.1.4. Valuaton Methods</w:t>
            </w:r>
          </w:p>
        </w:tc>
        <w:tc>
          <w:tcPr>
            <w:tcW w:w="284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12.1.5. Impact on Equity Under IFRS 17</w:t>
            </w:r>
          </w:p>
        </w:tc>
        <w:tc>
          <w:tcPr>
            <w:tcW w:w="284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12.1.6. Reformulaton of Proft and Loss Statement at Pacífco Grupo Asegurador for year 2022</w:t>
            </w:r>
          </w:p>
        </w:tc>
        <w:tc>
          <w:tcPr>
            <w:tcW w:w="284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12.1.7. Reformulaton Credicorp’s Proft and Loss Statement for year 2022</w:t>
            </w:r>
          </w:p>
        </w:tc>
        <w:tc>
          <w:tcPr>
            <w:tcW w:w="284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12.1.8. Changes in the Methodology to Calculate Financial Indicators and their Reformulaton for the year 2022</w:t>
            </w:r>
          </w:p>
        </w:tc>
        <w:tc>
          <w:tcPr>
            <w:tcW w:w="284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12.1.9. Glossary of Terms Under IFRS 17</w:t>
            </w:r>
          </w:p>
        </w:tc>
        <w:tc>
          <w:tcPr>
            <w:tcW w:w="28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06"/>
        </w:trPr>
        <w:tc>
          <w:tcPr>
            <w:tcW w:w="380" w:type="dxa"/>
            <w:vAlign w:val="bottom"/>
          </w:tcPr>
          <w:p>
            <w:pPr>
              <w:spacing w:after="0"/>
              <w:rPr>
                <w:sz w:val="20"/>
                <w:szCs w:val="20"/>
                <w:color w:val="auto"/>
              </w:rPr>
            </w:pPr>
            <w:r>
              <w:rPr>
                <w:rFonts w:ascii="Calibri" w:cs="Calibri" w:eastAsia="Calibri" w:hAnsi="Calibri"/>
                <w:sz w:val="17"/>
                <w:szCs w:val="17"/>
                <w:b w:val="1"/>
                <w:bCs w:val="1"/>
                <w:color w:val="auto"/>
              </w:rPr>
              <w:t>12.2.</w:t>
            </w:r>
          </w:p>
        </w:tc>
        <w:tc>
          <w:tcPr>
            <w:tcW w:w="8040" w:type="dxa"/>
            <w:vAlign w:val="bottom"/>
          </w:tcPr>
          <w:p>
            <w:pPr>
              <w:ind w:left="20"/>
              <w:spacing w:after="0"/>
              <w:rPr>
                <w:sz w:val="20"/>
                <w:szCs w:val="20"/>
                <w:color w:val="auto"/>
              </w:rPr>
            </w:pPr>
            <w:r>
              <w:rPr>
                <w:rFonts w:ascii="Calibri" w:cs="Calibri" w:eastAsia="Calibri" w:hAnsi="Calibri"/>
                <w:sz w:val="17"/>
                <w:szCs w:val="17"/>
                <w:b w:val="1"/>
                <w:bCs w:val="1"/>
                <w:color w:val="auto"/>
              </w:rPr>
              <w:t>Physical Point of contact</w:t>
            </w:r>
          </w:p>
        </w:tc>
        <w:tc>
          <w:tcPr>
            <w:tcW w:w="28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06"/>
        </w:trPr>
        <w:tc>
          <w:tcPr>
            <w:tcW w:w="380" w:type="dxa"/>
            <w:vAlign w:val="bottom"/>
          </w:tcPr>
          <w:p>
            <w:pPr>
              <w:spacing w:after="0"/>
              <w:rPr>
                <w:sz w:val="20"/>
                <w:szCs w:val="20"/>
                <w:color w:val="auto"/>
              </w:rPr>
            </w:pPr>
            <w:r>
              <w:rPr>
                <w:rFonts w:ascii="Calibri" w:cs="Calibri" w:eastAsia="Calibri" w:hAnsi="Calibri"/>
                <w:sz w:val="17"/>
                <w:szCs w:val="17"/>
                <w:b w:val="1"/>
                <w:bCs w:val="1"/>
                <w:color w:val="auto"/>
              </w:rPr>
              <w:t>12.3.</w:t>
            </w:r>
          </w:p>
        </w:tc>
        <w:tc>
          <w:tcPr>
            <w:tcW w:w="8040" w:type="dxa"/>
            <w:vAlign w:val="bottom"/>
          </w:tcPr>
          <w:p>
            <w:pPr>
              <w:ind w:left="20"/>
              <w:spacing w:after="0"/>
              <w:rPr>
                <w:sz w:val="20"/>
                <w:szCs w:val="20"/>
                <w:color w:val="auto"/>
              </w:rPr>
            </w:pPr>
            <w:r>
              <w:rPr>
                <w:rFonts w:ascii="Calibri" w:cs="Calibri" w:eastAsia="Calibri" w:hAnsi="Calibri"/>
                <w:sz w:val="17"/>
                <w:szCs w:val="17"/>
                <w:b w:val="1"/>
                <w:bCs w:val="1"/>
                <w:color w:val="auto"/>
              </w:rPr>
              <w:t>Loan Portolio Quality</w:t>
            </w:r>
          </w:p>
        </w:tc>
        <w:tc>
          <w:tcPr>
            <w:tcW w:w="284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306"/>
        </w:trPr>
        <w:tc>
          <w:tcPr>
            <w:tcW w:w="8420" w:type="dxa"/>
            <w:vAlign w:val="bottom"/>
            <w:gridSpan w:val="2"/>
          </w:tcPr>
          <w:p>
            <w:pPr>
              <w:spacing w:after="0"/>
              <w:rPr>
                <w:sz w:val="20"/>
                <w:szCs w:val="20"/>
                <w:color w:val="auto"/>
              </w:rPr>
            </w:pPr>
            <w:r>
              <w:rPr>
                <w:rFonts w:ascii="Calibri" w:cs="Calibri" w:eastAsia="Calibri" w:hAnsi="Calibri"/>
                <w:sz w:val="17"/>
                <w:szCs w:val="17"/>
                <w:b w:val="1"/>
                <w:bCs w:val="1"/>
                <w:color w:val="auto"/>
              </w:rPr>
              <w:t>12.4 Net Interest Income (NII)</w:t>
            </w:r>
          </w:p>
        </w:tc>
        <w:tc>
          <w:tcPr>
            <w:tcW w:w="28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306"/>
        </w:trPr>
        <w:tc>
          <w:tcPr>
            <w:tcW w:w="380" w:type="dxa"/>
            <w:vAlign w:val="bottom"/>
          </w:tcPr>
          <w:p>
            <w:pPr>
              <w:spacing w:after="0"/>
              <w:rPr>
                <w:sz w:val="20"/>
                <w:szCs w:val="20"/>
                <w:color w:val="auto"/>
              </w:rPr>
            </w:pPr>
            <w:r>
              <w:rPr>
                <w:rFonts w:ascii="Calibri" w:cs="Calibri" w:eastAsia="Calibri" w:hAnsi="Calibri"/>
                <w:sz w:val="17"/>
                <w:szCs w:val="17"/>
                <w:b w:val="1"/>
                <w:bCs w:val="1"/>
                <w:color w:val="auto"/>
              </w:rPr>
              <w:t>12.5.</w:t>
            </w:r>
          </w:p>
        </w:tc>
        <w:tc>
          <w:tcPr>
            <w:tcW w:w="8040" w:type="dxa"/>
            <w:vAlign w:val="bottom"/>
          </w:tcPr>
          <w:p>
            <w:pPr>
              <w:ind w:left="20"/>
              <w:spacing w:after="0"/>
              <w:rPr>
                <w:sz w:val="20"/>
                <w:szCs w:val="20"/>
                <w:color w:val="auto"/>
              </w:rPr>
            </w:pPr>
            <w:r>
              <w:rPr>
                <w:rFonts w:ascii="Calibri" w:cs="Calibri" w:eastAsia="Calibri" w:hAnsi="Calibri"/>
                <w:sz w:val="17"/>
                <w:szCs w:val="17"/>
                <w:b w:val="1"/>
                <w:bCs w:val="1"/>
                <w:color w:val="auto"/>
              </w:rPr>
              <w:t>Regulatory Capital</w:t>
            </w:r>
          </w:p>
        </w:tc>
        <w:tc>
          <w:tcPr>
            <w:tcW w:w="284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306"/>
        </w:trPr>
        <w:tc>
          <w:tcPr>
            <w:tcW w:w="380" w:type="dxa"/>
            <w:vAlign w:val="bottom"/>
          </w:tcPr>
          <w:p>
            <w:pPr>
              <w:spacing w:after="0"/>
              <w:rPr>
                <w:sz w:val="20"/>
                <w:szCs w:val="20"/>
                <w:color w:val="auto"/>
              </w:rPr>
            </w:pPr>
            <w:r>
              <w:rPr>
                <w:rFonts w:ascii="Calibri" w:cs="Calibri" w:eastAsia="Calibri" w:hAnsi="Calibri"/>
                <w:sz w:val="17"/>
                <w:szCs w:val="17"/>
                <w:b w:val="1"/>
                <w:bCs w:val="1"/>
                <w:color w:val="auto"/>
              </w:rPr>
              <w:t>12.6.</w:t>
            </w:r>
          </w:p>
        </w:tc>
        <w:tc>
          <w:tcPr>
            <w:tcW w:w="8040" w:type="dxa"/>
            <w:vAlign w:val="bottom"/>
          </w:tcPr>
          <w:p>
            <w:pPr>
              <w:ind w:left="20"/>
              <w:spacing w:after="0"/>
              <w:rPr>
                <w:sz w:val="20"/>
                <w:szCs w:val="20"/>
                <w:color w:val="auto"/>
              </w:rPr>
            </w:pPr>
            <w:r>
              <w:rPr>
                <w:rFonts w:ascii="Calibri" w:cs="Calibri" w:eastAsia="Calibri" w:hAnsi="Calibri"/>
                <w:sz w:val="17"/>
                <w:szCs w:val="17"/>
                <w:b w:val="1"/>
                <w:bCs w:val="1"/>
                <w:color w:val="auto"/>
              </w:rPr>
              <w:t>Financial Statements and Ratos by Business</w:t>
            </w:r>
          </w:p>
        </w:tc>
        <w:tc>
          <w:tcPr>
            <w:tcW w:w="284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306"/>
        </w:trPr>
        <w:tc>
          <w:tcPr>
            <w:tcW w:w="8420" w:type="dxa"/>
            <w:vAlign w:val="bottom"/>
            <w:gridSpan w:val="2"/>
          </w:tcPr>
          <w:p>
            <w:pPr>
              <w:spacing w:after="0"/>
              <w:rPr>
                <w:sz w:val="20"/>
                <w:szCs w:val="20"/>
                <w:color w:val="auto"/>
              </w:rPr>
            </w:pPr>
            <w:r>
              <w:rPr>
                <w:rFonts w:ascii="Calibri" w:cs="Calibri" w:eastAsia="Calibri" w:hAnsi="Calibri"/>
                <w:sz w:val="17"/>
                <w:szCs w:val="17"/>
                <w:b w:val="1"/>
                <w:bCs w:val="1"/>
                <w:color w:val="auto"/>
              </w:rPr>
              <w:t>12.6.1. Credicorp Consolidated</w:t>
            </w:r>
          </w:p>
        </w:tc>
        <w:tc>
          <w:tcPr>
            <w:tcW w:w="284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12.6.2. Credicorp Stand-alone</w:t>
            </w:r>
          </w:p>
        </w:tc>
        <w:tc>
          <w:tcPr>
            <w:tcW w:w="284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12.6.3. BCP Consolidated</w:t>
            </w:r>
          </w:p>
        </w:tc>
        <w:tc>
          <w:tcPr>
            <w:tcW w:w="284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12.6.4. BCP Stand-alone</w:t>
            </w:r>
          </w:p>
        </w:tc>
        <w:tc>
          <w:tcPr>
            <w:tcW w:w="28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12.6.5. BCP Bolivia</w:t>
            </w:r>
          </w:p>
        </w:tc>
        <w:tc>
          <w:tcPr>
            <w:tcW w:w="28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12.6.6. Mibanco</w:t>
            </w:r>
          </w:p>
        </w:tc>
        <w:tc>
          <w:tcPr>
            <w:tcW w:w="28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12.6.7. Prima AFP</w:t>
            </w:r>
          </w:p>
        </w:tc>
        <w:tc>
          <w:tcPr>
            <w:tcW w:w="28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306"/>
        </w:trPr>
        <w:tc>
          <w:tcPr>
            <w:tcW w:w="380" w:type="dxa"/>
            <w:vAlign w:val="bottom"/>
          </w:tcPr>
          <w:p>
            <w:pPr>
              <w:spacing w:after="0"/>
              <w:rPr>
                <w:sz w:val="24"/>
                <w:szCs w:val="24"/>
                <w:color w:val="auto"/>
              </w:rPr>
            </w:pPr>
          </w:p>
        </w:tc>
        <w:tc>
          <w:tcPr>
            <w:tcW w:w="8040" w:type="dxa"/>
            <w:vAlign w:val="bottom"/>
          </w:tcPr>
          <w:p>
            <w:pPr>
              <w:ind w:left="80"/>
              <w:spacing w:after="0"/>
              <w:rPr>
                <w:sz w:val="20"/>
                <w:szCs w:val="20"/>
                <w:color w:val="auto"/>
              </w:rPr>
            </w:pPr>
            <w:r>
              <w:rPr>
                <w:rFonts w:ascii="Calibri" w:cs="Calibri" w:eastAsia="Calibri" w:hAnsi="Calibri"/>
                <w:sz w:val="17"/>
                <w:szCs w:val="17"/>
                <w:b w:val="1"/>
                <w:bCs w:val="1"/>
                <w:color w:val="auto"/>
              </w:rPr>
              <w:t>12.6.8. Grupo Pacifco</w:t>
            </w:r>
          </w:p>
        </w:tc>
        <w:tc>
          <w:tcPr>
            <w:tcW w:w="284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306"/>
        </w:trPr>
        <w:tc>
          <w:tcPr>
            <w:tcW w:w="380" w:type="dxa"/>
            <w:vAlign w:val="bottom"/>
          </w:tcPr>
          <w:p>
            <w:pPr>
              <w:spacing w:after="0"/>
              <w:rPr>
                <w:sz w:val="20"/>
                <w:szCs w:val="20"/>
                <w:color w:val="auto"/>
              </w:rPr>
            </w:pPr>
            <w:r>
              <w:rPr>
                <w:rFonts w:ascii="Calibri" w:cs="Calibri" w:eastAsia="Calibri" w:hAnsi="Calibri"/>
                <w:sz w:val="17"/>
                <w:szCs w:val="17"/>
                <w:b w:val="1"/>
                <w:bCs w:val="1"/>
                <w:color w:val="auto"/>
              </w:rPr>
              <w:t>12.7.</w:t>
            </w:r>
          </w:p>
        </w:tc>
        <w:tc>
          <w:tcPr>
            <w:tcW w:w="8040" w:type="dxa"/>
            <w:vAlign w:val="bottom"/>
          </w:tcPr>
          <w:p>
            <w:pPr>
              <w:ind w:left="20"/>
              <w:spacing w:after="0"/>
              <w:rPr>
                <w:sz w:val="20"/>
                <w:szCs w:val="20"/>
                <w:color w:val="auto"/>
              </w:rPr>
            </w:pPr>
            <w:r>
              <w:rPr>
                <w:rFonts w:ascii="Calibri" w:cs="Calibri" w:eastAsia="Calibri" w:hAnsi="Calibri"/>
                <w:sz w:val="17"/>
                <w:szCs w:val="17"/>
                <w:b w:val="1"/>
                <w:bCs w:val="1"/>
                <w:color w:val="auto"/>
              </w:rPr>
              <w:t>Table of calculatons</w:t>
            </w:r>
          </w:p>
        </w:tc>
        <w:tc>
          <w:tcPr>
            <w:tcW w:w="284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306"/>
        </w:trPr>
        <w:tc>
          <w:tcPr>
            <w:tcW w:w="380" w:type="dxa"/>
            <w:vAlign w:val="bottom"/>
          </w:tcPr>
          <w:p>
            <w:pPr>
              <w:spacing w:after="0"/>
              <w:rPr>
                <w:sz w:val="20"/>
                <w:szCs w:val="20"/>
                <w:color w:val="auto"/>
              </w:rPr>
            </w:pPr>
            <w:r>
              <w:rPr>
                <w:rFonts w:ascii="Calibri" w:cs="Calibri" w:eastAsia="Calibri" w:hAnsi="Calibri"/>
                <w:sz w:val="17"/>
                <w:szCs w:val="17"/>
                <w:b w:val="1"/>
                <w:bCs w:val="1"/>
                <w:color w:val="auto"/>
              </w:rPr>
              <w:t>12.8.</w:t>
            </w:r>
          </w:p>
        </w:tc>
        <w:tc>
          <w:tcPr>
            <w:tcW w:w="8040" w:type="dxa"/>
            <w:vAlign w:val="bottom"/>
          </w:tcPr>
          <w:p>
            <w:pPr>
              <w:ind w:left="20"/>
              <w:spacing w:after="0"/>
              <w:rPr>
                <w:sz w:val="20"/>
                <w:szCs w:val="20"/>
                <w:color w:val="auto"/>
              </w:rPr>
            </w:pPr>
            <w:r>
              <w:rPr>
                <w:rFonts w:ascii="Calibri" w:cs="Calibri" w:eastAsia="Calibri" w:hAnsi="Calibri"/>
                <w:sz w:val="17"/>
                <w:szCs w:val="17"/>
                <w:b w:val="1"/>
                <w:bCs w:val="1"/>
                <w:color w:val="auto"/>
              </w:rPr>
              <w:t>Glossary of terms</w:t>
            </w:r>
          </w:p>
        </w:tc>
        <w:tc>
          <w:tcPr>
            <w:tcW w:w="284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597"/>
        </w:trPr>
        <w:tc>
          <w:tcPr>
            <w:tcW w:w="38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35"/>
        </w:trPr>
        <w:tc>
          <w:tcPr>
            <w:tcW w:w="38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-6188075</wp:posOffset>
            </wp:positionV>
            <wp:extent cx="908050" cy="1943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08050" cy="19431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0" w:name="page51"/>
    <w:bookmarkEnd w:id="50"/>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12.1. Implementaton of IFRS 17 – Restatement of fgures and ratos for 2022</w:t>
      </w:r>
    </w:p>
    <w:p>
      <w:pPr>
        <w:spacing w:after="0" w:line="180"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12.1.1. Introducton to the new standards IFRS 17</w:t>
      </w:r>
    </w:p>
    <w:p>
      <w:pPr>
        <w:spacing w:after="0" w:line="184" w:lineRule="exact"/>
        <w:rPr>
          <w:sz w:val="20"/>
          <w:szCs w:val="20"/>
          <w:color w:val="auto"/>
        </w:rPr>
      </w:pPr>
    </w:p>
    <w:p>
      <w:pPr>
        <w:spacing w:after="0" w:line="236" w:lineRule="auto"/>
        <w:rPr>
          <w:sz w:val="20"/>
          <w:szCs w:val="20"/>
          <w:color w:val="auto"/>
        </w:rPr>
      </w:pPr>
      <w:r>
        <w:rPr>
          <w:rFonts w:ascii="Calibri" w:cs="Calibri" w:eastAsia="Calibri" w:hAnsi="Calibri"/>
          <w:sz w:val="15"/>
          <w:szCs w:val="15"/>
          <w:color w:val="auto"/>
        </w:rPr>
        <w:t>IFRS 17 was published in May 2017 as a replacement to IFRS 4 “Insurance Contracts.” The aim of this change is to ensure that consistent measurement criteria are applied to improve transparency and the comparability of Financial Statements. The new standard became efectve in January 2023.</w:t>
      </w:r>
    </w:p>
    <w:p>
      <w:pPr>
        <w:spacing w:after="0" w:line="113" w:lineRule="exact"/>
        <w:rPr>
          <w:sz w:val="20"/>
          <w:szCs w:val="20"/>
          <w:color w:val="auto"/>
        </w:rPr>
      </w:pPr>
    </w:p>
    <w:p>
      <w:pPr>
        <w:ind w:left="20"/>
        <w:spacing w:after="0"/>
        <w:rPr>
          <w:sz w:val="20"/>
          <w:szCs w:val="20"/>
          <w:color w:val="auto"/>
        </w:rPr>
      </w:pPr>
      <w:r>
        <w:rPr>
          <w:rFonts w:ascii="Calibri" w:cs="Calibri" w:eastAsia="Calibri" w:hAnsi="Calibri"/>
          <w:sz w:val="15"/>
          <w:szCs w:val="15"/>
          <w:color w:val="auto"/>
        </w:rPr>
        <w:t>The primary objectves of this standard include:</w:t>
      </w:r>
    </w:p>
    <w:p>
      <w:pPr>
        <w:spacing w:after="0" w:line="123" w:lineRule="exact"/>
        <w:rPr>
          <w:sz w:val="20"/>
          <w:szCs w:val="20"/>
          <w:color w:val="auto"/>
        </w:rPr>
      </w:pPr>
    </w:p>
    <w:p>
      <w:pPr>
        <w:ind w:left="800" w:hanging="537"/>
        <w:spacing w:after="0"/>
        <w:tabs>
          <w:tab w:leader="none" w:pos="800" w:val="left"/>
        </w:tabs>
        <w:numPr>
          <w:ilvl w:val="0"/>
          <w:numId w:val="50"/>
        </w:numPr>
        <w:rPr>
          <w:rFonts w:ascii="Calibri" w:cs="Calibri" w:eastAsia="Calibri" w:hAnsi="Calibri"/>
          <w:sz w:val="15"/>
          <w:szCs w:val="15"/>
          <w:color w:val="auto"/>
        </w:rPr>
      </w:pPr>
      <w:r>
        <w:rPr>
          <w:rFonts w:ascii="Calibri" w:cs="Calibri" w:eastAsia="Calibri" w:hAnsi="Calibri"/>
          <w:sz w:val="15"/>
          <w:szCs w:val="15"/>
          <w:color w:val="auto"/>
        </w:rPr>
        <w:t>Improving comparability between insurers at the global level. IFRS 4 allowed enttes to use a wide variety of accountng practces with regard to insurance contracts.</w:t>
      </w:r>
    </w:p>
    <w:p>
      <w:pPr>
        <w:spacing w:after="0" w:line="2" w:lineRule="exact"/>
        <w:rPr>
          <w:rFonts w:ascii="Calibri" w:cs="Calibri" w:eastAsia="Calibri" w:hAnsi="Calibri"/>
          <w:sz w:val="15"/>
          <w:szCs w:val="15"/>
          <w:color w:val="auto"/>
        </w:rPr>
      </w:pPr>
    </w:p>
    <w:p>
      <w:pPr>
        <w:ind w:left="800" w:right="20" w:hanging="537"/>
        <w:spacing w:after="0" w:line="236" w:lineRule="auto"/>
        <w:tabs>
          <w:tab w:leader="none" w:pos="800" w:val="left"/>
        </w:tabs>
        <w:numPr>
          <w:ilvl w:val="0"/>
          <w:numId w:val="50"/>
        </w:numPr>
        <w:rPr>
          <w:rFonts w:ascii="Calibri" w:cs="Calibri" w:eastAsia="Calibri" w:hAnsi="Calibri"/>
          <w:sz w:val="15"/>
          <w:szCs w:val="15"/>
          <w:color w:val="auto"/>
        </w:rPr>
      </w:pPr>
      <w:r>
        <w:rPr>
          <w:rFonts w:ascii="Calibri" w:cs="Calibri" w:eastAsia="Calibri" w:hAnsi="Calibri"/>
          <w:sz w:val="15"/>
          <w:szCs w:val="15"/>
          <w:color w:val="auto"/>
        </w:rPr>
        <w:t>Adequately refectng the economic value of insurance contracts. Some previous accountng practces allowed under IFRS failed to adequately refect real underlying fnancial situatons or the fnancial yields on insurance contracts.</w:t>
      </w:r>
    </w:p>
    <w:p>
      <w:pPr>
        <w:ind w:left="800" w:hanging="537"/>
        <w:spacing w:after="0" w:line="237" w:lineRule="auto"/>
        <w:tabs>
          <w:tab w:leader="none" w:pos="800" w:val="left"/>
        </w:tabs>
        <w:numPr>
          <w:ilvl w:val="0"/>
          <w:numId w:val="50"/>
        </w:numPr>
        <w:rPr>
          <w:rFonts w:ascii="Calibri" w:cs="Calibri" w:eastAsia="Calibri" w:hAnsi="Calibri"/>
          <w:sz w:val="15"/>
          <w:szCs w:val="15"/>
          <w:color w:val="auto"/>
        </w:rPr>
      </w:pPr>
      <w:r>
        <w:rPr>
          <w:rFonts w:ascii="Calibri" w:cs="Calibri" w:eastAsia="Calibri" w:hAnsi="Calibri"/>
          <w:sz w:val="15"/>
          <w:szCs w:val="15"/>
          <w:color w:val="auto"/>
        </w:rPr>
        <w:t>Providing more useful informaton to users of fnancial statements.</w:t>
      </w:r>
    </w:p>
    <w:p>
      <w:pPr>
        <w:spacing w:after="0" w:line="169" w:lineRule="exact"/>
        <w:rPr>
          <w:sz w:val="20"/>
          <w:szCs w:val="20"/>
          <w:color w:val="auto"/>
        </w:rPr>
      </w:pPr>
    </w:p>
    <w:p>
      <w:pPr>
        <w:ind w:left="40"/>
        <w:spacing w:after="0"/>
        <w:rPr>
          <w:sz w:val="20"/>
          <w:szCs w:val="20"/>
          <w:color w:val="auto"/>
        </w:rPr>
      </w:pPr>
      <w:r>
        <w:rPr>
          <w:rFonts w:ascii="Calibri" w:cs="Calibri" w:eastAsia="Calibri" w:hAnsi="Calibri"/>
          <w:sz w:val="15"/>
          <w:szCs w:val="15"/>
          <w:b w:val="1"/>
          <w:bCs w:val="1"/>
          <w:color w:val="auto"/>
        </w:rPr>
        <w:t>12.1.2. Conceptual Framework</w:t>
      </w:r>
    </w:p>
    <w:p>
      <w:pPr>
        <w:spacing w:after="0" w:line="195" w:lineRule="exact"/>
        <w:rPr>
          <w:sz w:val="20"/>
          <w:szCs w:val="20"/>
          <w:color w:val="auto"/>
        </w:rPr>
      </w:pPr>
    </w:p>
    <w:p>
      <w:pPr>
        <w:jc w:val="both"/>
        <w:spacing w:after="0" w:line="236" w:lineRule="auto"/>
        <w:rPr>
          <w:sz w:val="20"/>
          <w:szCs w:val="20"/>
          <w:color w:val="auto"/>
        </w:rPr>
      </w:pPr>
      <w:r>
        <w:rPr>
          <w:rFonts w:ascii="Calibri" w:cs="Calibri" w:eastAsia="Calibri" w:hAnsi="Calibri"/>
          <w:sz w:val="15"/>
          <w:szCs w:val="15"/>
          <w:color w:val="auto"/>
        </w:rPr>
        <w:t>Insurance contracts combine atributes of risk coverage, provision of services and instruments of investments and by nature, generate cash fows (outlows such as claims payments, redemptos, expiratons, pensions, atributable expenses, income such as premiums) during their term.</w:t>
      </w:r>
    </w:p>
    <w:p>
      <w:pPr>
        <w:spacing w:after="0" w:line="116"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 xml:space="preserve">The diference between expected outlows and infows (fulfllment cashfows), combined with recogniton of cash value over tme, consttute the best estmate of the company’s obligatons. Due to potental underwritng deviatons relatve to expected fows, an additonal reserve, known as </w:t>
      </w:r>
      <w:r>
        <w:rPr>
          <w:rFonts w:ascii="Calibri" w:cs="Calibri" w:eastAsia="Calibri" w:hAnsi="Calibri"/>
          <w:sz w:val="15"/>
          <w:szCs w:val="15"/>
          <w:b w:val="1"/>
          <w:bCs w:val="1"/>
          <w:color w:val="auto"/>
        </w:rPr>
        <w:t>Risk Adjustment (RA)</w:t>
      </w:r>
      <w:r>
        <w:rPr>
          <w:rFonts w:ascii="Calibri" w:cs="Calibri" w:eastAsia="Calibri" w:hAnsi="Calibri"/>
          <w:sz w:val="15"/>
          <w:szCs w:val="15"/>
          <w:color w:val="auto"/>
        </w:rPr>
        <w:t xml:space="preserve"> must be set aside and the underwritng income that the company expects to obtain from its current product portolio consttutes the </w:t>
      </w:r>
      <w:r>
        <w:rPr>
          <w:rFonts w:ascii="Calibri" w:cs="Calibri" w:eastAsia="Calibri" w:hAnsi="Calibri"/>
          <w:sz w:val="15"/>
          <w:szCs w:val="15"/>
          <w:b w:val="1"/>
          <w:bCs w:val="1"/>
          <w:color w:val="auto"/>
        </w:rPr>
        <w:t>Contractual Service Margin (CSM).</w:t>
      </w:r>
      <w:r>
        <w:rPr>
          <w:rFonts w:ascii="Calibri" w:cs="Calibri" w:eastAsia="Calibri" w:hAnsi="Calibri"/>
          <w:sz w:val="15"/>
          <w:szCs w:val="15"/>
          <w:color w:val="auto"/>
        </w:rPr>
        <w:t xml:space="preserve"> These 3 concepts, combined with the claims reserves (including reserves for pending claims, IBNR reserves and liquidaton expenses) consttute the company’s liabilites.</w:t>
      </w:r>
    </w:p>
    <w:p>
      <w:pPr>
        <w:spacing w:after="0" w:line="124"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12.1.3. Recogniton of Proft and Loss</w:t>
      </w:r>
    </w:p>
    <w:p>
      <w:pPr>
        <w:spacing w:after="0" w:line="184"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15"/>
          <w:szCs w:val="15"/>
          <w:color w:val="auto"/>
        </w:rPr>
        <w:t>The P &amp; L under IFRS shows the diference between a company’s expected cash fows (valued in liabilites) and real fows that occur. Antcipated fows must be based on realistc parameters that refect the company’s actual experience and current market interest rates.</w:t>
      </w:r>
    </w:p>
    <w:p>
      <w:pPr>
        <w:spacing w:after="0" w:line="128" w:lineRule="exact"/>
        <w:rPr>
          <w:sz w:val="20"/>
          <w:szCs w:val="20"/>
          <w:color w:val="auto"/>
        </w:rPr>
      </w:pPr>
    </w:p>
    <w:p>
      <w:pPr>
        <w:jc w:val="both"/>
        <w:spacing w:after="0" w:line="236" w:lineRule="auto"/>
        <w:rPr>
          <w:sz w:val="20"/>
          <w:szCs w:val="20"/>
          <w:color w:val="auto"/>
        </w:rPr>
      </w:pPr>
      <w:r>
        <w:rPr>
          <w:rFonts w:ascii="Calibri" w:cs="Calibri" w:eastAsia="Calibri" w:hAnsi="Calibri"/>
          <w:sz w:val="15"/>
          <w:szCs w:val="15"/>
          <w:color w:val="auto"/>
        </w:rPr>
        <w:t>The standard also requires that results be separated into 3 blocks: (i) Insurance service (or direct insurance), (ii) Reinsurance and (iii) Financial Results. This structure allows users to visualize the company’s sources of income.</w:t>
      </w:r>
    </w:p>
    <w:p>
      <w:pPr>
        <w:spacing w:after="0" w:line="116" w:lineRule="exact"/>
        <w:rPr>
          <w:sz w:val="20"/>
          <w:szCs w:val="20"/>
          <w:color w:val="auto"/>
        </w:rPr>
      </w:pPr>
    </w:p>
    <w:p>
      <w:pPr>
        <w:jc w:val="both"/>
        <w:spacing w:after="0" w:line="236" w:lineRule="auto"/>
        <w:rPr>
          <w:sz w:val="20"/>
          <w:szCs w:val="20"/>
          <w:color w:val="auto"/>
        </w:rPr>
      </w:pPr>
      <w:r>
        <w:rPr>
          <w:rFonts w:ascii="Calibri" w:cs="Calibri" w:eastAsia="Calibri" w:hAnsi="Calibri"/>
          <w:sz w:val="15"/>
          <w:szCs w:val="15"/>
          <w:color w:val="auto"/>
        </w:rPr>
        <w:t>Unlike IFRS4, which recognized proft and losses on products during their term, IFRS17 stpulates that expected losses must be recognized at a single moment, meaning upon issuance of policies, while recogniton of underwritng income (CSM) must be made gradually over the efectve period of products.</w:t>
      </w:r>
    </w:p>
    <w:p>
      <w:pPr>
        <w:spacing w:after="0" w:line="128" w:lineRule="exact"/>
        <w:rPr>
          <w:sz w:val="20"/>
          <w:szCs w:val="20"/>
          <w:color w:val="auto"/>
        </w:rPr>
      </w:pPr>
    </w:p>
    <w:p>
      <w:pPr>
        <w:jc w:val="both"/>
        <w:spacing w:after="0" w:line="237" w:lineRule="auto"/>
        <w:rPr>
          <w:sz w:val="20"/>
          <w:szCs w:val="20"/>
          <w:color w:val="auto"/>
        </w:rPr>
      </w:pPr>
      <w:r>
        <w:rPr>
          <w:rFonts w:ascii="Calibri" w:cs="Calibri" w:eastAsia="Calibri" w:hAnsi="Calibri"/>
          <w:sz w:val="15"/>
          <w:szCs w:val="15"/>
          <w:color w:val="auto"/>
        </w:rPr>
        <w:t>The company chose the Other Comprehensive Income (OCI) opton, which recognizes movements of reserves generated by underwritng issues within the Proft and Loss Statement (changes in mortality, expenses, redemptons, etc.) while within Equity, only variatons in liabilites generated by changes in interest rates are recognized. This variaton produces an ofset to that generated by investments that back reserves and lends stability to the Balance Sheet and the Proft and Loss Statement.</w:t>
      </w:r>
    </w:p>
    <w:p>
      <w:pPr>
        <w:spacing w:after="0" w:line="123"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12.1.4. Valuaton Methods</w:t>
      </w:r>
    </w:p>
    <w:p>
      <w:pPr>
        <w:spacing w:after="0" w:line="180" w:lineRule="exact"/>
        <w:rPr>
          <w:sz w:val="20"/>
          <w:szCs w:val="20"/>
          <w:color w:val="auto"/>
        </w:rPr>
      </w:pPr>
    </w:p>
    <w:p>
      <w:pPr>
        <w:spacing w:after="0"/>
        <w:rPr>
          <w:sz w:val="20"/>
          <w:szCs w:val="20"/>
          <w:color w:val="auto"/>
        </w:rPr>
      </w:pPr>
      <w:r>
        <w:rPr>
          <w:rFonts w:ascii="Calibri" w:cs="Calibri" w:eastAsia="Calibri" w:hAnsi="Calibri"/>
          <w:sz w:val="15"/>
          <w:szCs w:val="15"/>
          <w:color w:val="auto"/>
        </w:rPr>
        <w:t>IFRS 17 introduces diferent approaches to valuate underwritng provisions based on the product’s characteristcs (contract duraton, cash fow).</w:t>
      </w:r>
    </w:p>
    <w:p>
      <w:pPr>
        <w:spacing w:after="0" w:line="112" w:lineRule="exact"/>
        <w:rPr>
          <w:sz w:val="20"/>
          <w:szCs w:val="20"/>
          <w:color w:val="auto"/>
        </w:rPr>
      </w:pPr>
    </w:p>
    <w:p>
      <w:pPr>
        <w:ind w:left="540" w:hanging="277"/>
        <w:spacing w:after="0"/>
        <w:tabs>
          <w:tab w:leader="none" w:pos="540" w:val="left"/>
        </w:tabs>
        <w:numPr>
          <w:ilvl w:val="0"/>
          <w:numId w:val="51"/>
        </w:numPr>
        <w:rPr>
          <w:rFonts w:ascii="Arial" w:cs="Arial" w:eastAsia="Arial" w:hAnsi="Arial"/>
          <w:sz w:val="15"/>
          <w:szCs w:val="15"/>
          <w:color w:val="auto"/>
        </w:rPr>
      </w:pPr>
      <w:r>
        <w:rPr>
          <w:rFonts w:ascii="Calibri" w:cs="Calibri" w:eastAsia="Calibri" w:hAnsi="Calibri"/>
          <w:sz w:val="15"/>
          <w:szCs w:val="15"/>
          <w:b w:val="1"/>
          <w:bCs w:val="1"/>
          <w:color w:val="auto"/>
        </w:rPr>
        <w:t xml:space="preserve">General Method (GM) or Building Block Approach (BBA): </w:t>
      </w:r>
      <w:r>
        <w:rPr>
          <w:rFonts w:ascii="Calibri" w:cs="Calibri" w:eastAsia="Calibri" w:hAnsi="Calibri"/>
          <w:sz w:val="15"/>
          <w:szCs w:val="15"/>
          <w:color w:val="auto"/>
        </w:rPr>
        <w:t>general default model valuaton of insurance contracts.</w:t>
      </w:r>
    </w:p>
    <w:p>
      <w:pPr>
        <w:spacing w:after="0" w:line="23" w:lineRule="exact"/>
        <w:rPr>
          <w:rFonts w:ascii="Arial" w:cs="Arial" w:eastAsia="Arial" w:hAnsi="Arial"/>
          <w:sz w:val="15"/>
          <w:szCs w:val="15"/>
          <w:color w:val="auto"/>
        </w:rPr>
      </w:pPr>
    </w:p>
    <w:p>
      <w:pPr>
        <w:ind w:left="540" w:hanging="277"/>
        <w:spacing w:after="0" w:line="207" w:lineRule="auto"/>
        <w:tabs>
          <w:tab w:leader="none" w:pos="540" w:val="left"/>
        </w:tabs>
        <w:numPr>
          <w:ilvl w:val="0"/>
          <w:numId w:val="51"/>
        </w:numPr>
        <w:rPr>
          <w:rFonts w:ascii="Arial" w:cs="Arial" w:eastAsia="Arial" w:hAnsi="Arial"/>
          <w:sz w:val="15"/>
          <w:szCs w:val="15"/>
          <w:color w:val="auto"/>
        </w:rPr>
      </w:pPr>
      <w:r>
        <w:rPr>
          <w:rFonts w:ascii="Calibri" w:cs="Calibri" w:eastAsia="Calibri" w:hAnsi="Calibri"/>
          <w:sz w:val="15"/>
          <w:szCs w:val="15"/>
          <w:b w:val="1"/>
          <w:bCs w:val="1"/>
          <w:color w:val="auto"/>
        </w:rPr>
        <w:t xml:space="preserve">Variable Fee Approach (VFA): </w:t>
      </w:r>
      <w:r>
        <w:rPr>
          <w:rFonts w:ascii="Calibri" w:cs="Calibri" w:eastAsia="Calibri" w:hAnsi="Calibri"/>
          <w:sz w:val="15"/>
          <w:szCs w:val="15"/>
          <w:color w:val="auto"/>
        </w:rPr>
        <w:t>model for contract valuaton in which cash fows depend on the value of the underlying assets that back said contracts</w:t>
      </w:r>
    </w:p>
    <w:p>
      <w:pPr>
        <w:spacing w:after="0" w:line="23" w:lineRule="exact"/>
        <w:rPr>
          <w:rFonts w:ascii="Arial" w:cs="Arial" w:eastAsia="Arial" w:hAnsi="Arial"/>
          <w:sz w:val="15"/>
          <w:szCs w:val="15"/>
          <w:color w:val="auto"/>
        </w:rPr>
      </w:pPr>
    </w:p>
    <w:p>
      <w:pPr>
        <w:ind w:left="540" w:hanging="277"/>
        <w:spacing w:after="0" w:line="207" w:lineRule="auto"/>
        <w:tabs>
          <w:tab w:leader="none" w:pos="540" w:val="left"/>
        </w:tabs>
        <w:numPr>
          <w:ilvl w:val="0"/>
          <w:numId w:val="51"/>
        </w:numPr>
        <w:rPr>
          <w:rFonts w:ascii="Arial" w:cs="Arial" w:eastAsia="Arial" w:hAnsi="Arial"/>
          <w:sz w:val="15"/>
          <w:szCs w:val="15"/>
          <w:color w:val="auto"/>
        </w:rPr>
      </w:pPr>
      <w:r>
        <w:rPr>
          <w:rFonts w:ascii="Calibri" w:cs="Calibri" w:eastAsia="Calibri" w:hAnsi="Calibri"/>
          <w:sz w:val="15"/>
          <w:szCs w:val="15"/>
          <w:b w:val="1"/>
          <w:bCs w:val="1"/>
          <w:color w:val="auto"/>
        </w:rPr>
        <w:t xml:space="preserve">Premium Allocaton Approach (PAA): </w:t>
      </w:r>
      <w:r>
        <w:rPr>
          <w:rFonts w:ascii="Calibri" w:cs="Calibri" w:eastAsia="Calibri" w:hAnsi="Calibri"/>
          <w:sz w:val="15"/>
          <w:szCs w:val="15"/>
          <w:color w:val="auto"/>
        </w:rPr>
        <w:t>simplifcaton of the general model.</w:t>
      </w:r>
    </w:p>
    <w:p>
      <w:pPr>
        <w:spacing w:after="0" w:line="200" w:lineRule="exact"/>
        <w:rPr>
          <w:sz w:val="20"/>
          <w:szCs w:val="20"/>
          <w:color w:val="auto"/>
        </w:rPr>
      </w:pPr>
    </w:p>
    <w:p>
      <w:pPr>
        <w:spacing w:after="0" w:line="267"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5" w:right="319" w:bottom="1440" w:gutter="0" w:footer="0" w:header="0"/>
        </w:sectPr>
      </w:pPr>
    </w:p>
    <w:bookmarkStart w:id="51" w:name="page52"/>
    <w:bookmarkEnd w:id="51"/>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153910" cy="2305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12.1.5. Impact on Equity Under IFRS 17</w:t>
      </w:r>
    </w:p>
    <w:p>
      <w:pPr>
        <w:spacing w:after="0" w:line="184" w:lineRule="exact"/>
        <w:rPr>
          <w:sz w:val="20"/>
          <w:szCs w:val="20"/>
          <w:color w:val="auto"/>
        </w:rPr>
      </w:pPr>
    </w:p>
    <w:p>
      <w:pPr>
        <w:ind w:left="9" w:right="80"/>
        <w:spacing w:after="0" w:line="236" w:lineRule="auto"/>
        <w:rPr>
          <w:sz w:val="20"/>
          <w:szCs w:val="20"/>
          <w:color w:val="auto"/>
        </w:rPr>
      </w:pPr>
      <w:r>
        <w:rPr>
          <w:rFonts w:ascii="Calibri" w:cs="Calibri" w:eastAsia="Calibri" w:hAnsi="Calibri"/>
          <w:sz w:val="15"/>
          <w:szCs w:val="15"/>
          <w:color w:val="auto"/>
        </w:rPr>
        <w:t>The impact of the implementaton of the IFRS 17 standard on the net equity balance of Pacífco Seguros is not material, registering at the end of December 2022 a net equity under IFRS 17 which is S/ 10 million greater than the net equity calculated under IFRS 4.</w:t>
      </w:r>
    </w:p>
    <w:p>
      <w:pPr>
        <w:spacing w:after="0" w:line="184" w:lineRule="exact"/>
        <w:rPr>
          <w:sz w:val="20"/>
          <w:szCs w:val="20"/>
          <w:color w:val="auto"/>
        </w:rPr>
      </w:pPr>
    </w:p>
    <w:p>
      <w:pPr>
        <w:ind w:left="9" w:right="100"/>
        <w:spacing w:after="0" w:line="266" w:lineRule="auto"/>
        <w:rPr>
          <w:sz w:val="20"/>
          <w:szCs w:val="20"/>
          <w:color w:val="auto"/>
        </w:rPr>
      </w:pPr>
      <w:r>
        <w:rPr>
          <w:rFonts w:ascii="Calibri" w:cs="Calibri" w:eastAsia="Calibri" w:hAnsi="Calibri"/>
          <w:sz w:val="14"/>
          <w:szCs w:val="14"/>
          <w:color w:val="auto"/>
        </w:rPr>
        <w:t>It should be mentoned that as of the end of December 2021 (date of the “frst applicaton” of the standard), the net equity of Pacífco Seguros under IFRS 17 was S/ 211 million less than the net equity registered under IFRS 4. This inital gap narrowed during 2022 as a result of a contracton in the value of liabilites under IFRS 17, associated with the interest rates increases.</w:t>
      </w:r>
    </w:p>
    <w:p>
      <w:pPr>
        <w:spacing w:after="0" w:line="162"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12.1.6. Reformulaton of Proft and Loss Statement at Pacífco Grupo Asegurador for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128270</wp:posOffset>
            </wp:positionV>
            <wp:extent cx="5050155" cy="24136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050155" cy="2413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549" w:hanging="549"/>
        <w:spacing w:after="0" w:line="229" w:lineRule="auto"/>
        <w:tabs>
          <w:tab w:leader="none" w:pos="549" w:val="left"/>
        </w:tabs>
        <w:numPr>
          <w:ilvl w:val="0"/>
          <w:numId w:val="52"/>
        </w:numPr>
        <w:rPr>
          <w:rFonts w:ascii="Calibri" w:cs="Calibri" w:eastAsia="Calibri" w:hAnsi="Calibri"/>
          <w:sz w:val="17"/>
          <w:szCs w:val="17"/>
          <w:b w:val="1"/>
          <w:bCs w:val="1"/>
          <w:color w:val="auto"/>
        </w:rPr>
      </w:pPr>
      <w:r>
        <w:rPr>
          <w:rFonts w:ascii="Calibri" w:cs="Calibri" w:eastAsia="Calibri" w:hAnsi="Calibri"/>
          <w:sz w:val="15"/>
          <w:szCs w:val="15"/>
          <w:color w:val="auto"/>
        </w:rPr>
        <w:t>A new sub-account, “Financial Expenses associated with insurance and reinsurance actvites, net” is included in the account for Interest Expenses at Pacifco Seguros. This concept corresponds to interest accredited to reserves. This interest is atributable to an update of the present value of said reserves to the date of the close of the period. This concept was previously presented as part of reserves adjustment included in the underwritng result under IFRS4. IFRS17 separates the fnancial component from the underwritng component.</w:t>
      </w:r>
    </w:p>
    <w:p>
      <w:pPr>
        <w:spacing w:after="0" w:line="129" w:lineRule="exact"/>
        <w:rPr>
          <w:sz w:val="20"/>
          <w:szCs w:val="20"/>
          <w:color w:val="auto"/>
        </w:rPr>
      </w:pPr>
    </w:p>
    <w:p>
      <w:pPr>
        <w:ind w:left="549" w:hanging="549"/>
        <w:spacing w:after="0" w:line="221" w:lineRule="auto"/>
        <w:tabs>
          <w:tab w:leader="none" w:pos="549" w:val="left"/>
        </w:tabs>
        <w:numPr>
          <w:ilvl w:val="0"/>
          <w:numId w:val="53"/>
        </w:numPr>
        <w:rPr>
          <w:rFonts w:ascii="Calibri" w:cs="Calibri" w:eastAsia="Calibri" w:hAnsi="Calibri"/>
          <w:sz w:val="17"/>
          <w:szCs w:val="17"/>
          <w:b w:val="1"/>
          <w:bCs w:val="1"/>
          <w:color w:val="auto"/>
        </w:rPr>
      </w:pPr>
      <w:r>
        <w:rPr>
          <w:rFonts w:ascii="Calibri" w:cs="Calibri" w:eastAsia="Calibri" w:hAnsi="Calibri"/>
          <w:sz w:val="15"/>
          <w:szCs w:val="15"/>
          <w:color w:val="auto"/>
        </w:rPr>
        <w:t>An impact is registered in the “Gain on exchange rate diference” line because the structure of the assets and liabilites related to insurance actvites has been modifed. The monetary positon of these assets and liabilites changes due to the way that assets and liabilites are recognized under IFRS17.</w:t>
      </w:r>
    </w:p>
    <w:p>
      <w:pPr>
        <w:spacing w:after="0" w:line="128" w:lineRule="exact"/>
        <w:rPr>
          <w:sz w:val="20"/>
          <w:szCs w:val="20"/>
          <w:color w:val="auto"/>
        </w:rPr>
      </w:pPr>
    </w:p>
    <w:p>
      <w:pPr>
        <w:ind w:left="549" w:hanging="549"/>
        <w:spacing w:after="0" w:line="221" w:lineRule="auto"/>
        <w:tabs>
          <w:tab w:leader="none" w:pos="549" w:val="left"/>
        </w:tabs>
        <w:numPr>
          <w:ilvl w:val="0"/>
          <w:numId w:val="54"/>
        </w:numPr>
        <w:rPr>
          <w:rFonts w:ascii="Calibri" w:cs="Calibri" w:eastAsia="Calibri" w:hAnsi="Calibri"/>
          <w:sz w:val="17"/>
          <w:szCs w:val="17"/>
          <w:b w:val="1"/>
          <w:bCs w:val="1"/>
          <w:color w:val="auto"/>
        </w:rPr>
      </w:pPr>
      <w:r>
        <w:rPr>
          <w:rFonts w:ascii="Calibri" w:cs="Calibri" w:eastAsia="Calibri" w:hAnsi="Calibri"/>
          <w:sz w:val="15"/>
          <w:szCs w:val="15"/>
          <w:color w:val="auto"/>
        </w:rPr>
        <w:t>Some concepts of income that were previously registered (under IFRS 4) as “Non-Operatng Income” are now (under IFRS 17) reclassifed and included in the cash fows associated with insurance contracts. As such, these concepts are now part of the Insurance Underwritng Result.</w:t>
      </w:r>
    </w:p>
    <w:p>
      <w:pPr>
        <w:spacing w:after="0" w:line="115" w:lineRule="exact"/>
        <w:rPr>
          <w:sz w:val="20"/>
          <w:szCs w:val="20"/>
          <w:color w:val="auto"/>
        </w:rPr>
      </w:pPr>
    </w:p>
    <w:p>
      <w:pPr>
        <w:jc w:val="both"/>
        <w:ind w:left="549" w:hanging="539"/>
        <w:spacing w:after="0" w:line="234" w:lineRule="auto"/>
        <w:tabs>
          <w:tab w:leader="none" w:pos="529" w:val="left"/>
        </w:tabs>
        <w:rPr>
          <w:sz w:val="20"/>
          <w:szCs w:val="20"/>
          <w:color w:val="auto"/>
        </w:rPr>
      </w:pPr>
      <w:r>
        <w:rPr>
          <w:rFonts w:ascii="Calibri" w:cs="Calibri" w:eastAsia="Calibri" w:hAnsi="Calibri"/>
          <w:sz w:val="17"/>
          <w:szCs w:val="17"/>
          <w:b w:val="1"/>
          <w:bCs w:val="1"/>
          <w:color w:val="auto"/>
        </w:rPr>
        <w:t>IV.</w:t>
      </w:r>
      <w:r>
        <w:rPr>
          <w:sz w:val="20"/>
          <w:szCs w:val="20"/>
          <w:color w:val="auto"/>
        </w:rPr>
        <w:tab/>
      </w:r>
      <w:r>
        <w:rPr>
          <w:rFonts w:ascii="Calibri" w:cs="Calibri" w:eastAsia="Calibri" w:hAnsi="Calibri"/>
          <w:sz w:val="15"/>
          <w:szCs w:val="15"/>
          <w:color w:val="auto"/>
        </w:rPr>
        <w:t>Recogniton of insurance underwritng income is completely diferent under IFRS 17. IFRS 17 recognizes that insurance contracts combine fnancial and service characteristcs, and in many cases generate variable cash fows in the long-term. To adequately refect these characteristcs, IFRS combines measurements of future cash fows with recogniton of the results of the insurance contract throughout the period in which the service is provided. IFRS 17 requires present value measurements of insurance obligatons where estmates are recalculated in each reportng period. Contracts are measured using the components of: (i) Fulflment Cash Flows, (ii) An explicit adjustment for risk or uncertainty of fows, or “Risk Adjustment” and (iii) a Contractual Service Margin, which represents unaccrued underwritng income associated with the contract. This Contractual Service Margin is recognized as income during the coverage term. Insurance contracts combine</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65" w:right="319" w:bottom="1440" w:gutter="0" w:footer="0" w:header="0"/>
        </w:sectPr>
      </w:pPr>
    </w:p>
    <w:bookmarkStart w:id="52" w:name="page53"/>
    <w:bookmarkEnd w:id="52"/>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153910" cy="2305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p>
      <w:pPr>
        <w:ind w:left="549"/>
        <w:spacing w:after="0"/>
        <w:rPr>
          <w:sz w:val="20"/>
          <w:szCs w:val="20"/>
          <w:color w:val="auto"/>
        </w:rPr>
      </w:pPr>
      <w:r>
        <w:rPr>
          <w:rFonts w:ascii="Calibri" w:cs="Calibri" w:eastAsia="Calibri" w:hAnsi="Calibri"/>
          <w:sz w:val="15"/>
          <w:szCs w:val="15"/>
          <w:color w:val="auto"/>
        </w:rPr>
        <w:t>fnancial and service characteristcs, whereas IFRS combines future cash fows with registry of the results of the insurance contract during the service provision period.</w:t>
      </w:r>
    </w:p>
    <w:p>
      <w:pPr>
        <w:spacing w:after="0" w:line="116" w:lineRule="exact"/>
        <w:rPr>
          <w:sz w:val="20"/>
          <w:szCs w:val="20"/>
          <w:color w:val="auto"/>
        </w:rPr>
      </w:pPr>
    </w:p>
    <w:p>
      <w:pPr>
        <w:jc w:val="both"/>
        <w:ind w:left="549" w:hanging="549"/>
        <w:spacing w:after="0" w:line="226" w:lineRule="auto"/>
        <w:tabs>
          <w:tab w:leader="none" w:pos="549" w:val="left"/>
        </w:tabs>
        <w:numPr>
          <w:ilvl w:val="0"/>
          <w:numId w:val="55"/>
        </w:numPr>
        <w:rPr>
          <w:rFonts w:ascii="Calibri" w:cs="Calibri" w:eastAsia="Calibri" w:hAnsi="Calibri"/>
          <w:sz w:val="17"/>
          <w:szCs w:val="17"/>
          <w:b w:val="1"/>
          <w:bCs w:val="1"/>
          <w:color w:val="auto"/>
        </w:rPr>
      </w:pPr>
      <w:r>
        <w:rPr>
          <w:rFonts w:ascii="Calibri" w:cs="Calibri" w:eastAsia="Calibri" w:hAnsi="Calibri"/>
          <w:sz w:val="15"/>
          <w:szCs w:val="15"/>
          <w:color w:val="auto"/>
        </w:rPr>
        <w:t>One of the changes generated by the applicaton of IFRS 17 is that it sets forth a new concept for costs that are directly associated with obtaining and fulflling insurance contracts. Said costs are denominated “Atributable Costs” and are included in the expected fows for the disbursements associated with these contracts. Under IFRS 4, some of these expenses were included in Total Expenses.</w:t>
      </w:r>
    </w:p>
    <w:p>
      <w:pPr>
        <w:spacing w:after="0" w:line="99" w:lineRule="exact"/>
        <w:rPr>
          <w:sz w:val="20"/>
          <w:szCs w:val="20"/>
          <w:color w:val="auto"/>
        </w:rPr>
      </w:pPr>
    </w:p>
    <w:p>
      <w:pPr>
        <w:ind w:left="9"/>
        <w:spacing w:after="0"/>
        <w:tabs>
          <w:tab w:leader="none" w:pos="529" w:val="left"/>
        </w:tabs>
        <w:rPr>
          <w:sz w:val="20"/>
          <w:szCs w:val="20"/>
          <w:color w:val="auto"/>
        </w:rPr>
      </w:pPr>
      <w:r>
        <w:rPr>
          <w:rFonts w:ascii="Calibri" w:cs="Calibri" w:eastAsia="Calibri" w:hAnsi="Calibri"/>
          <w:sz w:val="17"/>
          <w:szCs w:val="17"/>
          <w:b w:val="1"/>
          <w:bCs w:val="1"/>
          <w:color w:val="auto"/>
        </w:rPr>
        <w:t>VI.</w:t>
      </w:r>
      <w:r>
        <w:rPr>
          <w:sz w:val="20"/>
          <w:szCs w:val="20"/>
          <w:color w:val="auto"/>
        </w:rPr>
        <w:tab/>
      </w:r>
      <w:r>
        <w:rPr>
          <w:rFonts w:ascii="Calibri" w:cs="Calibri" w:eastAsia="Calibri" w:hAnsi="Calibri"/>
          <w:sz w:val="15"/>
          <w:szCs w:val="15"/>
          <w:color w:val="auto"/>
        </w:rPr>
        <w:t>The aggregate impact of implementng IFRS 17 in the Net Earnings of Pacifco Grupo Asegurador is not material and stands at S/15 million for the year 2022.</w:t>
      </w:r>
    </w:p>
    <w:p>
      <w:pPr>
        <w:spacing w:after="0" w:line="148"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12.1.7. Reformulaton of Credicorp’s Proft and Loss Statement for year 2022</w:t>
      </w:r>
    </w:p>
    <w:p>
      <w:pPr>
        <w:spacing w:after="0" w:line="184" w:lineRule="exact"/>
        <w:rPr>
          <w:sz w:val="20"/>
          <w:szCs w:val="20"/>
          <w:color w:val="auto"/>
        </w:rPr>
      </w:pPr>
    </w:p>
    <w:p>
      <w:pPr>
        <w:ind w:left="9"/>
        <w:spacing w:after="0" w:line="236" w:lineRule="auto"/>
        <w:rPr>
          <w:sz w:val="20"/>
          <w:szCs w:val="20"/>
          <w:color w:val="auto"/>
        </w:rPr>
      </w:pPr>
      <w:r>
        <w:rPr>
          <w:rFonts w:ascii="Calibri" w:cs="Calibri" w:eastAsia="Calibri" w:hAnsi="Calibri"/>
          <w:sz w:val="15"/>
          <w:szCs w:val="15"/>
          <w:color w:val="auto"/>
        </w:rPr>
        <w:t>Below, we reformulate Credicorp’s Proft and Loss Statement. As is evident in the image below, the impact of implementng IFRS at Pacífco Grupo Asegurador translates to Credicorp account by account in identcal or highly similar amounts. The aggregate impact of implementng IFRS 17 on the Net Earnings of Credicorp is not material and amounts to S/15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1016000</wp:posOffset>
            </wp:positionH>
            <wp:positionV relativeFrom="paragraph">
              <wp:posOffset>85725</wp:posOffset>
            </wp:positionV>
            <wp:extent cx="5122545" cy="22263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22545" cy="222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12.1.8. Changes in the Methodology to Calculate Financial Indicators and their Reformulaton for the year 2022</w:t>
      </w:r>
    </w:p>
    <w:p>
      <w:pPr>
        <w:spacing w:after="0" w:line="180" w:lineRule="exact"/>
        <w:rPr>
          <w:sz w:val="20"/>
          <w:szCs w:val="20"/>
          <w:color w:val="auto"/>
        </w:rPr>
      </w:pPr>
    </w:p>
    <w:p>
      <w:pPr>
        <w:ind w:left="549" w:hanging="549"/>
        <w:spacing w:after="0"/>
        <w:tabs>
          <w:tab w:leader="none" w:pos="549" w:val="left"/>
        </w:tabs>
        <w:numPr>
          <w:ilvl w:val="0"/>
          <w:numId w:val="56"/>
        </w:numPr>
        <w:rPr>
          <w:rFonts w:ascii="Calibri" w:cs="Calibri" w:eastAsia="Calibri" w:hAnsi="Calibri"/>
          <w:sz w:val="15"/>
          <w:szCs w:val="15"/>
          <w:color w:val="auto"/>
        </w:rPr>
      </w:pPr>
      <w:r>
        <w:rPr>
          <w:rFonts w:ascii="Calibri" w:cs="Calibri" w:eastAsia="Calibri" w:hAnsi="Calibri"/>
          <w:sz w:val="15"/>
          <w:szCs w:val="15"/>
          <w:color w:val="auto"/>
        </w:rPr>
        <w:t>Net Interest Margin</w:t>
      </w:r>
    </w:p>
    <w:p>
      <w:pPr>
        <w:spacing w:after="0" w:line="123"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The Net Interest Margin is reformulated in the following way:</w:t>
      </w:r>
    </w:p>
    <w:p>
      <w:pPr>
        <w:spacing w:after="0" w:line="116" w:lineRule="exact"/>
        <w:rPr>
          <w:sz w:val="20"/>
          <w:szCs w:val="20"/>
          <w:color w:val="auto"/>
        </w:rPr>
      </w:pPr>
    </w:p>
    <w:p>
      <w:pPr>
        <w:jc w:val="both"/>
        <w:ind w:left="9"/>
        <w:spacing w:after="0" w:line="237" w:lineRule="auto"/>
        <w:rPr>
          <w:sz w:val="20"/>
          <w:szCs w:val="20"/>
          <w:color w:val="auto"/>
        </w:rPr>
      </w:pPr>
      <w:r>
        <w:rPr>
          <w:rFonts w:ascii="Calibri" w:cs="Calibri" w:eastAsia="Calibri" w:hAnsi="Calibri"/>
          <w:sz w:val="15"/>
          <w:szCs w:val="15"/>
          <w:color w:val="auto"/>
        </w:rPr>
        <w:t>Under IFRS 4, the numerator of the Net Interest Margin was comprised of the diference between Interest Income and Interest Expenses. Under IFRS 17, we need to adjust the formula because Interest Expenses now include the concept “Financial Expense associated with the insurance and reinsurance actvity, net.” We seek to exclude the impact of this concept on the Net Interest Margin given that this partcular kind of interest expense is not associated with a source of funding. As such, we adjust the numerator by reincorporatng “Financial Expense associated with insurance and reinsurance actvity, net” to “Net Interest Income” calculated under IFRS 17. It is important to note that as a result of this adjustment, the numerator of the Net Interest Margin under IRFS4 is identcal to that seen under IFRS 17.</w:t>
      </w:r>
    </w:p>
    <w:p>
      <w:pPr>
        <w:spacing w:after="0" w:line="128" w:lineRule="exact"/>
        <w:rPr>
          <w:sz w:val="20"/>
          <w:szCs w:val="20"/>
          <w:color w:val="auto"/>
        </w:rPr>
      </w:pPr>
    </w:p>
    <w:p>
      <w:pPr>
        <w:jc w:val="both"/>
        <w:ind w:left="9"/>
        <w:spacing w:after="0" w:line="237" w:lineRule="auto"/>
        <w:rPr>
          <w:sz w:val="20"/>
          <w:szCs w:val="20"/>
          <w:color w:val="auto"/>
        </w:rPr>
      </w:pPr>
      <w:r>
        <w:rPr>
          <w:rFonts w:ascii="Calibri" w:cs="Calibri" w:eastAsia="Calibri" w:hAnsi="Calibri"/>
          <w:sz w:val="15"/>
          <w:szCs w:val="15"/>
          <w:color w:val="auto"/>
        </w:rPr>
        <w:t>From now on, we will exclude from the denominator (average balance of Interest-earning Assets) the following: the balance associated with the account “Financial Assets at Fair Value through P&amp;L” given that this account is primarily comprised of investments associated from Investment Link contracts, which do not accrue interests for Credicorp. This change is not related to IFRS 17.</w:t>
      </w:r>
    </w:p>
    <w:p>
      <w:pPr>
        <w:spacing w:after="0" w:line="123"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Below, we present the aforementoned change in graphic form.</w:t>
      </w:r>
    </w:p>
    <w:p>
      <w:pPr>
        <w:spacing w:after="0" w:line="200" w:lineRule="exact"/>
        <w:rPr>
          <w:sz w:val="20"/>
          <w:szCs w:val="20"/>
          <w:color w:val="auto"/>
        </w:rPr>
      </w:pPr>
    </w:p>
    <w:p>
      <w:pPr>
        <w:spacing w:after="0" w:line="255"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65" w:right="319" w:bottom="1440" w:gutter="0" w:footer="0" w:header="0"/>
        </w:sectPr>
      </w:pPr>
    </w:p>
    <w:bookmarkStart w:id="53" w:name="page54"/>
    <w:bookmarkEnd w:id="53"/>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153910" cy="2305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173990</wp:posOffset>
            </wp:positionV>
            <wp:extent cx="4423410" cy="22694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423410" cy="226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49" w:hanging="549"/>
        <w:spacing w:after="0"/>
        <w:tabs>
          <w:tab w:leader="none" w:pos="549" w:val="left"/>
        </w:tabs>
        <w:numPr>
          <w:ilvl w:val="0"/>
          <w:numId w:val="57"/>
        </w:numPr>
        <w:rPr>
          <w:rFonts w:ascii="Calibri" w:cs="Calibri" w:eastAsia="Calibri" w:hAnsi="Calibri"/>
          <w:sz w:val="15"/>
          <w:szCs w:val="15"/>
          <w:color w:val="auto"/>
        </w:rPr>
      </w:pPr>
      <w:r>
        <w:rPr>
          <w:rFonts w:ascii="Calibri" w:cs="Calibri" w:eastAsia="Calibri" w:hAnsi="Calibri"/>
          <w:sz w:val="15"/>
          <w:szCs w:val="15"/>
          <w:color w:val="auto"/>
        </w:rPr>
        <w:t>Funding Cost</w:t>
      </w:r>
    </w:p>
    <w:p>
      <w:pPr>
        <w:spacing w:after="0" w:line="116" w:lineRule="exact"/>
        <w:rPr>
          <w:sz w:val="20"/>
          <w:szCs w:val="20"/>
          <w:color w:val="auto"/>
        </w:rPr>
      </w:pPr>
    </w:p>
    <w:p>
      <w:pPr>
        <w:jc w:val="both"/>
        <w:ind w:left="9"/>
        <w:spacing w:after="0" w:line="237" w:lineRule="auto"/>
        <w:rPr>
          <w:sz w:val="20"/>
          <w:szCs w:val="20"/>
          <w:color w:val="auto"/>
        </w:rPr>
      </w:pPr>
      <w:r>
        <w:rPr>
          <w:rFonts w:ascii="Calibri" w:cs="Calibri" w:eastAsia="Calibri" w:hAnsi="Calibri"/>
          <w:sz w:val="15"/>
          <w:szCs w:val="15"/>
          <w:color w:val="auto"/>
        </w:rPr>
        <w:t>The Funding Cost indicator is being reformulated as follows: under IFRS 4, the numerator of the Funding Cost is comprised of the balance of the “Interest Expenses” account while under IFRS 17, we must adjust the formula given that Interest Expenses now include the concept of “Financial expense associated with insurance and reinsurance actvity, net.” We seek to exclude the impact of this new concept on the Funding Cost given that this partcular type of expense is not associated with a source of funding. As such, we adjust the numerator by deductng the “Financial Expense associated with insurance and reinsurance actvity, net” from “Interest Expenses “calculated under IFRS 17. It is important to note that as a result of this adjustment, the fgure for the Funding Cost under IFRS is identcal to the same fgure under IFRS 17. The following fgure is a graphic representaton of the aforementoned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1347470</wp:posOffset>
            </wp:positionH>
            <wp:positionV relativeFrom="paragraph">
              <wp:posOffset>93345</wp:posOffset>
            </wp:positionV>
            <wp:extent cx="4459605" cy="2449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459605" cy="244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65" w:right="319" w:bottom="1440" w:gutter="0" w:footer="0" w:header="0"/>
        </w:sectPr>
      </w:pPr>
    </w:p>
    <w:bookmarkStart w:id="54" w:name="page55"/>
    <w:bookmarkEnd w:id="54"/>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153910" cy="2305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p>
      <w:pPr>
        <w:ind w:left="549" w:hanging="549"/>
        <w:spacing w:after="0"/>
        <w:tabs>
          <w:tab w:leader="none" w:pos="549" w:val="left"/>
        </w:tabs>
        <w:numPr>
          <w:ilvl w:val="0"/>
          <w:numId w:val="58"/>
        </w:numPr>
        <w:rPr>
          <w:rFonts w:ascii="Calibri" w:cs="Calibri" w:eastAsia="Calibri" w:hAnsi="Calibri"/>
          <w:sz w:val="15"/>
          <w:szCs w:val="15"/>
          <w:color w:val="auto"/>
        </w:rPr>
      </w:pPr>
      <w:r>
        <w:rPr>
          <w:rFonts w:ascii="Calibri" w:cs="Calibri" w:eastAsia="Calibri" w:hAnsi="Calibri"/>
          <w:sz w:val="15"/>
          <w:szCs w:val="15"/>
          <w:color w:val="auto"/>
        </w:rPr>
        <w:t>Efciency Rato</w:t>
      </w:r>
    </w:p>
    <w:p>
      <w:pPr>
        <w:spacing w:after="0" w:line="112" w:lineRule="exact"/>
        <w:rPr>
          <w:sz w:val="20"/>
          <w:szCs w:val="20"/>
          <w:color w:val="auto"/>
        </w:rPr>
      </w:pPr>
    </w:p>
    <w:p>
      <w:pPr>
        <w:ind w:left="9"/>
        <w:spacing w:after="0"/>
        <w:rPr>
          <w:sz w:val="20"/>
          <w:szCs w:val="20"/>
          <w:color w:val="auto"/>
        </w:rPr>
      </w:pPr>
      <w:r>
        <w:rPr>
          <w:rFonts w:ascii="Calibri" w:cs="Calibri" w:eastAsia="Calibri" w:hAnsi="Calibri"/>
          <w:sz w:val="15"/>
          <w:szCs w:val="15"/>
          <w:color w:val="auto"/>
        </w:rPr>
        <w:t>The Efciency Rato is being reformulated as follows:</w:t>
      </w:r>
    </w:p>
    <w:p>
      <w:pPr>
        <w:spacing w:after="0" w:line="127" w:lineRule="exact"/>
        <w:rPr>
          <w:sz w:val="20"/>
          <w:szCs w:val="20"/>
          <w:color w:val="auto"/>
        </w:rPr>
      </w:pPr>
    </w:p>
    <w:p>
      <w:pPr>
        <w:jc w:val="both"/>
        <w:ind w:left="9"/>
        <w:spacing w:after="0" w:line="237" w:lineRule="auto"/>
        <w:rPr>
          <w:sz w:val="20"/>
          <w:szCs w:val="20"/>
          <w:color w:val="auto"/>
        </w:rPr>
      </w:pPr>
      <w:r>
        <w:rPr>
          <w:rFonts w:ascii="Calibri" w:cs="Calibri" w:eastAsia="Calibri" w:hAnsi="Calibri"/>
          <w:sz w:val="15"/>
          <w:szCs w:val="15"/>
          <w:color w:val="auto"/>
        </w:rPr>
        <w:t>Under IFRS 4, the numerator of the Efciency Rato is comprised of the total of the “Salaries and Employee Benefts,” “Administratve Expenses,” “Depreciaton and Amortzaton,” “Expenses for Partcipaton in Associaton,” and the “Acquisiton Cost” accounts. Collectvely, these accounts consttute “Operatng Expenses.” Under IFRS 17, we make an adjustment to the components of this group of “Operatng Expenses” given that the “Acquisiton Cost” no longer exists in the Proft and Loss Statement under IFRS 17. Consequently, under IFRS 17, the grouping of “Operatng Expenses” is comprised solely of “Salaries and Employee Benefts,” “Administratve Expenses,” “Depreciaton and Amortzaton,” and “Expenses for Partcipaton in Associaton.” It is important to note that balances of these accounts under IFRS17 are not the same as the balances of the accounts with the same name under IFRS17.</w:t>
      </w:r>
    </w:p>
    <w:p>
      <w:pPr>
        <w:spacing w:after="0" w:line="128" w:lineRule="exact"/>
        <w:rPr>
          <w:sz w:val="20"/>
          <w:szCs w:val="20"/>
          <w:color w:val="auto"/>
        </w:rPr>
      </w:pPr>
    </w:p>
    <w:p>
      <w:pPr>
        <w:jc w:val="both"/>
        <w:ind w:left="9"/>
        <w:spacing w:after="0" w:line="237" w:lineRule="auto"/>
        <w:rPr>
          <w:sz w:val="20"/>
          <w:szCs w:val="20"/>
          <w:color w:val="auto"/>
        </w:rPr>
      </w:pPr>
      <w:r>
        <w:rPr>
          <w:rFonts w:ascii="Calibri" w:cs="Calibri" w:eastAsia="Calibri" w:hAnsi="Calibri"/>
          <w:sz w:val="15"/>
          <w:szCs w:val="15"/>
          <w:color w:val="auto"/>
        </w:rPr>
        <w:t>Under IFRS 4, the denominator of the Efciency Rato is comprised of the total of the accounts grouped as Core Operatng Income (“Interest Income, net”, “Fee income, net,” and “Net gain on FX transactons”); the accounts grouped as Non-Core Operatng Income (“Gain on Investments in Associates, “Gain on derivatves,” “Net gain on Exchange Diferences); and the “Net Earned Premiums” account. Collectvely, all of these accounts consttute “Operatng Income.” Under IFRS 17, we are adjustng the components of the grouping for “Operatng Income” to replace the component of “Net Earned Premiums” with the “Insurance Underwritng Result.”</w:t>
      </w:r>
    </w:p>
    <w:p>
      <w:pPr>
        <w:spacing w:after="0" w:line="116" w:lineRule="exact"/>
        <w:rPr>
          <w:sz w:val="20"/>
          <w:szCs w:val="20"/>
          <w:color w:val="auto"/>
        </w:rPr>
      </w:pPr>
    </w:p>
    <w:p>
      <w:pPr>
        <w:jc w:val="both"/>
        <w:ind w:left="9"/>
        <w:spacing w:after="0" w:line="237" w:lineRule="auto"/>
        <w:rPr>
          <w:sz w:val="20"/>
          <w:szCs w:val="20"/>
          <w:color w:val="auto"/>
        </w:rPr>
      </w:pPr>
      <w:r>
        <w:rPr>
          <w:rFonts w:ascii="Calibri" w:cs="Calibri" w:eastAsia="Calibri" w:hAnsi="Calibri"/>
          <w:sz w:val="15"/>
          <w:szCs w:val="15"/>
          <w:color w:val="auto"/>
        </w:rPr>
        <w:t>It is important to note that the result of replacing the “Net Earned Premiums “account with the “Insurance Underwritng Result” in the denominator of the efciency rato is in fact very signifcant (upward). The aforementoned is due to the fact that the balance of Insurance Technical results is usually materially lower than the balance of Net Earned Premiums as Insurance Technical results have embedded the impact of charges for Incurred Claims. Below, we present a graphic depicton of the aforementoned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92710</wp:posOffset>
            </wp:positionV>
            <wp:extent cx="5100955" cy="28168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00955" cy="281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65" w:right="319" w:bottom="1440" w:gutter="0" w:footer="0" w:header="0"/>
        </w:sectPr>
      </w:pPr>
    </w:p>
    <w:bookmarkStart w:id="55" w:name="page56"/>
    <w:bookmarkEnd w:id="55"/>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12.1.9. Glossary of Terms Under IFRS 17</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900" w:type="dxa"/>
            <w:vAlign w:val="bottom"/>
            <w:tcBorders>
              <w:top w:val="single" w:sz="8" w:color="auto"/>
              <w:left w:val="single" w:sz="8" w:color="auto"/>
              <w:right w:val="single" w:sz="8" w:color="auto"/>
            </w:tcBorders>
            <w:gridSpan w:val="2"/>
            <w:shd w:val="clear" w:color="auto" w:fill="808080"/>
          </w:tcPr>
          <w:p>
            <w:pPr>
              <w:jc w:val="center"/>
              <w:spacing w:after="0"/>
              <w:rPr>
                <w:sz w:val="20"/>
                <w:szCs w:val="20"/>
                <w:color w:val="auto"/>
              </w:rPr>
            </w:pPr>
            <w:r>
              <w:rPr>
                <w:rFonts w:ascii="Calibri" w:cs="Calibri" w:eastAsia="Calibri" w:hAnsi="Calibri"/>
                <w:sz w:val="15"/>
                <w:szCs w:val="15"/>
                <w:color w:val="FFFFFF"/>
                <w:w w:val="99"/>
              </w:rPr>
              <w:t>Reserve for BEL (Best Estmate</w:t>
            </w:r>
          </w:p>
        </w:tc>
        <w:tc>
          <w:tcPr>
            <w:tcW w:w="7360" w:type="dxa"/>
            <w:vAlign w:val="bottom"/>
            <w:tcBorders>
              <w:top w:val="single" w:sz="8" w:color="auto"/>
              <w:right w:val="single" w:sz="8" w:color="auto"/>
            </w:tcBorders>
            <w:gridSpan w:val="8"/>
          </w:tcPr>
          <w:p>
            <w:pPr>
              <w:ind w:left="60"/>
              <w:spacing w:after="0"/>
              <w:rPr>
                <w:sz w:val="20"/>
                <w:szCs w:val="20"/>
                <w:color w:val="auto"/>
              </w:rPr>
            </w:pPr>
            <w:r>
              <w:rPr>
                <w:rFonts w:ascii="Calibri" w:cs="Calibri" w:eastAsia="Calibri" w:hAnsi="Calibri"/>
                <w:sz w:val="15"/>
                <w:szCs w:val="15"/>
                <w:color w:val="auto"/>
              </w:rPr>
              <w:t>Represents the best estmate of the diference between payments for obligatons (claims, income and expenses) and</w:t>
            </w:r>
          </w:p>
        </w:tc>
        <w:tc>
          <w:tcPr>
            <w:tcW w:w="0" w:type="dxa"/>
            <w:vAlign w:val="bottom"/>
          </w:tcPr>
          <w:p>
            <w:pPr>
              <w:spacing w:after="0"/>
              <w:rPr>
                <w:sz w:val="1"/>
                <w:szCs w:val="1"/>
                <w:color w:val="auto"/>
              </w:rPr>
            </w:pPr>
          </w:p>
        </w:tc>
      </w:tr>
      <w:tr>
        <w:trPr>
          <w:trHeight w:val="182"/>
        </w:trPr>
        <w:tc>
          <w:tcPr>
            <w:tcW w:w="3900" w:type="dxa"/>
            <w:vAlign w:val="bottom"/>
            <w:tcBorders>
              <w:left w:val="single" w:sz="8" w:color="auto"/>
              <w:right w:val="single" w:sz="8" w:color="auto"/>
            </w:tcBorders>
            <w:gridSpan w:val="2"/>
            <w:shd w:val="clear" w:color="auto" w:fill="808080"/>
          </w:tcPr>
          <w:p>
            <w:pPr>
              <w:jc w:val="center"/>
              <w:spacing w:after="0" w:line="181" w:lineRule="exact"/>
              <w:rPr>
                <w:sz w:val="20"/>
                <w:szCs w:val="20"/>
                <w:color w:val="auto"/>
              </w:rPr>
            </w:pPr>
            <w:r>
              <w:rPr>
                <w:rFonts w:ascii="Calibri" w:cs="Calibri" w:eastAsia="Calibri" w:hAnsi="Calibri"/>
                <w:sz w:val="15"/>
                <w:szCs w:val="15"/>
                <w:color w:val="FFFFFF"/>
              </w:rPr>
              <w:t>Liability) o Fulfllment Cashfows.</w:t>
            </w:r>
          </w:p>
        </w:tc>
        <w:tc>
          <w:tcPr>
            <w:tcW w:w="4400" w:type="dxa"/>
            <w:vAlign w:val="bottom"/>
            <w:gridSpan w:val="5"/>
          </w:tcPr>
          <w:p>
            <w:pPr>
              <w:ind w:left="60"/>
              <w:spacing w:after="0" w:line="181" w:lineRule="exact"/>
              <w:rPr>
                <w:sz w:val="20"/>
                <w:szCs w:val="20"/>
                <w:color w:val="auto"/>
              </w:rPr>
            </w:pPr>
            <w:r>
              <w:rPr>
                <w:rFonts w:ascii="Calibri" w:cs="Calibri" w:eastAsia="Calibri" w:hAnsi="Calibri"/>
                <w:sz w:val="15"/>
                <w:szCs w:val="15"/>
                <w:color w:val="auto"/>
                <w:w w:val="99"/>
              </w:rPr>
              <w:t>premiums, fowed and brought to present value at the tme of valuaton.</w:t>
            </w: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40" w:type="dxa"/>
            <w:vAlign w:val="bottom"/>
            <w:tcBorders>
              <w:left w:val="single" w:sz="8" w:color="auto"/>
              <w:bottom w:val="single" w:sz="8" w:color="auto"/>
              <w:right w:val="single" w:sz="8" w:color="808080"/>
            </w:tcBorders>
            <w:shd w:val="clear" w:color="auto" w:fill="808080"/>
          </w:tcPr>
          <w:p>
            <w:pPr>
              <w:spacing w:after="0"/>
              <w:rPr>
                <w:sz w:val="13"/>
                <w:szCs w:val="13"/>
                <w:color w:val="auto"/>
              </w:rPr>
            </w:pPr>
          </w:p>
        </w:tc>
        <w:tc>
          <w:tcPr>
            <w:tcW w:w="2760" w:type="dxa"/>
            <w:vAlign w:val="bottom"/>
            <w:tcBorders>
              <w:bottom w:val="single" w:sz="8" w:color="auto"/>
              <w:right w:val="single" w:sz="8" w:color="auto"/>
            </w:tcBorders>
            <w:shd w:val="clear" w:color="auto" w:fill="808080"/>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3"/>
          </w:tcPr>
          <w:p>
            <w:pPr>
              <w:spacing w:after="0"/>
              <w:rPr>
                <w:sz w:val="13"/>
                <w:szCs w:val="13"/>
                <w:color w:val="auto"/>
              </w:rPr>
            </w:pPr>
          </w:p>
        </w:tc>
        <w:tc>
          <w:tcPr>
            <w:tcW w:w="2260" w:type="dxa"/>
            <w:vAlign w:val="bottom"/>
            <w:tcBorders>
              <w:bottom w:val="single" w:sz="8" w:color="auto"/>
            </w:tcBorders>
            <w:gridSpan w:val="3"/>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900" w:type="dxa"/>
            <w:vAlign w:val="bottom"/>
            <w:tcBorders>
              <w:left w:val="single" w:sz="8" w:color="auto"/>
              <w:right w:val="single" w:sz="8" w:color="auto"/>
            </w:tcBorders>
            <w:gridSpan w:val="2"/>
            <w:shd w:val="clear" w:color="auto" w:fill="808080"/>
          </w:tcPr>
          <w:p>
            <w:pPr>
              <w:jc w:val="center"/>
              <w:spacing w:after="0"/>
              <w:rPr>
                <w:sz w:val="20"/>
                <w:szCs w:val="20"/>
                <w:color w:val="auto"/>
              </w:rPr>
            </w:pPr>
            <w:r>
              <w:rPr>
                <w:rFonts w:ascii="Calibri" w:cs="Calibri" w:eastAsia="Calibri" w:hAnsi="Calibri"/>
                <w:sz w:val="15"/>
                <w:szCs w:val="15"/>
                <w:color w:val="FFFFFF"/>
                <w:w w:val="97"/>
              </w:rPr>
              <w:t>Reserve for RA (risk Adjustment).</w:t>
            </w:r>
          </w:p>
        </w:tc>
        <w:tc>
          <w:tcPr>
            <w:tcW w:w="7360" w:type="dxa"/>
            <w:vAlign w:val="bottom"/>
            <w:tcBorders>
              <w:right w:val="single" w:sz="8" w:color="auto"/>
            </w:tcBorders>
            <w:gridSpan w:val="8"/>
          </w:tcPr>
          <w:p>
            <w:pPr>
              <w:ind w:left="60"/>
              <w:spacing w:after="0"/>
              <w:rPr>
                <w:sz w:val="20"/>
                <w:szCs w:val="20"/>
                <w:color w:val="auto"/>
              </w:rPr>
            </w:pPr>
            <w:r>
              <w:rPr>
                <w:rFonts w:ascii="Calibri" w:cs="Calibri" w:eastAsia="Calibri" w:hAnsi="Calibri"/>
                <w:sz w:val="15"/>
                <w:szCs w:val="15"/>
                <w:color w:val="auto"/>
                <w:w w:val="99"/>
              </w:rPr>
              <w:t>Represents the margin of prudence that will be used to cover deviatons in the underwritng parameters beyond changes</w:t>
            </w: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808080"/>
            </w:tcBorders>
            <w:shd w:val="clear" w:color="auto" w:fill="808080"/>
          </w:tcPr>
          <w:p>
            <w:pPr>
              <w:spacing w:after="0"/>
              <w:rPr>
                <w:sz w:val="15"/>
                <w:szCs w:val="15"/>
                <w:color w:val="auto"/>
              </w:rPr>
            </w:pPr>
          </w:p>
        </w:tc>
        <w:tc>
          <w:tcPr>
            <w:tcW w:w="2760" w:type="dxa"/>
            <w:vAlign w:val="bottom"/>
            <w:tcBorders>
              <w:right w:val="single" w:sz="8" w:color="auto"/>
            </w:tcBorders>
            <w:shd w:val="clear" w:color="auto" w:fill="808080"/>
          </w:tcPr>
          <w:p>
            <w:pPr>
              <w:spacing w:after="0"/>
              <w:rPr>
                <w:sz w:val="15"/>
                <w:szCs w:val="15"/>
                <w:color w:val="auto"/>
              </w:rPr>
            </w:pPr>
          </w:p>
        </w:tc>
        <w:tc>
          <w:tcPr>
            <w:tcW w:w="1900" w:type="dxa"/>
            <w:vAlign w:val="bottom"/>
            <w:gridSpan w:val="2"/>
          </w:tcPr>
          <w:p>
            <w:pPr>
              <w:ind w:left="60"/>
              <w:spacing w:after="0" w:line="181" w:lineRule="exact"/>
              <w:rPr>
                <w:sz w:val="20"/>
                <w:szCs w:val="20"/>
                <w:color w:val="auto"/>
              </w:rPr>
            </w:pPr>
            <w:r>
              <w:rPr>
                <w:rFonts w:ascii="Calibri" w:cs="Calibri" w:eastAsia="Calibri" w:hAnsi="Calibri"/>
                <w:sz w:val="15"/>
                <w:szCs w:val="15"/>
                <w:color w:val="auto"/>
              </w:rPr>
              <w:t>in the interest rate.</w:t>
            </w: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40" w:type="dxa"/>
            <w:vAlign w:val="bottom"/>
            <w:tcBorders>
              <w:left w:val="single" w:sz="8" w:color="auto"/>
              <w:bottom w:val="single" w:sz="8" w:color="auto"/>
              <w:right w:val="single" w:sz="8" w:color="808080"/>
            </w:tcBorders>
            <w:shd w:val="clear" w:color="auto" w:fill="808080"/>
          </w:tcPr>
          <w:p>
            <w:pPr>
              <w:spacing w:after="0"/>
              <w:rPr>
                <w:sz w:val="13"/>
                <w:szCs w:val="13"/>
                <w:color w:val="auto"/>
              </w:rPr>
            </w:pPr>
          </w:p>
        </w:tc>
        <w:tc>
          <w:tcPr>
            <w:tcW w:w="2760" w:type="dxa"/>
            <w:vAlign w:val="bottom"/>
            <w:tcBorders>
              <w:bottom w:val="single" w:sz="8" w:color="auto"/>
              <w:right w:val="single" w:sz="8" w:color="auto"/>
            </w:tcBorders>
            <w:shd w:val="clear" w:color="auto" w:fill="808080"/>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3"/>
          </w:tcPr>
          <w:p>
            <w:pPr>
              <w:spacing w:after="0"/>
              <w:rPr>
                <w:sz w:val="13"/>
                <w:szCs w:val="13"/>
                <w:color w:val="auto"/>
              </w:rPr>
            </w:pPr>
          </w:p>
        </w:tc>
        <w:tc>
          <w:tcPr>
            <w:tcW w:w="2260" w:type="dxa"/>
            <w:vAlign w:val="bottom"/>
            <w:tcBorders>
              <w:bottom w:val="single" w:sz="8" w:color="auto"/>
            </w:tcBorders>
            <w:gridSpan w:val="3"/>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900" w:type="dxa"/>
            <w:vAlign w:val="bottom"/>
            <w:tcBorders>
              <w:left w:val="single" w:sz="8" w:color="auto"/>
              <w:right w:val="single" w:sz="8" w:color="auto"/>
            </w:tcBorders>
            <w:gridSpan w:val="2"/>
            <w:shd w:val="clear" w:color="auto" w:fill="808080"/>
          </w:tcPr>
          <w:p>
            <w:pPr>
              <w:jc w:val="center"/>
              <w:spacing w:after="0"/>
              <w:rPr>
                <w:sz w:val="20"/>
                <w:szCs w:val="20"/>
                <w:color w:val="auto"/>
              </w:rPr>
            </w:pPr>
            <w:r>
              <w:rPr>
                <w:rFonts w:ascii="Calibri" w:cs="Calibri" w:eastAsia="Calibri" w:hAnsi="Calibri"/>
                <w:sz w:val="15"/>
                <w:szCs w:val="15"/>
                <w:color w:val="FFFFFF"/>
                <w:w w:val="97"/>
              </w:rPr>
              <w:t>Reserve for CSM (Contractual</w:t>
            </w:r>
          </w:p>
        </w:tc>
        <w:tc>
          <w:tcPr>
            <w:tcW w:w="7360" w:type="dxa"/>
            <w:vAlign w:val="bottom"/>
            <w:tcBorders>
              <w:right w:val="single" w:sz="8" w:color="auto"/>
            </w:tcBorders>
            <w:gridSpan w:val="8"/>
          </w:tcPr>
          <w:p>
            <w:pPr>
              <w:ind w:left="60"/>
              <w:spacing w:after="0"/>
              <w:rPr>
                <w:sz w:val="20"/>
                <w:szCs w:val="20"/>
                <w:color w:val="auto"/>
              </w:rPr>
            </w:pPr>
            <w:r>
              <w:rPr>
                <w:rFonts w:ascii="Calibri" w:cs="Calibri" w:eastAsia="Calibri" w:hAnsi="Calibri"/>
                <w:sz w:val="15"/>
                <w:szCs w:val="15"/>
                <w:color w:val="auto"/>
              </w:rPr>
              <w:t>Represents the present value of future underwritng income (non-fnancial). Income accrues over the life of the policy.</w:t>
            </w: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808080"/>
            </w:tcBorders>
            <w:shd w:val="clear" w:color="auto" w:fill="808080"/>
          </w:tcPr>
          <w:p>
            <w:pPr>
              <w:spacing w:after="0"/>
              <w:rPr>
                <w:sz w:val="15"/>
                <w:szCs w:val="15"/>
                <w:color w:val="auto"/>
              </w:rPr>
            </w:pPr>
          </w:p>
        </w:tc>
        <w:tc>
          <w:tcPr>
            <w:tcW w:w="2760" w:type="dxa"/>
            <w:vAlign w:val="bottom"/>
            <w:tcBorders>
              <w:right w:val="single" w:sz="8" w:color="auto"/>
            </w:tcBorders>
            <w:shd w:val="clear" w:color="auto" w:fill="808080"/>
          </w:tcPr>
          <w:p>
            <w:pPr>
              <w:jc w:val="center"/>
              <w:ind w:right="1066"/>
              <w:spacing w:after="0" w:line="181" w:lineRule="exact"/>
              <w:rPr>
                <w:sz w:val="20"/>
                <w:szCs w:val="20"/>
                <w:color w:val="auto"/>
              </w:rPr>
            </w:pPr>
            <w:r>
              <w:rPr>
                <w:rFonts w:ascii="Calibri" w:cs="Calibri" w:eastAsia="Calibri" w:hAnsi="Calibri"/>
                <w:sz w:val="15"/>
                <w:szCs w:val="15"/>
                <w:color w:val="FFFFFF"/>
                <w:w w:val="98"/>
              </w:rPr>
              <w:t>Service Margin).</w:t>
            </w:r>
          </w:p>
        </w:tc>
        <w:tc>
          <w:tcPr>
            <w:tcW w:w="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140" w:type="dxa"/>
            <w:vAlign w:val="bottom"/>
            <w:tcBorders>
              <w:left w:val="single" w:sz="8" w:color="auto"/>
              <w:bottom w:val="single" w:sz="8" w:color="auto"/>
              <w:right w:val="single" w:sz="8" w:color="808080"/>
            </w:tcBorders>
            <w:shd w:val="clear" w:color="auto" w:fill="808080"/>
          </w:tcPr>
          <w:p>
            <w:pPr>
              <w:spacing w:after="0"/>
              <w:rPr>
                <w:sz w:val="6"/>
                <w:szCs w:val="6"/>
                <w:color w:val="auto"/>
              </w:rPr>
            </w:pPr>
          </w:p>
        </w:tc>
        <w:tc>
          <w:tcPr>
            <w:tcW w:w="2760" w:type="dxa"/>
            <w:vAlign w:val="bottom"/>
            <w:tcBorders>
              <w:bottom w:val="single" w:sz="8" w:color="auto"/>
              <w:right w:val="single" w:sz="8" w:color="auto"/>
            </w:tcBorders>
            <w:shd w:val="clear" w:color="auto" w:fill="808080"/>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360" w:type="dxa"/>
            <w:vAlign w:val="bottom"/>
            <w:tcBorders>
              <w:bottom w:val="single" w:sz="8" w:color="auto"/>
            </w:tcBorders>
            <w:gridSpan w:val="3"/>
          </w:tcPr>
          <w:p>
            <w:pPr>
              <w:spacing w:after="0"/>
              <w:rPr>
                <w:sz w:val="6"/>
                <w:szCs w:val="6"/>
                <w:color w:val="auto"/>
              </w:rPr>
            </w:pPr>
          </w:p>
        </w:tc>
        <w:tc>
          <w:tcPr>
            <w:tcW w:w="2260" w:type="dxa"/>
            <w:vAlign w:val="bottom"/>
            <w:tcBorders>
              <w:bottom w:val="single" w:sz="8" w:color="auto"/>
            </w:tcBorders>
            <w:gridSpan w:val="3"/>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140" w:type="dxa"/>
            <w:vAlign w:val="bottom"/>
            <w:tcBorders>
              <w:left w:val="single" w:sz="8" w:color="auto"/>
              <w:right w:val="single" w:sz="8" w:color="808080"/>
            </w:tcBorders>
            <w:shd w:val="clear" w:color="auto" w:fill="808080"/>
          </w:tcPr>
          <w:p>
            <w:pPr>
              <w:spacing w:after="0"/>
              <w:rPr>
                <w:sz w:val="18"/>
                <w:szCs w:val="18"/>
                <w:color w:val="auto"/>
              </w:rPr>
            </w:pPr>
          </w:p>
        </w:tc>
        <w:tc>
          <w:tcPr>
            <w:tcW w:w="2760" w:type="dxa"/>
            <w:vAlign w:val="bottom"/>
            <w:tcBorders>
              <w:right w:val="single" w:sz="8" w:color="auto"/>
            </w:tcBorders>
            <w:shd w:val="clear" w:color="auto" w:fill="808080"/>
          </w:tcPr>
          <w:p>
            <w:pPr>
              <w:jc w:val="center"/>
              <w:ind w:right="1066"/>
              <w:spacing w:after="0"/>
              <w:rPr>
                <w:sz w:val="20"/>
                <w:szCs w:val="20"/>
                <w:color w:val="auto"/>
              </w:rPr>
            </w:pPr>
            <w:r>
              <w:rPr>
                <w:rFonts w:ascii="Calibri" w:cs="Calibri" w:eastAsia="Calibri" w:hAnsi="Calibri"/>
                <w:sz w:val="15"/>
                <w:szCs w:val="15"/>
                <w:color w:val="FFFFFF"/>
              </w:rPr>
              <w:t>Atributable Expenses</w:t>
            </w:r>
          </w:p>
        </w:tc>
        <w:tc>
          <w:tcPr>
            <w:tcW w:w="7360" w:type="dxa"/>
            <w:vAlign w:val="bottom"/>
            <w:tcBorders>
              <w:right w:val="single" w:sz="8" w:color="auto"/>
            </w:tcBorders>
            <w:gridSpan w:val="8"/>
          </w:tcPr>
          <w:p>
            <w:pPr>
              <w:ind w:left="60"/>
              <w:spacing w:after="0"/>
              <w:rPr>
                <w:sz w:val="20"/>
                <w:szCs w:val="20"/>
                <w:color w:val="auto"/>
              </w:rPr>
            </w:pPr>
            <w:r>
              <w:rPr>
                <w:rFonts w:ascii="Calibri" w:cs="Calibri" w:eastAsia="Calibri" w:hAnsi="Calibri"/>
                <w:sz w:val="15"/>
                <w:szCs w:val="15"/>
                <w:color w:val="auto"/>
              </w:rPr>
              <w:t>Corresponds to necessary expenses to place a policy or maintain the same throughout its term. It is part of insurance</w:t>
            </w: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808080"/>
            </w:tcBorders>
            <w:shd w:val="clear" w:color="auto" w:fill="808080"/>
          </w:tcPr>
          <w:p>
            <w:pPr>
              <w:spacing w:after="0"/>
              <w:rPr>
                <w:sz w:val="15"/>
                <w:szCs w:val="15"/>
                <w:color w:val="auto"/>
              </w:rPr>
            </w:pPr>
          </w:p>
        </w:tc>
        <w:tc>
          <w:tcPr>
            <w:tcW w:w="2760" w:type="dxa"/>
            <w:vAlign w:val="bottom"/>
            <w:tcBorders>
              <w:right w:val="single" w:sz="8" w:color="auto"/>
            </w:tcBorders>
            <w:shd w:val="clear" w:color="auto" w:fill="808080"/>
          </w:tcPr>
          <w:p>
            <w:pPr>
              <w:spacing w:after="0"/>
              <w:rPr>
                <w:sz w:val="15"/>
                <w:szCs w:val="15"/>
                <w:color w:val="auto"/>
              </w:rPr>
            </w:pPr>
          </w:p>
        </w:tc>
        <w:tc>
          <w:tcPr>
            <w:tcW w:w="1900" w:type="dxa"/>
            <w:vAlign w:val="bottom"/>
            <w:gridSpan w:val="2"/>
          </w:tcPr>
          <w:p>
            <w:pPr>
              <w:ind w:left="60"/>
              <w:spacing w:after="0" w:line="181" w:lineRule="exact"/>
              <w:rPr>
                <w:sz w:val="20"/>
                <w:szCs w:val="20"/>
                <w:color w:val="auto"/>
              </w:rPr>
            </w:pPr>
            <w:r>
              <w:rPr>
                <w:rFonts w:ascii="Calibri" w:cs="Calibri" w:eastAsia="Calibri" w:hAnsi="Calibri"/>
                <w:sz w:val="15"/>
                <w:szCs w:val="15"/>
                <w:color w:val="auto"/>
              </w:rPr>
              <w:t>fows.</w:t>
            </w: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40" w:type="dxa"/>
            <w:vAlign w:val="bottom"/>
            <w:tcBorders>
              <w:left w:val="single" w:sz="8" w:color="auto"/>
              <w:bottom w:val="single" w:sz="8" w:color="auto"/>
              <w:right w:val="single" w:sz="8" w:color="808080"/>
            </w:tcBorders>
            <w:shd w:val="clear" w:color="auto" w:fill="808080"/>
          </w:tcPr>
          <w:p>
            <w:pPr>
              <w:spacing w:after="0"/>
              <w:rPr>
                <w:sz w:val="13"/>
                <w:szCs w:val="13"/>
                <w:color w:val="auto"/>
              </w:rPr>
            </w:pPr>
          </w:p>
        </w:tc>
        <w:tc>
          <w:tcPr>
            <w:tcW w:w="2760" w:type="dxa"/>
            <w:vAlign w:val="bottom"/>
            <w:tcBorders>
              <w:bottom w:val="single" w:sz="8" w:color="auto"/>
              <w:right w:val="single" w:sz="8" w:color="auto"/>
            </w:tcBorders>
            <w:shd w:val="clear" w:color="auto" w:fill="808080"/>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3"/>
          </w:tcPr>
          <w:p>
            <w:pPr>
              <w:spacing w:after="0"/>
              <w:rPr>
                <w:sz w:val="13"/>
                <w:szCs w:val="13"/>
                <w:color w:val="auto"/>
              </w:rPr>
            </w:pPr>
          </w:p>
        </w:tc>
        <w:tc>
          <w:tcPr>
            <w:tcW w:w="2260" w:type="dxa"/>
            <w:vAlign w:val="bottom"/>
            <w:tcBorders>
              <w:bottom w:val="single" w:sz="8" w:color="auto"/>
            </w:tcBorders>
            <w:gridSpan w:val="3"/>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900" w:type="dxa"/>
            <w:vAlign w:val="bottom"/>
            <w:tcBorders>
              <w:left w:val="single" w:sz="8" w:color="auto"/>
              <w:right w:val="single" w:sz="8" w:color="auto"/>
            </w:tcBorders>
            <w:gridSpan w:val="2"/>
            <w:shd w:val="clear" w:color="auto" w:fill="808080"/>
          </w:tcPr>
          <w:p>
            <w:pPr>
              <w:jc w:val="center"/>
              <w:spacing w:after="0"/>
              <w:rPr>
                <w:sz w:val="20"/>
                <w:szCs w:val="20"/>
                <w:color w:val="auto"/>
              </w:rPr>
            </w:pPr>
            <w:r>
              <w:rPr>
                <w:rFonts w:ascii="Calibri" w:cs="Calibri" w:eastAsia="Calibri" w:hAnsi="Calibri"/>
                <w:sz w:val="15"/>
                <w:szCs w:val="15"/>
                <w:color w:val="FFFFFF"/>
                <w:w w:val="98"/>
              </w:rPr>
              <w:t>Financial Expense associated with</w:t>
            </w:r>
          </w:p>
        </w:tc>
        <w:tc>
          <w:tcPr>
            <w:tcW w:w="7360" w:type="dxa"/>
            <w:vAlign w:val="bottom"/>
            <w:tcBorders>
              <w:right w:val="single" w:sz="8" w:color="auto"/>
            </w:tcBorders>
            <w:gridSpan w:val="8"/>
          </w:tcPr>
          <w:p>
            <w:pPr>
              <w:ind w:left="60"/>
              <w:spacing w:after="0"/>
              <w:rPr>
                <w:sz w:val="20"/>
                <w:szCs w:val="20"/>
                <w:color w:val="auto"/>
              </w:rPr>
            </w:pPr>
            <w:r>
              <w:rPr>
                <w:rFonts w:ascii="Calibri" w:cs="Calibri" w:eastAsia="Calibri" w:hAnsi="Calibri"/>
                <w:sz w:val="15"/>
                <w:szCs w:val="15"/>
                <w:color w:val="auto"/>
              </w:rPr>
              <w:t>Represents interest accredited to reserves in the period afer updatng their present value. This concept was previously</w:t>
            </w:r>
          </w:p>
        </w:tc>
        <w:tc>
          <w:tcPr>
            <w:tcW w:w="0" w:type="dxa"/>
            <w:vAlign w:val="bottom"/>
          </w:tcPr>
          <w:p>
            <w:pPr>
              <w:spacing w:after="0"/>
              <w:rPr>
                <w:sz w:val="1"/>
                <w:szCs w:val="1"/>
                <w:color w:val="auto"/>
              </w:rPr>
            </w:pPr>
          </w:p>
        </w:tc>
      </w:tr>
      <w:tr>
        <w:trPr>
          <w:trHeight w:val="182"/>
        </w:trPr>
        <w:tc>
          <w:tcPr>
            <w:tcW w:w="3900" w:type="dxa"/>
            <w:vAlign w:val="bottom"/>
            <w:tcBorders>
              <w:left w:val="single" w:sz="8" w:color="auto"/>
              <w:right w:val="single" w:sz="8" w:color="auto"/>
            </w:tcBorders>
            <w:gridSpan w:val="2"/>
            <w:shd w:val="clear" w:color="auto" w:fill="808080"/>
          </w:tcPr>
          <w:p>
            <w:pPr>
              <w:jc w:val="center"/>
              <w:spacing w:after="0" w:line="181" w:lineRule="exact"/>
              <w:rPr>
                <w:sz w:val="20"/>
                <w:szCs w:val="20"/>
                <w:color w:val="auto"/>
              </w:rPr>
            </w:pPr>
            <w:r>
              <w:rPr>
                <w:rFonts w:ascii="Calibri" w:cs="Calibri" w:eastAsia="Calibri" w:hAnsi="Calibri"/>
                <w:sz w:val="15"/>
                <w:szCs w:val="15"/>
                <w:color w:val="FFFFFF"/>
                <w:w w:val="98"/>
              </w:rPr>
              <w:t>the insurance and reinsurance</w:t>
            </w:r>
          </w:p>
        </w:tc>
        <w:tc>
          <w:tcPr>
            <w:tcW w:w="7360" w:type="dxa"/>
            <w:vAlign w:val="bottom"/>
            <w:tcBorders>
              <w:right w:val="single" w:sz="8" w:color="auto"/>
            </w:tcBorders>
            <w:gridSpan w:val="8"/>
          </w:tcPr>
          <w:p>
            <w:pPr>
              <w:ind w:left="60"/>
              <w:spacing w:after="0" w:line="181" w:lineRule="exact"/>
              <w:rPr>
                <w:sz w:val="20"/>
                <w:szCs w:val="20"/>
                <w:color w:val="auto"/>
              </w:rPr>
            </w:pPr>
            <w:r>
              <w:rPr>
                <w:rFonts w:ascii="Calibri" w:cs="Calibri" w:eastAsia="Calibri" w:hAnsi="Calibri"/>
                <w:sz w:val="15"/>
                <w:szCs w:val="15"/>
                <w:color w:val="auto"/>
              </w:rPr>
              <w:t>included in reserves under IFRS 4. IFRS 17 separates the fnancial component from the underwritng component.</w:t>
            </w: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808080"/>
            </w:tcBorders>
            <w:shd w:val="clear" w:color="auto" w:fill="808080"/>
          </w:tcPr>
          <w:p>
            <w:pPr>
              <w:spacing w:after="0"/>
              <w:rPr>
                <w:sz w:val="15"/>
                <w:szCs w:val="15"/>
                <w:color w:val="auto"/>
              </w:rPr>
            </w:pPr>
          </w:p>
        </w:tc>
        <w:tc>
          <w:tcPr>
            <w:tcW w:w="2760" w:type="dxa"/>
            <w:vAlign w:val="bottom"/>
            <w:tcBorders>
              <w:right w:val="single" w:sz="8" w:color="auto"/>
            </w:tcBorders>
            <w:shd w:val="clear" w:color="auto" w:fill="808080"/>
          </w:tcPr>
          <w:p>
            <w:pPr>
              <w:jc w:val="center"/>
              <w:ind w:right="1066"/>
              <w:spacing w:after="0" w:line="181" w:lineRule="exact"/>
              <w:rPr>
                <w:sz w:val="20"/>
                <w:szCs w:val="20"/>
                <w:color w:val="auto"/>
              </w:rPr>
            </w:pPr>
            <w:r>
              <w:rPr>
                <w:rFonts w:ascii="Calibri" w:cs="Calibri" w:eastAsia="Calibri" w:hAnsi="Calibri"/>
                <w:sz w:val="15"/>
                <w:szCs w:val="15"/>
                <w:color w:val="FFFFFF"/>
              </w:rPr>
              <w:t>actvity, net</w:t>
            </w:r>
          </w:p>
        </w:tc>
        <w:tc>
          <w:tcPr>
            <w:tcW w:w="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40" w:type="dxa"/>
            <w:vAlign w:val="bottom"/>
            <w:tcBorders>
              <w:left w:val="single" w:sz="8" w:color="auto"/>
              <w:bottom w:val="single" w:sz="8" w:color="auto"/>
              <w:right w:val="single" w:sz="8" w:color="808080"/>
            </w:tcBorders>
            <w:shd w:val="clear" w:color="auto" w:fill="808080"/>
          </w:tcPr>
          <w:p>
            <w:pPr>
              <w:spacing w:after="0"/>
              <w:rPr>
                <w:sz w:val="13"/>
                <w:szCs w:val="13"/>
                <w:color w:val="auto"/>
              </w:rPr>
            </w:pPr>
          </w:p>
        </w:tc>
        <w:tc>
          <w:tcPr>
            <w:tcW w:w="2760" w:type="dxa"/>
            <w:vAlign w:val="bottom"/>
            <w:tcBorders>
              <w:bottom w:val="single" w:sz="8" w:color="auto"/>
              <w:right w:val="single" w:sz="8" w:color="auto"/>
            </w:tcBorders>
            <w:shd w:val="clear" w:color="auto" w:fill="808080"/>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3"/>
          </w:tcPr>
          <w:p>
            <w:pPr>
              <w:spacing w:after="0"/>
              <w:rPr>
                <w:sz w:val="13"/>
                <w:szCs w:val="13"/>
                <w:color w:val="auto"/>
              </w:rPr>
            </w:pPr>
          </w:p>
        </w:tc>
        <w:tc>
          <w:tcPr>
            <w:tcW w:w="2260" w:type="dxa"/>
            <w:vAlign w:val="bottom"/>
            <w:tcBorders>
              <w:bottom w:val="single" w:sz="8" w:color="auto"/>
            </w:tcBorders>
            <w:gridSpan w:val="3"/>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40" w:type="dxa"/>
            <w:vAlign w:val="bottom"/>
            <w:tcBorders>
              <w:left w:val="single" w:sz="8" w:color="auto"/>
              <w:right w:val="single" w:sz="8" w:color="808080"/>
            </w:tcBorders>
            <w:shd w:val="clear" w:color="auto" w:fill="808080"/>
          </w:tcPr>
          <w:p>
            <w:pPr>
              <w:spacing w:after="0"/>
              <w:rPr>
                <w:sz w:val="18"/>
                <w:szCs w:val="18"/>
                <w:color w:val="auto"/>
              </w:rPr>
            </w:pPr>
          </w:p>
        </w:tc>
        <w:tc>
          <w:tcPr>
            <w:tcW w:w="2760" w:type="dxa"/>
            <w:vAlign w:val="bottom"/>
            <w:tcBorders>
              <w:right w:val="single" w:sz="8" w:color="auto"/>
            </w:tcBorders>
            <w:shd w:val="clear" w:color="auto" w:fill="808080"/>
          </w:tcPr>
          <w:p>
            <w:pPr>
              <w:jc w:val="center"/>
              <w:ind w:right="1066"/>
              <w:spacing w:after="0"/>
              <w:rPr>
                <w:sz w:val="20"/>
                <w:szCs w:val="20"/>
                <w:color w:val="auto"/>
              </w:rPr>
            </w:pPr>
            <w:r>
              <w:rPr>
                <w:rFonts w:ascii="Calibri" w:cs="Calibri" w:eastAsia="Calibri" w:hAnsi="Calibri"/>
                <w:sz w:val="15"/>
                <w:szCs w:val="15"/>
                <w:color w:val="FFFFFF"/>
                <w:w w:val="96"/>
              </w:rPr>
              <w:t>Onerous Contracts</w:t>
            </w:r>
          </w:p>
        </w:tc>
        <w:tc>
          <w:tcPr>
            <w:tcW w:w="7360" w:type="dxa"/>
            <w:vAlign w:val="bottom"/>
            <w:tcBorders>
              <w:right w:val="single" w:sz="8" w:color="auto"/>
            </w:tcBorders>
            <w:gridSpan w:val="8"/>
          </w:tcPr>
          <w:p>
            <w:pPr>
              <w:ind w:left="60"/>
              <w:spacing w:after="0"/>
              <w:rPr>
                <w:sz w:val="20"/>
                <w:szCs w:val="20"/>
                <w:color w:val="auto"/>
              </w:rPr>
            </w:pPr>
            <w:r>
              <w:rPr>
                <w:rFonts w:ascii="Calibri" w:cs="Calibri" w:eastAsia="Calibri" w:hAnsi="Calibri"/>
                <w:sz w:val="15"/>
                <w:szCs w:val="15"/>
                <w:color w:val="auto"/>
              </w:rPr>
              <w:t>The contracts that the company estmates will generate underwritng losses (not including fnancial income) during the</w:t>
            </w: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808080"/>
            </w:tcBorders>
            <w:shd w:val="clear" w:color="auto" w:fill="808080"/>
          </w:tcPr>
          <w:p>
            <w:pPr>
              <w:spacing w:after="0"/>
              <w:rPr>
                <w:sz w:val="15"/>
                <w:szCs w:val="15"/>
                <w:color w:val="auto"/>
              </w:rPr>
            </w:pPr>
          </w:p>
        </w:tc>
        <w:tc>
          <w:tcPr>
            <w:tcW w:w="2760" w:type="dxa"/>
            <w:vAlign w:val="bottom"/>
            <w:tcBorders>
              <w:right w:val="single" w:sz="8" w:color="auto"/>
            </w:tcBorders>
            <w:shd w:val="clear" w:color="auto" w:fill="808080"/>
          </w:tcPr>
          <w:p>
            <w:pPr>
              <w:spacing w:after="0"/>
              <w:rPr>
                <w:sz w:val="15"/>
                <w:szCs w:val="15"/>
                <w:color w:val="auto"/>
              </w:rPr>
            </w:pPr>
          </w:p>
        </w:tc>
        <w:tc>
          <w:tcPr>
            <w:tcW w:w="1900" w:type="dxa"/>
            <w:vAlign w:val="bottom"/>
            <w:gridSpan w:val="2"/>
          </w:tcPr>
          <w:p>
            <w:pPr>
              <w:ind w:left="60"/>
              <w:spacing w:after="0" w:line="181" w:lineRule="exact"/>
              <w:rPr>
                <w:sz w:val="20"/>
                <w:szCs w:val="20"/>
                <w:color w:val="auto"/>
              </w:rPr>
            </w:pPr>
            <w:r>
              <w:rPr>
                <w:rFonts w:ascii="Calibri" w:cs="Calibri" w:eastAsia="Calibri" w:hAnsi="Calibri"/>
                <w:sz w:val="15"/>
                <w:szCs w:val="15"/>
                <w:color w:val="auto"/>
              </w:rPr>
              <w:t>policy term.</w:t>
            </w: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40" w:type="dxa"/>
            <w:vAlign w:val="bottom"/>
            <w:tcBorders>
              <w:left w:val="single" w:sz="8" w:color="auto"/>
              <w:bottom w:val="single" w:sz="8" w:color="auto"/>
              <w:right w:val="single" w:sz="8" w:color="808080"/>
            </w:tcBorders>
            <w:shd w:val="clear" w:color="auto" w:fill="808080"/>
          </w:tcPr>
          <w:p>
            <w:pPr>
              <w:spacing w:after="0"/>
              <w:rPr>
                <w:sz w:val="13"/>
                <w:szCs w:val="13"/>
                <w:color w:val="auto"/>
              </w:rPr>
            </w:pPr>
          </w:p>
        </w:tc>
        <w:tc>
          <w:tcPr>
            <w:tcW w:w="2760" w:type="dxa"/>
            <w:vAlign w:val="bottom"/>
            <w:tcBorders>
              <w:bottom w:val="single" w:sz="8" w:color="auto"/>
              <w:right w:val="single" w:sz="8" w:color="auto"/>
            </w:tcBorders>
            <w:shd w:val="clear" w:color="auto" w:fill="808080"/>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78"/>
        </w:trPr>
        <w:tc>
          <w:tcPr>
            <w:tcW w:w="3900" w:type="dxa"/>
            <w:vAlign w:val="bottom"/>
            <w:gridSpan w:val="2"/>
          </w:tcPr>
          <w:p>
            <w:pPr>
              <w:spacing w:after="0"/>
              <w:rPr>
                <w:sz w:val="20"/>
                <w:szCs w:val="20"/>
                <w:color w:val="auto"/>
              </w:rPr>
            </w:pPr>
            <w:r>
              <w:rPr>
                <w:rFonts w:ascii="Calibri" w:cs="Calibri" w:eastAsia="Calibri" w:hAnsi="Calibri"/>
                <w:sz w:val="15"/>
                <w:szCs w:val="15"/>
                <w:b w:val="1"/>
                <w:bCs w:val="1"/>
                <w:color w:val="auto"/>
              </w:rPr>
              <w:t>12.2. Physical Point of contact</w:t>
            </w: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Borders>
              <w:right w:val="single" w:sz="8" w:color="646464"/>
            </w:tcBorders>
          </w:tcPr>
          <w:p>
            <w:pPr>
              <w:spacing w:after="0"/>
              <w:rPr>
                <w:sz w:val="17"/>
                <w:szCs w:val="17"/>
                <w:color w:val="auto"/>
              </w:rPr>
            </w:pPr>
          </w:p>
        </w:tc>
        <w:tc>
          <w:tcPr>
            <w:tcW w:w="2760" w:type="dxa"/>
            <w:vAlign w:val="bottom"/>
            <w:tcBorders>
              <w:bottom w:val="single" w:sz="8" w:color="33CCCC"/>
              <w:right w:val="single" w:sz="8" w:color="33CCCC"/>
            </w:tcBorders>
            <w:shd w:val="clear" w:color="auto" w:fill="33CCCC"/>
          </w:tcPr>
          <w:p>
            <w:pPr>
              <w:ind w:left="20"/>
              <w:spacing w:after="0" w:line="204" w:lineRule="exact"/>
              <w:rPr>
                <w:sz w:val="20"/>
                <w:szCs w:val="20"/>
                <w:color w:val="auto"/>
              </w:rPr>
            </w:pPr>
            <w:r>
              <w:rPr>
                <w:rFonts w:ascii="Calibri" w:cs="Calibri" w:eastAsia="Calibri" w:hAnsi="Calibri"/>
                <w:sz w:val="14"/>
                <w:szCs w:val="14"/>
                <w:b w:val="1"/>
                <w:bCs w:val="1"/>
                <w:color w:val="FFFFFF"/>
              </w:rPr>
              <w:t xml:space="preserve">Physical Point of Contact </w:t>
            </w:r>
            <w:r>
              <w:rPr>
                <w:rFonts w:ascii="Calibri" w:cs="Calibri" w:eastAsia="Calibri" w:hAnsi="Calibri"/>
                <w:sz w:val="22"/>
                <w:szCs w:val="22"/>
                <w:b w:val="1"/>
                <w:bCs w:val="1"/>
                <w:color w:val="FFFFFF"/>
                <w:vertAlign w:val="superscript"/>
              </w:rPr>
              <w:t>(1)</w:t>
            </w:r>
          </w:p>
        </w:tc>
        <w:tc>
          <w:tcPr>
            <w:tcW w:w="620" w:type="dxa"/>
            <w:vAlign w:val="bottom"/>
            <w:tcBorders>
              <w:bottom w:val="single" w:sz="8" w:color="33CCCC"/>
              <w:right w:val="single" w:sz="8" w:color="auto"/>
            </w:tcBorders>
            <w:shd w:val="clear" w:color="auto" w:fill="33CCCC"/>
          </w:tcPr>
          <w:p>
            <w:pPr>
              <w:spacing w:after="0"/>
              <w:rPr>
                <w:sz w:val="17"/>
                <w:szCs w:val="17"/>
                <w:color w:val="auto"/>
              </w:rPr>
            </w:pPr>
          </w:p>
        </w:tc>
        <w:tc>
          <w:tcPr>
            <w:tcW w:w="1280" w:type="dxa"/>
            <w:vAlign w:val="bottom"/>
            <w:tcBorders>
              <w:bottom w:val="single" w:sz="8" w:color="auto"/>
            </w:tcBorders>
            <w:shd w:val="clear" w:color="auto" w:fill="33CCCC"/>
          </w:tcPr>
          <w:p>
            <w:pPr>
              <w:spacing w:after="0"/>
              <w:rPr>
                <w:sz w:val="17"/>
                <w:szCs w:val="17"/>
                <w:color w:val="auto"/>
              </w:rPr>
            </w:pPr>
          </w:p>
        </w:tc>
        <w:tc>
          <w:tcPr>
            <w:tcW w:w="1120" w:type="dxa"/>
            <w:vAlign w:val="bottom"/>
            <w:tcBorders>
              <w:bottom w:val="single" w:sz="8" w:color="auto"/>
            </w:tcBorders>
            <w:shd w:val="clear" w:color="auto" w:fill="33CCCC"/>
          </w:tcPr>
          <w:p>
            <w:pPr>
              <w:jc w:val="right"/>
              <w:ind w:right="504"/>
              <w:spacing w:after="0" w:line="180" w:lineRule="exact"/>
              <w:rPr>
                <w:sz w:val="20"/>
                <w:szCs w:val="20"/>
                <w:color w:val="auto"/>
              </w:rPr>
            </w:pPr>
            <w:r>
              <w:rPr>
                <w:rFonts w:ascii="Calibri" w:cs="Calibri" w:eastAsia="Calibri" w:hAnsi="Calibri"/>
                <w:sz w:val="15"/>
                <w:szCs w:val="15"/>
                <w:b w:val="1"/>
                <w:bCs w:val="1"/>
                <w:color w:val="FFFFFF"/>
              </w:rPr>
              <w:t>As of</w:t>
            </w:r>
          </w:p>
        </w:tc>
        <w:tc>
          <w:tcPr>
            <w:tcW w:w="960" w:type="dxa"/>
            <w:vAlign w:val="bottom"/>
            <w:tcBorders>
              <w:bottom w:val="single" w:sz="8" w:color="auto"/>
              <w:right w:val="single" w:sz="8" w:color="auto"/>
            </w:tcBorders>
            <w:shd w:val="clear" w:color="auto" w:fill="33CCCC"/>
          </w:tcPr>
          <w:p>
            <w:pPr>
              <w:spacing w:after="0"/>
              <w:rPr>
                <w:sz w:val="17"/>
                <w:szCs w:val="17"/>
                <w:color w:val="auto"/>
              </w:rPr>
            </w:pPr>
          </w:p>
        </w:tc>
        <w:tc>
          <w:tcPr>
            <w:tcW w:w="420" w:type="dxa"/>
            <w:vAlign w:val="bottom"/>
            <w:tcBorders>
              <w:bottom w:val="single" w:sz="8" w:color="auto"/>
            </w:tcBorders>
            <w:shd w:val="clear" w:color="auto" w:fill="33CCCC"/>
          </w:tcPr>
          <w:p>
            <w:pPr>
              <w:spacing w:after="0"/>
              <w:rPr>
                <w:sz w:val="17"/>
                <w:szCs w:val="17"/>
                <w:color w:val="auto"/>
              </w:rPr>
            </w:pPr>
          </w:p>
        </w:tc>
        <w:tc>
          <w:tcPr>
            <w:tcW w:w="1140" w:type="dxa"/>
            <w:vAlign w:val="bottom"/>
            <w:tcBorders>
              <w:bottom w:val="single" w:sz="8" w:color="auto"/>
            </w:tcBorders>
            <w:shd w:val="clear" w:color="auto" w:fill="33CCCC"/>
          </w:tcPr>
          <w:p>
            <w:pPr>
              <w:jc w:val="right"/>
              <w:spacing w:after="0" w:line="180" w:lineRule="exact"/>
              <w:rPr>
                <w:sz w:val="20"/>
                <w:szCs w:val="20"/>
                <w:color w:val="auto"/>
              </w:rPr>
            </w:pPr>
            <w:r>
              <w:rPr>
                <w:rFonts w:ascii="Calibri" w:cs="Calibri" w:eastAsia="Calibri" w:hAnsi="Calibri"/>
                <w:sz w:val="15"/>
                <w:szCs w:val="15"/>
                <w:b w:val="1"/>
                <w:bCs w:val="1"/>
                <w:color w:val="FFFFFF"/>
              </w:rPr>
              <w:t>change (units)</w:t>
            </w:r>
          </w:p>
        </w:tc>
        <w:tc>
          <w:tcPr>
            <w:tcW w:w="700" w:type="dxa"/>
            <w:vAlign w:val="bottom"/>
            <w:tcBorders>
              <w:bottom w:val="single" w:sz="8" w:color="auto"/>
              <w:right w:val="single" w:sz="8" w:color="auto"/>
            </w:tcBorders>
            <w:shd w:val="clear" w:color="auto" w:fill="33CCC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140" w:type="dxa"/>
            <w:vAlign w:val="bottom"/>
            <w:tcBorders>
              <w:right w:val="single" w:sz="8" w:color="646464"/>
            </w:tcBorders>
          </w:tcPr>
          <w:p>
            <w:pPr>
              <w:spacing w:after="0"/>
              <w:rPr>
                <w:sz w:val="11"/>
                <w:szCs w:val="11"/>
                <w:color w:val="auto"/>
              </w:rPr>
            </w:pPr>
          </w:p>
        </w:tc>
        <w:tc>
          <w:tcPr>
            <w:tcW w:w="2760" w:type="dxa"/>
            <w:vAlign w:val="bottom"/>
            <w:tcBorders>
              <w:right w:val="single" w:sz="8" w:color="33CCCC"/>
            </w:tcBorders>
            <w:shd w:val="clear" w:color="auto" w:fill="33CCCC"/>
          </w:tcPr>
          <w:p>
            <w:pPr>
              <w:ind w:left="20"/>
              <w:spacing w:after="0" w:line="137" w:lineRule="exact"/>
              <w:rPr>
                <w:sz w:val="20"/>
                <w:szCs w:val="20"/>
                <w:color w:val="auto"/>
              </w:rPr>
            </w:pPr>
            <w:r>
              <w:rPr>
                <w:rFonts w:ascii="Calibri" w:cs="Calibri" w:eastAsia="Calibri" w:hAnsi="Calibri"/>
                <w:sz w:val="14"/>
                <w:szCs w:val="14"/>
                <w:b w:val="1"/>
                <w:bCs w:val="1"/>
                <w:color w:val="FFFFFF"/>
              </w:rPr>
              <w:t>(Units)</w:t>
            </w:r>
          </w:p>
        </w:tc>
        <w:tc>
          <w:tcPr>
            <w:tcW w:w="620" w:type="dxa"/>
            <w:vAlign w:val="bottom"/>
            <w:tcBorders>
              <w:right w:val="single" w:sz="8" w:color="auto"/>
            </w:tcBorders>
            <w:shd w:val="clear" w:color="auto" w:fill="33CCCC"/>
          </w:tcPr>
          <w:p>
            <w:pPr>
              <w:spacing w:after="0"/>
              <w:rPr>
                <w:sz w:val="11"/>
                <w:szCs w:val="11"/>
                <w:color w:val="auto"/>
              </w:rPr>
            </w:pPr>
          </w:p>
        </w:tc>
        <w:tc>
          <w:tcPr>
            <w:tcW w:w="1280" w:type="dxa"/>
            <w:vAlign w:val="bottom"/>
            <w:vMerge w:val="restart"/>
            <w:shd w:val="clear" w:color="auto" w:fill="33CCCC"/>
          </w:tcPr>
          <w:p>
            <w:pPr>
              <w:jc w:val="right"/>
              <w:ind w:right="444"/>
              <w:spacing w:after="0" w:line="180" w:lineRule="exact"/>
              <w:rPr>
                <w:sz w:val="20"/>
                <w:szCs w:val="20"/>
                <w:color w:val="auto"/>
              </w:rPr>
            </w:pPr>
            <w:r>
              <w:rPr>
                <w:rFonts w:ascii="Calibri" w:cs="Calibri" w:eastAsia="Calibri" w:hAnsi="Calibri"/>
                <w:sz w:val="15"/>
                <w:szCs w:val="15"/>
                <w:b w:val="1"/>
                <w:bCs w:val="1"/>
                <w:color w:val="FFFFFF"/>
              </w:rPr>
              <w:t>Mar 22</w:t>
            </w:r>
          </w:p>
        </w:tc>
        <w:tc>
          <w:tcPr>
            <w:tcW w:w="1120" w:type="dxa"/>
            <w:vAlign w:val="bottom"/>
            <w:vMerge w:val="restart"/>
            <w:shd w:val="clear" w:color="auto" w:fill="33CCCC"/>
          </w:tcPr>
          <w:p>
            <w:pPr>
              <w:jc w:val="right"/>
              <w:ind w:right="444"/>
              <w:spacing w:after="0" w:line="180" w:lineRule="exact"/>
              <w:rPr>
                <w:sz w:val="20"/>
                <w:szCs w:val="20"/>
                <w:color w:val="auto"/>
              </w:rPr>
            </w:pPr>
            <w:r>
              <w:rPr>
                <w:rFonts w:ascii="Calibri" w:cs="Calibri" w:eastAsia="Calibri" w:hAnsi="Calibri"/>
                <w:sz w:val="15"/>
                <w:szCs w:val="15"/>
                <w:b w:val="1"/>
                <w:bCs w:val="1"/>
                <w:color w:val="FFFFFF"/>
              </w:rPr>
              <w:t>Dec 22</w:t>
            </w:r>
          </w:p>
        </w:tc>
        <w:tc>
          <w:tcPr>
            <w:tcW w:w="960" w:type="dxa"/>
            <w:vAlign w:val="bottom"/>
            <w:tcBorders>
              <w:right w:val="single" w:sz="8" w:color="auto"/>
            </w:tcBorders>
            <w:vMerge w:val="restart"/>
            <w:shd w:val="clear" w:color="auto" w:fill="33CCCC"/>
          </w:tcPr>
          <w:p>
            <w:pPr>
              <w:jc w:val="right"/>
              <w:ind w:right="284"/>
              <w:spacing w:after="0" w:line="180" w:lineRule="exact"/>
              <w:rPr>
                <w:sz w:val="20"/>
                <w:szCs w:val="20"/>
                <w:color w:val="auto"/>
              </w:rPr>
            </w:pPr>
            <w:r>
              <w:rPr>
                <w:rFonts w:ascii="Calibri" w:cs="Calibri" w:eastAsia="Calibri" w:hAnsi="Calibri"/>
                <w:sz w:val="15"/>
                <w:szCs w:val="15"/>
                <w:b w:val="1"/>
                <w:bCs w:val="1"/>
                <w:color w:val="FFFFFF"/>
              </w:rPr>
              <w:t>Mar 23</w:t>
            </w:r>
          </w:p>
        </w:tc>
        <w:tc>
          <w:tcPr>
            <w:tcW w:w="420" w:type="dxa"/>
            <w:vAlign w:val="bottom"/>
            <w:shd w:val="clear" w:color="auto" w:fill="33CCCC"/>
          </w:tcPr>
          <w:p>
            <w:pPr>
              <w:spacing w:after="0"/>
              <w:rPr>
                <w:sz w:val="11"/>
                <w:szCs w:val="11"/>
                <w:color w:val="auto"/>
              </w:rPr>
            </w:pPr>
          </w:p>
        </w:tc>
        <w:tc>
          <w:tcPr>
            <w:tcW w:w="1140" w:type="dxa"/>
            <w:vAlign w:val="bottom"/>
            <w:vMerge w:val="restart"/>
            <w:shd w:val="clear" w:color="auto" w:fill="33CCCC"/>
          </w:tcPr>
          <w:p>
            <w:pPr>
              <w:jc w:val="right"/>
              <w:ind w:right="784"/>
              <w:spacing w:after="0" w:line="180" w:lineRule="exact"/>
              <w:rPr>
                <w:sz w:val="20"/>
                <w:szCs w:val="20"/>
                <w:color w:val="auto"/>
              </w:rPr>
            </w:pPr>
            <w:r>
              <w:rPr>
                <w:rFonts w:ascii="Calibri" w:cs="Calibri" w:eastAsia="Calibri" w:hAnsi="Calibri"/>
                <w:sz w:val="15"/>
                <w:szCs w:val="15"/>
                <w:b w:val="1"/>
                <w:bCs w:val="1"/>
                <w:color w:val="FFFFFF"/>
                <w:w w:val="90"/>
              </w:rPr>
              <w:t>QoQ</w:t>
            </w:r>
          </w:p>
        </w:tc>
        <w:tc>
          <w:tcPr>
            <w:tcW w:w="700" w:type="dxa"/>
            <w:vAlign w:val="bottom"/>
            <w:tcBorders>
              <w:right w:val="single" w:sz="8" w:color="646464"/>
            </w:tcBorders>
            <w:vMerge w:val="restart"/>
            <w:shd w:val="clear" w:color="auto" w:fill="33CCCC"/>
          </w:tcPr>
          <w:p>
            <w:pPr>
              <w:jc w:val="right"/>
              <w:ind w:right="404"/>
              <w:spacing w:after="0" w:line="180" w:lineRule="exact"/>
              <w:rPr>
                <w:sz w:val="20"/>
                <w:szCs w:val="20"/>
                <w:color w:val="auto"/>
              </w:rPr>
            </w:pPr>
            <w:r>
              <w:rPr>
                <w:rFonts w:ascii="Calibri" w:cs="Calibri" w:eastAsia="Calibri" w:hAnsi="Calibri"/>
                <w:sz w:val="15"/>
                <w:szCs w:val="15"/>
                <w:b w:val="1"/>
                <w:bCs w:val="1"/>
                <w:color w:val="FFFFFF"/>
                <w:w w:val="84"/>
              </w:rPr>
              <w:t>YoY</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140" w:type="dxa"/>
            <w:vAlign w:val="bottom"/>
            <w:tcBorders>
              <w:right w:val="single" w:sz="8" w:color="646464"/>
            </w:tcBorders>
          </w:tcPr>
          <w:p>
            <w:pPr>
              <w:spacing w:after="0"/>
              <w:rPr>
                <w:sz w:val="7"/>
                <w:szCs w:val="7"/>
                <w:color w:val="auto"/>
              </w:rPr>
            </w:pPr>
          </w:p>
        </w:tc>
        <w:tc>
          <w:tcPr>
            <w:tcW w:w="2760" w:type="dxa"/>
            <w:vAlign w:val="bottom"/>
            <w:tcBorders>
              <w:bottom w:val="single" w:sz="8" w:color="33CCCC"/>
              <w:right w:val="single" w:sz="8" w:color="33CCCC"/>
            </w:tcBorders>
            <w:shd w:val="clear" w:color="auto" w:fill="33CCCC"/>
          </w:tcPr>
          <w:p>
            <w:pPr>
              <w:spacing w:after="0"/>
              <w:rPr>
                <w:sz w:val="7"/>
                <w:szCs w:val="7"/>
                <w:color w:val="auto"/>
              </w:rPr>
            </w:pPr>
          </w:p>
        </w:tc>
        <w:tc>
          <w:tcPr>
            <w:tcW w:w="620" w:type="dxa"/>
            <w:vAlign w:val="bottom"/>
            <w:tcBorders>
              <w:bottom w:val="single" w:sz="8" w:color="33CCCC"/>
              <w:right w:val="single" w:sz="8" w:color="auto"/>
            </w:tcBorders>
            <w:shd w:val="clear" w:color="auto" w:fill="33CCCC"/>
          </w:tcPr>
          <w:p>
            <w:pPr>
              <w:spacing w:after="0"/>
              <w:rPr>
                <w:sz w:val="7"/>
                <w:szCs w:val="7"/>
                <w:color w:val="auto"/>
              </w:rPr>
            </w:pPr>
          </w:p>
        </w:tc>
        <w:tc>
          <w:tcPr>
            <w:tcW w:w="1280" w:type="dxa"/>
            <w:vAlign w:val="bottom"/>
            <w:tcBorders>
              <w:bottom w:val="single" w:sz="8" w:color="33CCCC"/>
            </w:tcBorders>
            <w:vMerge w:val="continue"/>
            <w:shd w:val="clear" w:color="auto" w:fill="33CCCC"/>
          </w:tcPr>
          <w:p>
            <w:pPr>
              <w:spacing w:after="0"/>
              <w:rPr>
                <w:sz w:val="7"/>
                <w:szCs w:val="7"/>
                <w:color w:val="auto"/>
              </w:rPr>
            </w:pPr>
          </w:p>
        </w:tc>
        <w:tc>
          <w:tcPr>
            <w:tcW w:w="1120" w:type="dxa"/>
            <w:vAlign w:val="bottom"/>
            <w:tcBorders>
              <w:bottom w:val="single" w:sz="8" w:color="33CCCC"/>
            </w:tcBorders>
            <w:vMerge w:val="continue"/>
            <w:shd w:val="clear" w:color="auto" w:fill="33CCCC"/>
          </w:tcPr>
          <w:p>
            <w:pPr>
              <w:spacing w:after="0"/>
              <w:rPr>
                <w:sz w:val="7"/>
                <w:szCs w:val="7"/>
                <w:color w:val="auto"/>
              </w:rPr>
            </w:pPr>
          </w:p>
        </w:tc>
        <w:tc>
          <w:tcPr>
            <w:tcW w:w="960" w:type="dxa"/>
            <w:vAlign w:val="bottom"/>
            <w:tcBorders>
              <w:bottom w:val="single" w:sz="8" w:color="33CCCC"/>
              <w:right w:val="single" w:sz="8" w:color="auto"/>
            </w:tcBorders>
            <w:vMerge w:val="continue"/>
            <w:shd w:val="clear" w:color="auto" w:fill="33CCCC"/>
          </w:tcPr>
          <w:p>
            <w:pPr>
              <w:spacing w:after="0"/>
              <w:rPr>
                <w:sz w:val="7"/>
                <w:szCs w:val="7"/>
                <w:color w:val="auto"/>
              </w:rPr>
            </w:pPr>
          </w:p>
        </w:tc>
        <w:tc>
          <w:tcPr>
            <w:tcW w:w="420" w:type="dxa"/>
            <w:vAlign w:val="bottom"/>
            <w:tcBorders>
              <w:bottom w:val="single" w:sz="8" w:color="33CCCC"/>
            </w:tcBorders>
            <w:shd w:val="clear" w:color="auto" w:fill="33CCCC"/>
          </w:tcPr>
          <w:p>
            <w:pPr>
              <w:spacing w:after="0"/>
              <w:rPr>
                <w:sz w:val="7"/>
                <w:szCs w:val="7"/>
                <w:color w:val="auto"/>
              </w:rPr>
            </w:pPr>
          </w:p>
        </w:tc>
        <w:tc>
          <w:tcPr>
            <w:tcW w:w="1140" w:type="dxa"/>
            <w:vAlign w:val="bottom"/>
            <w:tcBorders>
              <w:bottom w:val="single" w:sz="8" w:color="33CCCC"/>
            </w:tcBorders>
            <w:vMerge w:val="continue"/>
            <w:shd w:val="clear" w:color="auto" w:fill="33CCCC"/>
          </w:tcPr>
          <w:p>
            <w:pPr>
              <w:spacing w:after="0"/>
              <w:rPr>
                <w:sz w:val="7"/>
                <w:szCs w:val="7"/>
                <w:color w:val="auto"/>
              </w:rPr>
            </w:pPr>
          </w:p>
        </w:tc>
        <w:tc>
          <w:tcPr>
            <w:tcW w:w="700" w:type="dxa"/>
            <w:vAlign w:val="bottom"/>
            <w:tcBorders>
              <w:bottom w:val="single" w:sz="8" w:color="33CCCC"/>
              <w:right w:val="single" w:sz="8" w:color="646464"/>
            </w:tcBorders>
            <w:vMerge w:val="continue"/>
            <w:shd w:val="clear" w:color="auto" w:fill="33CCCC"/>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140" w:type="dxa"/>
            <w:vAlign w:val="bottom"/>
            <w:tcBorders>
              <w:right w:val="single" w:sz="8" w:color="646464"/>
            </w:tcBorders>
          </w:tcPr>
          <w:p>
            <w:pPr>
              <w:spacing w:after="0"/>
              <w:rPr>
                <w:sz w:val="13"/>
                <w:szCs w:val="13"/>
                <w:color w:val="auto"/>
              </w:rPr>
            </w:pPr>
          </w:p>
        </w:tc>
        <w:tc>
          <w:tcPr>
            <w:tcW w:w="2760" w:type="dxa"/>
            <w:vAlign w:val="bottom"/>
            <w:tcBorders>
              <w:top w:val="single" w:sz="8" w:color="auto"/>
            </w:tcBorders>
          </w:tcPr>
          <w:p>
            <w:pPr>
              <w:ind w:left="20"/>
              <w:spacing w:after="0" w:line="159" w:lineRule="exact"/>
              <w:rPr>
                <w:sz w:val="20"/>
                <w:szCs w:val="20"/>
                <w:color w:val="auto"/>
              </w:rPr>
            </w:pPr>
            <w:r>
              <w:rPr>
                <w:rFonts w:ascii="Calibri" w:cs="Calibri" w:eastAsia="Calibri" w:hAnsi="Calibri"/>
                <w:sz w:val="15"/>
                <w:szCs w:val="15"/>
                <w:color w:val="auto"/>
              </w:rPr>
              <w:t>Branches</w:t>
            </w:r>
          </w:p>
        </w:tc>
        <w:tc>
          <w:tcPr>
            <w:tcW w:w="620" w:type="dxa"/>
            <w:vAlign w:val="bottom"/>
            <w:tcBorders>
              <w:top w:val="single" w:sz="8" w:color="auto"/>
              <w:right w:val="single" w:sz="8" w:color="auto"/>
            </w:tcBorders>
          </w:tcPr>
          <w:p>
            <w:pPr>
              <w:spacing w:after="0"/>
              <w:rPr>
                <w:sz w:val="13"/>
                <w:szCs w:val="13"/>
                <w:color w:val="auto"/>
              </w:rPr>
            </w:pPr>
          </w:p>
        </w:tc>
        <w:tc>
          <w:tcPr>
            <w:tcW w:w="1280" w:type="dxa"/>
            <w:vAlign w:val="bottom"/>
            <w:tcBorders>
              <w:top w:val="single" w:sz="8" w:color="auto"/>
            </w:tcBorders>
          </w:tcPr>
          <w:p>
            <w:pPr>
              <w:jc w:val="right"/>
              <w:ind w:right="104"/>
              <w:spacing w:after="0" w:line="159" w:lineRule="exact"/>
              <w:rPr>
                <w:sz w:val="20"/>
                <w:szCs w:val="20"/>
                <w:color w:val="auto"/>
              </w:rPr>
            </w:pPr>
            <w:r>
              <w:rPr>
                <w:rFonts w:ascii="Calibri" w:cs="Calibri" w:eastAsia="Calibri" w:hAnsi="Calibri"/>
                <w:sz w:val="15"/>
                <w:szCs w:val="15"/>
                <w:color w:val="auto"/>
              </w:rPr>
              <w:t>706</w:t>
            </w:r>
          </w:p>
        </w:tc>
        <w:tc>
          <w:tcPr>
            <w:tcW w:w="1120" w:type="dxa"/>
            <w:vAlign w:val="bottom"/>
            <w:tcBorders>
              <w:top w:val="single" w:sz="8" w:color="auto"/>
            </w:tcBorders>
          </w:tcPr>
          <w:p>
            <w:pPr>
              <w:jc w:val="right"/>
              <w:ind w:right="104"/>
              <w:spacing w:after="0" w:line="159" w:lineRule="exact"/>
              <w:rPr>
                <w:sz w:val="20"/>
                <w:szCs w:val="20"/>
                <w:color w:val="auto"/>
              </w:rPr>
            </w:pPr>
            <w:r>
              <w:rPr>
                <w:rFonts w:ascii="Calibri" w:cs="Calibri" w:eastAsia="Calibri" w:hAnsi="Calibri"/>
                <w:sz w:val="15"/>
                <w:szCs w:val="15"/>
                <w:color w:val="auto"/>
              </w:rPr>
              <w:t>678</w:t>
            </w:r>
          </w:p>
        </w:tc>
        <w:tc>
          <w:tcPr>
            <w:tcW w:w="960" w:type="dxa"/>
            <w:vAlign w:val="bottom"/>
            <w:tcBorders>
              <w:top w:val="single" w:sz="8" w:color="auto"/>
              <w:right w:val="single" w:sz="8" w:color="auto"/>
            </w:tcBorders>
          </w:tcPr>
          <w:p>
            <w:pPr>
              <w:jc w:val="right"/>
              <w:spacing w:after="0" w:line="159" w:lineRule="exact"/>
              <w:rPr>
                <w:sz w:val="20"/>
                <w:szCs w:val="20"/>
                <w:color w:val="auto"/>
              </w:rPr>
            </w:pPr>
            <w:r>
              <w:rPr>
                <w:rFonts w:ascii="Calibri" w:cs="Calibri" w:eastAsia="Calibri" w:hAnsi="Calibri"/>
                <w:sz w:val="15"/>
                <w:szCs w:val="15"/>
                <w:color w:val="auto"/>
              </w:rPr>
              <w:t>675</w:t>
            </w:r>
          </w:p>
        </w:tc>
        <w:tc>
          <w:tcPr>
            <w:tcW w:w="4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84"/>
              <w:spacing w:after="0" w:line="159" w:lineRule="exact"/>
              <w:rPr>
                <w:sz w:val="20"/>
                <w:szCs w:val="20"/>
                <w:color w:val="auto"/>
              </w:rPr>
            </w:pPr>
            <w:r>
              <w:rPr>
                <w:rFonts w:ascii="Calibri" w:cs="Calibri" w:eastAsia="Calibri" w:hAnsi="Calibri"/>
                <w:sz w:val="15"/>
                <w:szCs w:val="15"/>
                <w:color w:val="auto"/>
              </w:rPr>
              <w:t>-3</w:t>
            </w:r>
          </w:p>
        </w:tc>
        <w:tc>
          <w:tcPr>
            <w:tcW w:w="700" w:type="dxa"/>
            <w:vAlign w:val="bottom"/>
            <w:tcBorders>
              <w:top w:val="single" w:sz="8" w:color="auto"/>
              <w:right w:val="single" w:sz="8" w:color="auto"/>
            </w:tcBorders>
          </w:tcPr>
          <w:p>
            <w:pPr>
              <w:jc w:val="right"/>
              <w:spacing w:after="0" w:line="159" w:lineRule="exact"/>
              <w:rPr>
                <w:sz w:val="20"/>
                <w:szCs w:val="20"/>
                <w:color w:val="auto"/>
              </w:rPr>
            </w:pPr>
            <w:r>
              <w:rPr>
                <w:rFonts w:ascii="Calibri" w:cs="Calibri" w:eastAsia="Calibri" w:hAnsi="Calibri"/>
                <w:sz w:val="15"/>
                <w:szCs w:val="15"/>
                <w:color w:val="auto"/>
              </w:rPr>
              <w:t>-31</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Borders>
              <w:right w:val="single" w:sz="8" w:color="646464"/>
            </w:tcBorders>
          </w:tcPr>
          <w:p>
            <w:pPr>
              <w:spacing w:after="0"/>
              <w:rPr>
                <w:sz w:val="17"/>
                <w:szCs w:val="17"/>
                <w:color w:val="auto"/>
              </w:rPr>
            </w:pPr>
          </w:p>
        </w:tc>
        <w:tc>
          <w:tcPr>
            <w:tcW w:w="2760" w:type="dxa"/>
            <w:vAlign w:val="bottom"/>
          </w:tcPr>
          <w:p>
            <w:pPr>
              <w:ind w:left="20"/>
              <w:spacing w:after="0"/>
              <w:rPr>
                <w:sz w:val="20"/>
                <w:szCs w:val="20"/>
                <w:color w:val="auto"/>
              </w:rPr>
            </w:pPr>
            <w:r>
              <w:rPr>
                <w:rFonts w:ascii="Calibri" w:cs="Calibri" w:eastAsia="Calibri" w:hAnsi="Calibri"/>
                <w:sz w:val="15"/>
                <w:szCs w:val="15"/>
                <w:color w:val="auto"/>
              </w:rPr>
              <w:t>ATMs</w:t>
            </w:r>
          </w:p>
        </w:tc>
        <w:tc>
          <w:tcPr>
            <w:tcW w:w="620" w:type="dxa"/>
            <w:vAlign w:val="bottom"/>
            <w:tcBorders>
              <w:right w:val="single" w:sz="8" w:color="auto"/>
            </w:tcBorders>
          </w:tcPr>
          <w:p>
            <w:pPr>
              <w:spacing w:after="0"/>
              <w:rPr>
                <w:sz w:val="17"/>
                <w:szCs w:val="17"/>
                <w:color w:val="auto"/>
              </w:rPr>
            </w:pPr>
          </w:p>
        </w:tc>
        <w:tc>
          <w:tcPr>
            <w:tcW w:w="1280" w:type="dxa"/>
            <w:vAlign w:val="bottom"/>
          </w:tcPr>
          <w:p>
            <w:pPr>
              <w:jc w:val="right"/>
              <w:ind w:right="104"/>
              <w:spacing w:after="0"/>
              <w:rPr>
                <w:sz w:val="20"/>
                <w:szCs w:val="20"/>
                <w:color w:val="auto"/>
              </w:rPr>
            </w:pPr>
            <w:r>
              <w:rPr>
                <w:rFonts w:ascii="Calibri" w:cs="Calibri" w:eastAsia="Calibri" w:hAnsi="Calibri"/>
                <w:sz w:val="15"/>
                <w:szCs w:val="15"/>
                <w:color w:val="auto"/>
              </w:rPr>
              <w:t>2,551</w:t>
            </w:r>
          </w:p>
        </w:tc>
        <w:tc>
          <w:tcPr>
            <w:tcW w:w="1120" w:type="dxa"/>
            <w:vAlign w:val="bottom"/>
          </w:tcPr>
          <w:p>
            <w:pPr>
              <w:jc w:val="right"/>
              <w:ind w:right="104"/>
              <w:spacing w:after="0"/>
              <w:rPr>
                <w:sz w:val="20"/>
                <w:szCs w:val="20"/>
                <w:color w:val="auto"/>
              </w:rPr>
            </w:pPr>
            <w:r>
              <w:rPr>
                <w:rFonts w:ascii="Calibri" w:cs="Calibri" w:eastAsia="Calibri" w:hAnsi="Calibri"/>
                <w:sz w:val="15"/>
                <w:szCs w:val="15"/>
                <w:color w:val="auto"/>
              </w:rPr>
              <w:t>2,595</w:t>
            </w:r>
          </w:p>
        </w:tc>
        <w:tc>
          <w:tcPr>
            <w:tcW w:w="9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2,626</w:t>
            </w:r>
          </w:p>
        </w:tc>
        <w:tc>
          <w:tcPr>
            <w:tcW w:w="420" w:type="dxa"/>
            <w:vAlign w:val="bottom"/>
          </w:tcPr>
          <w:p>
            <w:pPr>
              <w:spacing w:after="0"/>
              <w:rPr>
                <w:sz w:val="17"/>
                <w:szCs w:val="17"/>
                <w:color w:val="auto"/>
              </w:rPr>
            </w:pPr>
          </w:p>
        </w:tc>
        <w:tc>
          <w:tcPr>
            <w:tcW w:w="1140" w:type="dxa"/>
            <w:vAlign w:val="bottom"/>
          </w:tcPr>
          <w:p>
            <w:pPr>
              <w:jc w:val="right"/>
              <w:ind w:right="384"/>
              <w:spacing w:after="0"/>
              <w:rPr>
                <w:sz w:val="20"/>
                <w:szCs w:val="20"/>
                <w:color w:val="auto"/>
              </w:rPr>
            </w:pPr>
            <w:r>
              <w:rPr>
                <w:rFonts w:ascii="Calibri" w:cs="Calibri" w:eastAsia="Calibri" w:hAnsi="Calibri"/>
                <w:sz w:val="15"/>
                <w:szCs w:val="15"/>
                <w:color w:val="auto"/>
              </w:rPr>
              <w:t>31</w:t>
            </w:r>
          </w:p>
        </w:tc>
        <w:tc>
          <w:tcPr>
            <w:tcW w:w="70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75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40" w:type="dxa"/>
            <w:vAlign w:val="bottom"/>
            <w:tcBorders>
              <w:right w:val="single" w:sz="8" w:color="646464"/>
            </w:tcBorders>
          </w:tcPr>
          <w:p>
            <w:pPr>
              <w:spacing w:after="0"/>
              <w:rPr>
                <w:sz w:val="20"/>
                <w:szCs w:val="20"/>
                <w:color w:val="auto"/>
              </w:rPr>
            </w:pPr>
          </w:p>
        </w:tc>
        <w:tc>
          <w:tcPr>
            <w:tcW w:w="2760" w:type="dxa"/>
            <w:vAlign w:val="bottom"/>
            <w:tcBorders>
              <w:bottom w:val="single" w:sz="8" w:color="auto"/>
            </w:tcBorders>
          </w:tcPr>
          <w:p>
            <w:pPr>
              <w:ind w:left="20"/>
              <w:spacing w:after="0" w:line="236" w:lineRule="exact"/>
              <w:rPr>
                <w:sz w:val="20"/>
                <w:szCs w:val="20"/>
                <w:color w:val="auto"/>
              </w:rPr>
            </w:pPr>
            <w:r>
              <w:rPr>
                <w:rFonts w:ascii="Calibri" w:cs="Calibri" w:eastAsia="Calibri" w:hAnsi="Calibri"/>
                <w:sz w:val="15"/>
                <w:szCs w:val="15"/>
                <w:color w:val="auto"/>
              </w:rPr>
              <w:t xml:space="preserve">Agentes </w:t>
            </w:r>
            <w:r>
              <w:rPr>
                <w:rFonts w:ascii="Calibri" w:cs="Calibri" w:eastAsia="Calibri" w:hAnsi="Calibri"/>
                <w:sz w:val="25"/>
                <w:szCs w:val="25"/>
                <w:color w:val="auto"/>
                <w:vertAlign w:val="superscript"/>
              </w:rPr>
              <w:t>(2)</w:t>
            </w:r>
          </w:p>
        </w:tc>
        <w:tc>
          <w:tcPr>
            <w:tcW w:w="6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4"/>
              <w:spacing w:after="0"/>
              <w:rPr>
                <w:sz w:val="20"/>
                <w:szCs w:val="20"/>
                <w:color w:val="auto"/>
              </w:rPr>
            </w:pPr>
            <w:r>
              <w:rPr>
                <w:rFonts w:ascii="Calibri" w:cs="Calibri" w:eastAsia="Calibri" w:hAnsi="Calibri"/>
                <w:sz w:val="15"/>
                <w:szCs w:val="15"/>
                <w:color w:val="auto"/>
              </w:rPr>
              <w:t>8,916</w:t>
            </w:r>
          </w:p>
        </w:tc>
        <w:tc>
          <w:tcPr>
            <w:tcW w:w="1120" w:type="dxa"/>
            <w:vAlign w:val="bottom"/>
            <w:tcBorders>
              <w:bottom w:val="single" w:sz="8" w:color="auto"/>
            </w:tcBorders>
          </w:tcPr>
          <w:p>
            <w:pPr>
              <w:jc w:val="right"/>
              <w:ind w:right="104"/>
              <w:spacing w:after="0"/>
              <w:rPr>
                <w:sz w:val="20"/>
                <w:szCs w:val="20"/>
                <w:color w:val="auto"/>
              </w:rPr>
            </w:pPr>
            <w:r>
              <w:rPr>
                <w:rFonts w:ascii="Calibri" w:cs="Calibri" w:eastAsia="Calibri" w:hAnsi="Calibri"/>
                <w:sz w:val="15"/>
                <w:szCs w:val="15"/>
                <w:color w:val="auto"/>
              </w:rPr>
              <w:t>10,935</w:t>
            </w:r>
          </w:p>
        </w:tc>
        <w:tc>
          <w:tcPr>
            <w:tcW w:w="96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5"/>
                <w:szCs w:val="15"/>
                <w:color w:val="auto"/>
              </w:rPr>
              <w:t>11,254</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84"/>
              <w:spacing w:after="0"/>
              <w:rPr>
                <w:sz w:val="20"/>
                <w:szCs w:val="20"/>
                <w:color w:val="auto"/>
              </w:rPr>
            </w:pPr>
            <w:r>
              <w:rPr>
                <w:rFonts w:ascii="Calibri" w:cs="Calibri" w:eastAsia="Calibri" w:hAnsi="Calibri"/>
                <w:sz w:val="15"/>
                <w:szCs w:val="15"/>
                <w:color w:val="auto"/>
              </w:rPr>
              <w:t>319</w:t>
            </w:r>
          </w:p>
        </w:tc>
        <w:tc>
          <w:tcPr>
            <w:tcW w:w="70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5"/>
                <w:szCs w:val="15"/>
                <w:color w:val="auto"/>
              </w:rPr>
              <w:t>2,338</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140" w:type="dxa"/>
            <w:vAlign w:val="bottom"/>
            <w:tcBorders>
              <w:right w:val="single" w:sz="8" w:color="646464"/>
            </w:tcBorders>
          </w:tcPr>
          <w:p>
            <w:pPr>
              <w:spacing w:after="0"/>
              <w:rPr>
                <w:sz w:val="15"/>
                <w:szCs w:val="15"/>
                <w:color w:val="auto"/>
              </w:rPr>
            </w:pPr>
          </w:p>
        </w:tc>
        <w:tc>
          <w:tcPr>
            <w:tcW w:w="2760" w:type="dxa"/>
            <w:vAlign w:val="bottom"/>
          </w:tcPr>
          <w:p>
            <w:pPr>
              <w:ind w:left="20"/>
              <w:spacing w:after="0" w:line="180" w:lineRule="exact"/>
              <w:rPr>
                <w:sz w:val="20"/>
                <w:szCs w:val="20"/>
                <w:color w:val="auto"/>
              </w:rPr>
            </w:pPr>
            <w:r>
              <w:rPr>
                <w:rFonts w:ascii="Calibri" w:cs="Calibri" w:eastAsia="Calibri" w:hAnsi="Calibri"/>
                <w:sz w:val="15"/>
                <w:szCs w:val="15"/>
                <w:b w:val="1"/>
                <w:bCs w:val="1"/>
                <w:color w:val="auto"/>
              </w:rPr>
              <w:t>Total</w:t>
            </w:r>
          </w:p>
        </w:tc>
        <w:tc>
          <w:tcPr>
            <w:tcW w:w="620" w:type="dxa"/>
            <w:vAlign w:val="bottom"/>
            <w:tcBorders>
              <w:right w:val="single" w:sz="8" w:color="auto"/>
            </w:tcBorders>
          </w:tcPr>
          <w:p>
            <w:pPr>
              <w:spacing w:after="0"/>
              <w:rPr>
                <w:sz w:val="15"/>
                <w:szCs w:val="15"/>
                <w:color w:val="auto"/>
              </w:rPr>
            </w:pPr>
          </w:p>
        </w:tc>
        <w:tc>
          <w:tcPr>
            <w:tcW w:w="1280" w:type="dxa"/>
            <w:vAlign w:val="bottom"/>
          </w:tcPr>
          <w:p>
            <w:pPr>
              <w:jc w:val="right"/>
              <w:ind w:right="784"/>
              <w:spacing w:after="0" w:line="180" w:lineRule="exact"/>
              <w:rPr>
                <w:sz w:val="20"/>
                <w:szCs w:val="20"/>
                <w:color w:val="auto"/>
              </w:rPr>
            </w:pPr>
            <w:r>
              <w:rPr>
                <w:rFonts w:ascii="Calibri" w:cs="Calibri" w:eastAsia="Calibri" w:hAnsi="Calibri"/>
                <w:sz w:val="15"/>
                <w:szCs w:val="15"/>
                <w:b w:val="1"/>
                <w:bCs w:val="1"/>
                <w:color w:val="auto"/>
                <w:w w:val="95"/>
              </w:rPr>
              <w:t>12,173</w:t>
            </w:r>
          </w:p>
        </w:tc>
        <w:tc>
          <w:tcPr>
            <w:tcW w:w="1120" w:type="dxa"/>
            <w:vAlign w:val="bottom"/>
          </w:tcPr>
          <w:p>
            <w:pPr>
              <w:jc w:val="right"/>
              <w:ind w:right="104"/>
              <w:spacing w:after="0" w:line="180" w:lineRule="exact"/>
              <w:rPr>
                <w:sz w:val="20"/>
                <w:szCs w:val="20"/>
                <w:color w:val="auto"/>
              </w:rPr>
            </w:pPr>
            <w:r>
              <w:rPr>
                <w:rFonts w:ascii="Calibri" w:cs="Calibri" w:eastAsia="Calibri" w:hAnsi="Calibri"/>
                <w:sz w:val="15"/>
                <w:szCs w:val="15"/>
                <w:b w:val="1"/>
                <w:bCs w:val="1"/>
                <w:color w:val="auto"/>
              </w:rPr>
              <w:t>14,208</w:t>
            </w:r>
          </w:p>
        </w:tc>
        <w:tc>
          <w:tcPr>
            <w:tcW w:w="96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14,555</w:t>
            </w:r>
          </w:p>
        </w:tc>
        <w:tc>
          <w:tcPr>
            <w:tcW w:w="420" w:type="dxa"/>
            <w:vAlign w:val="bottom"/>
          </w:tcPr>
          <w:p>
            <w:pPr>
              <w:spacing w:after="0"/>
              <w:rPr>
                <w:sz w:val="15"/>
                <w:szCs w:val="15"/>
                <w:color w:val="auto"/>
              </w:rPr>
            </w:pPr>
          </w:p>
        </w:tc>
        <w:tc>
          <w:tcPr>
            <w:tcW w:w="1140" w:type="dxa"/>
            <w:vAlign w:val="bottom"/>
          </w:tcPr>
          <w:p>
            <w:pPr>
              <w:jc w:val="right"/>
              <w:ind w:right="384"/>
              <w:spacing w:after="0" w:line="180" w:lineRule="exact"/>
              <w:rPr>
                <w:sz w:val="20"/>
                <w:szCs w:val="20"/>
                <w:color w:val="auto"/>
              </w:rPr>
            </w:pPr>
            <w:r>
              <w:rPr>
                <w:rFonts w:ascii="Calibri" w:cs="Calibri" w:eastAsia="Calibri" w:hAnsi="Calibri"/>
                <w:sz w:val="15"/>
                <w:szCs w:val="15"/>
                <w:b w:val="1"/>
                <w:bCs w:val="1"/>
                <w:color w:val="auto"/>
              </w:rPr>
              <w:t>347</w:t>
            </w:r>
          </w:p>
        </w:tc>
        <w:tc>
          <w:tcPr>
            <w:tcW w:w="70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2,382</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140" w:type="dxa"/>
            <w:vAlign w:val="bottom"/>
            <w:tcBorders>
              <w:right w:val="single" w:sz="8" w:color="646464"/>
            </w:tcBorders>
          </w:tcPr>
          <w:p>
            <w:pPr>
              <w:spacing w:after="0"/>
              <w:rPr>
                <w:sz w:val="2"/>
                <w:szCs w:val="2"/>
                <w:color w:val="auto"/>
              </w:rPr>
            </w:pPr>
          </w:p>
        </w:tc>
        <w:tc>
          <w:tcPr>
            <w:tcW w:w="2760" w:type="dxa"/>
            <w:vAlign w:val="bottom"/>
            <w:tcBorders>
              <w:bottom w:val="single" w:sz="8" w:color="646464"/>
            </w:tcBorders>
          </w:tcPr>
          <w:p>
            <w:pPr>
              <w:spacing w:after="0"/>
              <w:rPr>
                <w:sz w:val="2"/>
                <w:szCs w:val="2"/>
                <w:color w:val="auto"/>
              </w:rPr>
            </w:pPr>
          </w:p>
        </w:tc>
        <w:tc>
          <w:tcPr>
            <w:tcW w:w="620" w:type="dxa"/>
            <w:vAlign w:val="bottom"/>
            <w:tcBorders>
              <w:bottom w:val="single" w:sz="8" w:color="646464"/>
              <w:right w:val="single" w:sz="8" w:color="auto"/>
            </w:tcBorders>
          </w:tcPr>
          <w:p>
            <w:pPr>
              <w:spacing w:after="0"/>
              <w:rPr>
                <w:sz w:val="2"/>
                <w:szCs w:val="2"/>
                <w:color w:val="auto"/>
              </w:rPr>
            </w:pPr>
          </w:p>
        </w:tc>
        <w:tc>
          <w:tcPr>
            <w:tcW w:w="1280" w:type="dxa"/>
            <w:vAlign w:val="bottom"/>
            <w:tcBorders>
              <w:bottom w:val="single" w:sz="8" w:color="646464"/>
            </w:tcBorders>
          </w:tcPr>
          <w:p>
            <w:pPr>
              <w:spacing w:after="0"/>
              <w:rPr>
                <w:sz w:val="2"/>
                <w:szCs w:val="2"/>
                <w:color w:val="auto"/>
              </w:rPr>
            </w:pPr>
          </w:p>
        </w:tc>
        <w:tc>
          <w:tcPr>
            <w:tcW w:w="1120" w:type="dxa"/>
            <w:vAlign w:val="bottom"/>
            <w:tcBorders>
              <w:bottom w:val="single" w:sz="8" w:color="646464"/>
            </w:tcBorders>
          </w:tcPr>
          <w:p>
            <w:pPr>
              <w:spacing w:after="0"/>
              <w:rPr>
                <w:sz w:val="2"/>
                <w:szCs w:val="2"/>
                <w:color w:val="auto"/>
              </w:rPr>
            </w:pPr>
          </w:p>
        </w:tc>
        <w:tc>
          <w:tcPr>
            <w:tcW w:w="960" w:type="dxa"/>
            <w:vAlign w:val="bottom"/>
            <w:tcBorders>
              <w:bottom w:val="single" w:sz="8" w:color="646464"/>
              <w:right w:val="single" w:sz="8" w:color="auto"/>
            </w:tcBorders>
          </w:tcPr>
          <w:p>
            <w:pPr>
              <w:spacing w:after="0"/>
              <w:rPr>
                <w:sz w:val="2"/>
                <w:szCs w:val="2"/>
                <w:color w:val="auto"/>
              </w:rPr>
            </w:pPr>
          </w:p>
        </w:tc>
        <w:tc>
          <w:tcPr>
            <w:tcW w:w="420" w:type="dxa"/>
            <w:vAlign w:val="bottom"/>
            <w:tcBorders>
              <w:bottom w:val="single" w:sz="8" w:color="646464"/>
            </w:tcBorders>
          </w:tcPr>
          <w:p>
            <w:pPr>
              <w:spacing w:after="0"/>
              <w:rPr>
                <w:sz w:val="2"/>
                <w:szCs w:val="2"/>
                <w:color w:val="auto"/>
              </w:rPr>
            </w:pPr>
          </w:p>
        </w:tc>
        <w:tc>
          <w:tcPr>
            <w:tcW w:w="1140" w:type="dxa"/>
            <w:vAlign w:val="bottom"/>
            <w:tcBorders>
              <w:bottom w:val="single" w:sz="8" w:color="646464"/>
            </w:tcBorders>
          </w:tcPr>
          <w:p>
            <w:pPr>
              <w:spacing w:after="0"/>
              <w:rPr>
                <w:sz w:val="2"/>
                <w:szCs w:val="2"/>
                <w:color w:val="auto"/>
              </w:rPr>
            </w:pPr>
          </w:p>
        </w:tc>
        <w:tc>
          <w:tcPr>
            <w:tcW w:w="700" w:type="dxa"/>
            <w:vAlign w:val="bottom"/>
            <w:tcBorders>
              <w:bottom w:val="single" w:sz="8" w:color="646464"/>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220" w:hanging="265"/>
        <w:spacing w:after="0"/>
        <w:tabs>
          <w:tab w:leader="none" w:pos="1220" w:val="left"/>
        </w:tabs>
        <w:numPr>
          <w:ilvl w:val="0"/>
          <w:numId w:val="59"/>
        </w:numPr>
        <w:rPr>
          <w:rFonts w:ascii="Calibri" w:cs="Calibri" w:eastAsia="Calibri" w:hAnsi="Calibri"/>
          <w:sz w:val="10"/>
          <w:szCs w:val="10"/>
          <w:color w:val="auto"/>
        </w:rPr>
      </w:pPr>
      <w:r>
        <w:rPr>
          <w:rFonts w:ascii="Calibri" w:cs="Calibri" w:eastAsia="Calibri" w:hAnsi="Calibri"/>
          <w:sz w:val="10"/>
          <w:szCs w:val="10"/>
          <w:color w:val="auto"/>
        </w:rPr>
        <w:t>Includes Physical Point of Contact of BCP Stand-Alone, Mibanco and BCP Bolivia</w:t>
      </w:r>
    </w:p>
    <w:p>
      <w:pPr>
        <w:spacing w:after="0" w:line="36" w:lineRule="exact"/>
        <w:rPr>
          <w:rFonts w:ascii="Calibri" w:cs="Calibri" w:eastAsia="Calibri" w:hAnsi="Calibri"/>
          <w:sz w:val="10"/>
          <w:szCs w:val="10"/>
          <w:color w:val="auto"/>
        </w:rPr>
      </w:pPr>
    </w:p>
    <w:p>
      <w:pPr>
        <w:ind w:left="1220" w:hanging="265"/>
        <w:spacing w:after="0"/>
        <w:tabs>
          <w:tab w:leader="none" w:pos="1220" w:val="left"/>
        </w:tabs>
        <w:numPr>
          <w:ilvl w:val="0"/>
          <w:numId w:val="59"/>
        </w:numPr>
        <w:rPr>
          <w:rFonts w:ascii="Calibri" w:cs="Calibri" w:eastAsia="Calibri" w:hAnsi="Calibri"/>
          <w:sz w:val="10"/>
          <w:szCs w:val="10"/>
          <w:color w:val="auto"/>
        </w:rPr>
      </w:pPr>
      <w:r>
        <w:rPr>
          <w:rFonts w:ascii="Calibri" w:cs="Calibri" w:eastAsia="Calibri" w:hAnsi="Calibri"/>
          <w:sz w:val="10"/>
          <w:szCs w:val="10"/>
          <w:color w:val="auto"/>
        </w:rPr>
        <w:t>Figures difer from previously reported due to changes in BCP Bolivia agents</w:t>
      </w:r>
    </w:p>
    <w:p>
      <w:pPr>
        <w:spacing w:after="0" w:line="376"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5" w:right="319" w:bottom="1440" w:gutter="0" w:footer="0" w:header="0"/>
        </w:sectPr>
      </w:pPr>
    </w:p>
    <w:bookmarkStart w:id="56" w:name="page57"/>
    <w:bookmarkEnd w:id="56"/>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12.3. Loan Portolio Quality</w:t>
      </w:r>
    </w:p>
    <w:p>
      <w:pPr>
        <w:spacing w:after="0" w:line="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Loan Portolio Quality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1809750</wp:posOffset>
            </wp:positionH>
            <wp:positionV relativeFrom="paragraph">
              <wp:posOffset>87630</wp:posOffset>
            </wp:positionV>
            <wp:extent cx="3522980" cy="1931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522980" cy="193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Government Program (GP) Loan Portolio Quality (in Quarter-end Balances)</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5180" w:type="dxa"/>
            <w:vAlign w:val="bottom"/>
            <w:tcBorders>
              <w:top w:val="single" w:sz="8" w:color="auto"/>
              <w:left w:val="single" w:sz="8" w:color="auto"/>
              <w:right w:val="single" w:sz="8" w:color="auto"/>
            </w:tcBorders>
            <w:shd w:val="clear" w:color="auto" w:fill="2AD2C9"/>
          </w:tcPr>
          <w:p>
            <w:pPr>
              <w:ind w:left="20"/>
              <w:spacing w:after="0" w:line="218" w:lineRule="exact"/>
              <w:rPr>
                <w:sz w:val="20"/>
                <w:szCs w:val="20"/>
                <w:color w:val="auto"/>
              </w:rPr>
            </w:pPr>
            <w:r>
              <w:rPr>
                <w:rFonts w:ascii="Calibri" w:cs="Calibri" w:eastAsia="Calibri" w:hAnsi="Calibri"/>
                <w:sz w:val="15"/>
                <w:szCs w:val="15"/>
                <w:b w:val="1"/>
                <w:bCs w:val="1"/>
                <w:color w:val="FFFFFF"/>
              </w:rPr>
              <w:t xml:space="preserve">GP Portolio quality and Delinquency ratos </w:t>
            </w:r>
            <w:r>
              <w:rPr>
                <w:rFonts w:ascii="Calibri" w:cs="Calibri" w:eastAsia="Calibri" w:hAnsi="Calibri"/>
                <w:sz w:val="23"/>
                <w:szCs w:val="23"/>
                <w:b w:val="1"/>
                <w:bCs w:val="1"/>
                <w:color w:val="FFFFFF"/>
                <w:vertAlign w:val="superscript"/>
              </w:rPr>
              <w:t>(1)</w:t>
            </w:r>
          </w:p>
        </w:tc>
        <w:tc>
          <w:tcPr>
            <w:tcW w:w="1560" w:type="dxa"/>
            <w:vAlign w:val="bottom"/>
            <w:tcBorders>
              <w:top w:val="single" w:sz="8" w:color="auto"/>
            </w:tcBorders>
            <w:shd w:val="clear" w:color="auto" w:fill="2AD2C9"/>
          </w:tcPr>
          <w:p>
            <w:pPr>
              <w:spacing w:after="0"/>
              <w:rPr>
                <w:sz w:val="18"/>
                <w:szCs w:val="18"/>
                <w:color w:val="auto"/>
              </w:rPr>
            </w:pPr>
          </w:p>
        </w:tc>
        <w:tc>
          <w:tcPr>
            <w:tcW w:w="1340" w:type="dxa"/>
            <w:vAlign w:val="bottom"/>
            <w:tcBorders>
              <w:top w:val="single" w:sz="8" w:color="auto"/>
            </w:tcBorders>
            <w:shd w:val="clear" w:color="auto" w:fill="2AD2C9"/>
          </w:tcPr>
          <w:p>
            <w:pPr>
              <w:jc w:val="right"/>
              <w:ind w:right="617"/>
              <w:spacing w:after="0"/>
              <w:rPr>
                <w:sz w:val="20"/>
                <w:szCs w:val="20"/>
                <w:color w:val="auto"/>
              </w:rPr>
            </w:pPr>
            <w:r>
              <w:rPr>
                <w:rFonts w:ascii="Calibri" w:cs="Calibri" w:eastAsia="Calibri" w:hAnsi="Calibri"/>
                <w:sz w:val="17"/>
                <w:szCs w:val="17"/>
                <w:b w:val="1"/>
                <w:bCs w:val="1"/>
                <w:color w:val="FFFFFF"/>
              </w:rPr>
              <w:t>As of</w:t>
            </w:r>
          </w:p>
        </w:tc>
        <w:tc>
          <w:tcPr>
            <w:tcW w:w="1160" w:type="dxa"/>
            <w:vAlign w:val="bottom"/>
            <w:tcBorders>
              <w:top w:val="single" w:sz="8" w:color="auto"/>
              <w:right w:val="single" w:sz="8" w:color="auto"/>
            </w:tcBorders>
            <w:shd w:val="clear" w:color="auto" w:fill="2AD2C9"/>
          </w:tcPr>
          <w:p>
            <w:pPr>
              <w:spacing w:after="0"/>
              <w:rPr>
                <w:sz w:val="18"/>
                <w:szCs w:val="18"/>
                <w:color w:val="auto"/>
              </w:rPr>
            </w:pPr>
          </w:p>
        </w:tc>
        <w:tc>
          <w:tcPr>
            <w:tcW w:w="2020" w:type="dxa"/>
            <w:vAlign w:val="bottom"/>
            <w:tcBorders>
              <w:top w:val="single" w:sz="8" w:color="auto"/>
              <w:right w:val="single" w:sz="8" w:color="auto"/>
            </w:tcBorders>
            <w:gridSpan w:val="2"/>
            <w:shd w:val="clear" w:color="auto" w:fill="2AD2C9"/>
          </w:tcPr>
          <w:p>
            <w:pPr>
              <w:ind w:left="660"/>
              <w:spacing w:after="0"/>
              <w:rPr>
                <w:sz w:val="20"/>
                <w:szCs w:val="20"/>
                <w:color w:val="auto"/>
              </w:rPr>
            </w:pPr>
            <w:r>
              <w:rPr>
                <w:rFonts w:ascii="Calibri" w:cs="Calibri" w:eastAsia="Calibri" w:hAnsi="Calibri"/>
                <w:sz w:val="17"/>
                <w:szCs w:val="17"/>
                <w:b w:val="1"/>
                <w:bCs w:val="1"/>
                <w:color w:val="FFFFFF"/>
              </w:rPr>
              <w:t>% change</w:t>
            </w:r>
          </w:p>
        </w:tc>
      </w:tr>
      <w:tr>
        <w:trPr>
          <w:trHeight w:val="278"/>
        </w:trPr>
        <w:tc>
          <w:tcPr>
            <w:tcW w:w="5180" w:type="dxa"/>
            <w:vAlign w:val="bottom"/>
            <w:tcBorders>
              <w:left w:val="single" w:sz="8" w:color="auto"/>
              <w:bottom w:val="single" w:sz="8" w:color="2AD2C9"/>
              <w:right w:val="single" w:sz="8" w:color="auto"/>
            </w:tcBorders>
            <w:shd w:val="clear" w:color="auto" w:fill="2AD2C9"/>
          </w:tcPr>
          <w:p>
            <w:pPr>
              <w:ind w:left="20"/>
              <w:spacing w:after="0" w:line="197" w:lineRule="exact"/>
              <w:rPr>
                <w:sz w:val="20"/>
                <w:szCs w:val="20"/>
                <w:color w:val="auto"/>
              </w:rPr>
            </w:pPr>
            <w:r>
              <w:rPr>
                <w:rFonts w:ascii="Calibri" w:cs="Calibri" w:eastAsia="Calibri" w:hAnsi="Calibri"/>
                <w:sz w:val="17"/>
                <w:szCs w:val="17"/>
                <w:b w:val="1"/>
                <w:bCs w:val="1"/>
                <w:color w:val="FFFFFF"/>
              </w:rPr>
              <w:t>S/000</w:t>
            </w:r>
          </w:p>
        </w:tc>
        <w:tc>
          <w:tcPr>
            <w:tcW w:w="1560" w:type="dxa"/>
            <w:vAlign w:val="bottom"/>
            <w:tcBorders>
              <w:bottom w:val="single" w:sz="8" w:color="2AD2C9"/>
            </w:tcBorders>
            <w:shd w:val="clear" w:color="auto" w:fill="2AD2C9"/>
          </w:tcPr>
          <w:p>
            <w:pPr>
              <w:jc w:val="right"/>
              <w:ind w:right="557"/>
              <w:spacing w:after="0"/>
              <w:rPr>
                <w:sz w:val="20"/>
                <w:szCs w:val="20"/>
                <w:color w:val="auto"/>
              </w:rPr>
            </w:pPr>
            <w:r>
              <w:rPr>
                <w:rFonts w:ascii="Calibri" w:cs="Calibri" w:eastAsia="Calibri" w:hAnsi="Calibri"/>
                <w:sz w:val="17"/>
                <w:szCs w:val="17"/>
                <w:b w:val="1"/>
                <w:bCs w:val="1"/>
                <w:color w:val="FFFFFF"/>
              </w:rPr>
              <w:t>Mar 22</w:t>
            </w:r>
          </w:p>
        </w:tc>
        <w:tc>
          <w:tcPr>
            <w:tcW w:w="1340" w:type="dxa"/>
            <w:vAlign w:val="bottom"/>
            <w:tcBorders>
              <w:bottom w:val="single" w:sz="8" w:color="2AD2C9"/>
            </w:tcBorders>
            <w:shd w:val="clear" w:color="auto" w:fill="2AD2C9"/>
          </w:tcPr>
          <w:p>
            <w:pPr>
              <w:jc w:val="right"/>
              <w:ind w:right="557"/>
              <w:spacing w:after="0"/>
              <w:rPr>
                <w:sz w:val="20"/>
                <w:szCs w:val="20"/>
                <w:color w:val="auto"/>
              </w:rPr>
            </w:pPr>
            <w:r>
              <w:rPr>
                <w:rFonts w:ascii="Calibri" w:cs="Calibri" w:eastAsia="Calibri" w:hAnsi="Calibri"/>
                <w:sz w:val="17"/>
                <w:szCs w:val="17"/>
                <w:b w:val="1"/>
                <w:bCs w:val="1"/>
                <w:color w:val="FFFFFF"/>
              </w:rPr>
              <w:t>Dec 22</w:t>
            </w:r>
          </w:p>
        </w:tc>
        <w:tc>
          <w:tcPr>
            <w:tcW w:w="1160" w:type="dxa"/>
            <w:vAlign w:val="bottom"/>
            <w:tcBorders>
              <w:bottom w:val="single" w:sz="8" w:color="2AD2C9"/>
              <w:right w:val="single" w:sz="8" w:color="auto"/>
            </w:tcBorders>
            <w:shd w:val="clear" w:color="auto" w:fill="2AD2C9"/>
          </w:tcPr>
          <w:p>
            <w:pPr>
              <w:jc w:val="right"/>
              <w:ind w:right="357"/>
              <w:spacing w:after="0"/>
              <w:rPr>
                <w:sz w:val="20"/>
                <w:szCs w:val="20"/>
                <w:color w:val="auto"/>
              </w:rPr>
            </w:pPr>
            <w:r>
              <w:rPr>
                <w:rFonts w:ascii="Calibri" w:cs="Calibri" w:eastAsia="Calibri" w:hAnsi="Calibri"/>
                <w:sz w:val="17"/>
                <w:szCs w:val="17"/>
                <w:b w:val="1"/>
                <w:bCs w:val="1"/>
                <w:color w:val="FFFFFF"/>
              </w:rPr>
              <w:t>Mar 23</w:t>
            </w:r>
          </w:p>
        </w:tc>
        <w:tc>
          <w:tcPr>
            <w:tcW w:w="980" w:type="dxa"/>
            <w:vAlign w:val="bottom"/>
            <w:tcBorders>
              <w:bottom w:val="single" w:sz="8" w:color="2AD2C9"/>
            </w:tcBorders>
            <w:shd w:val="clear" w:color="auto" w:fill="2AD2C9"/>
          </w:tcPr>
          <w:p>
            <w:pPr>
              <w:jc w:val="center"/>
              <w:spacing w:after="0"/>
              <w:rPr>
                <w:sz w:val="20"/>
                <w:szCs w:val="20"/>
                <w:color w:val="auto"/>
              </w:rPr>
            </w:pPr>
            <w:r>
              <w:rPr>
                <w:rFonts w:ascii="Calibri" w:cs="Calibri" w:eastAsia="Calibri" w:hAnsi="Calibri"/>
                <w:sz w:val="17"/>
                <w:szCs w:val="17"/>
                <w:b w:val="1"/>
                <w:bCs w:val="1"/>
                <w:color w:val="FFFFFF"/>
                <w:w w:val="98"/>
              </w:rPr>
              <w:t>QoQ</w:t>
            </w:r>
          </w:p>
        </w:tc>
        <w:tc>
          <w:tcPr>
            <w:tcW w:w="1040" w:type="dxa"/>
            <w:vAlign w:val="bottom"/>
            <w:tcBorders>
              <w:bottom w:val="single" w:sz="8" w:color="2AD2C9"/>
              <w:right w:val="single" w:sz="8" w:color="auto"/>
            </w:tcBorders>
            <w:shd w:val="clear" w:color="auto" w:fill="2AD2C9"/>
          </w:tcPr>
          <w:p>
            <w:pPr>
              <w:jc w:val="center"/>
              <w:spacing w:after="0"/>
              <w:rPr>
                <w:sz w:val="20"/>
                <w:szCs w:val="20"/>
                <w:color w:val="auto"/>
              </w:rPr>
            </w:pPr>
            <w:r>
              <w:rPr>
                <w:rFonts w:ascii="Calibri" w:cs="Calibri" w:eastAsia="Calibri" w:hAnsi="Calibri"/>
                <w:sz w:val="17"/>
                <w:szCs w:val="17"/>
                <w:b w:val="1"/>
                <w:bCs w:val="1"/>
                <w:color w:val="FFFFFF"/>
                <w:w w:val="96"/>
              </w:rPr>
              <w:t>YoY</w:t>
            </w:r>
          </w:p>
        </w:tc>
      </w:tr>
      <w:tr>
        <w:trPr>
          <w:trHeight w:val="197"/>
        </w:trPr>
        <w:tc>
          <w:tcPr>
            <w:tcW w:w="5180" w:type="dxa"/>
            <w:vAlign w:val="bottom"/>
            <w:tcBorders>
              <w:top w:val="single" w:sz="8" w:color="auto"/>
              <w:left w:val="single" w:sz="8" w:color="auto"/>
              <w:right w:val="single" w:sz="8" w:color="auto"/>
            </w:tcBorders>
          </w:tcPr>
          <w:p>
            <w:pPr>
              <w:ind w:left="20"/>
              <w:spacing w:after="0" w:line="197" w:lineRule="exact"/>
              <w:rPr>
                <w:sz w:val="20"/>
                <w:szCs w:val="20"/>
                <w:color w:val="auto"/>
              </w:rPr>
            </w:pPr>
            <w:r>
              <w:rPr>
                <w:rFonts w:ascii="Calibri" w:cs="Calibri" w:eastAsia="Calibri" w:hAnsi="Calibri"/>
                <w:sz w:val="17"/>
                <w:szCs w:val="17"/>
                <w:b w:val="1"/>
                <w:bCs w:val="1"/>
                <w:color w:val="auto"/>
              </w:rPr>
              <w:t>Total loans (Quarter-end balance)</w:t>
            </w:r>
          </w:p>
        </w:tc>
        <w:tc>
          <w:tcPr>
            <w:tcW w:w="1560" w:type="dxa"/>
            <w:vAlign w:val="bottom"/>
            <w:tcBorders>
              <w:top w:val="single" w:sz="8" w:color="auto"/>
            </w:tcBorders>
          </w:tcPr>
          <w:p>
            <w:pPr>
              <w:jc w:val="right"/>
              <w:ind w:right="137"/>
              <w:spacing w:after="0" w:line="197" w:lineRule="exact"/>
              <w:rPr>
                <w:sz w:val="20"/>
                <w:szCs w:val="20"/>
                <w:color w:val="auto"/>
              </w:rPr>
            </w:pPr>
            <w:r>
              <w:rPr>
                <w:rFonts w:ascii="Calibri" w:cs="Calibri" w:eastAsia="Calibri" w:hAnsi="Calibri"/>
                <w:sz w:val="17"/>
                <w:szCs w:val="17"/>
                <w:b w:val="1"/>
                <w:bCs w:val="1"/>
                <w:color w:val="auto"/>
              </w:rPr>
              <w:t>17,036,408</w:t>
            </w:r>
          </w:p>
        </w:tc>
        <w:tc>
          <w:tcPr>
            <w:tcW w:w="1340" w:type="dxa"/>
            <w:vAlign w:val="bottom"/>
            <w:tcBorders>
              <w:top w:val="single" w:sz="8" w:color="auto"/>
            </w:tcBorders>
          </w:tcPr>
          <w:p>
            <w:pPr>
              <w:jc w:val="right"/>
              <w:ind w:right="137"/>
              <w:spacing w:after="0" w:line="197" w:lineRule="exact"/>
              <w:rPr>
                <w:sz w:val="20"/>
                <w:szCs w:val="20"/>
                <w:color w:val="auto"/>
              </w:rPr>
            </w:pPr>
            <w:r>
              <w:rPr>
                <w:rFonts w:ascii="Calibri" w:cs="Calibri" w:eastAsia="Calibri" w:hAnsi="Calibri"/>
                <w:sz w:val="17"/>
                <w:szCs w:val="17"/>
                <w:b w:val="1"/>
                <w:bCs w:val="1"/>
                <w:color w:val="auto"/>
              </w:rPr>
              <w:t>9,511,132</w:t>
            </w:r>
          </w:p>
        </w:tc>
        <w:tc>
          <w:tcPr>
            <w:tcW w:w="1160" w:type="dxa"/>
            <w:vAlign w:val="bottom"/>
            <w:tcBorders>
              <w:top w:val="single" w:sz="8" w:color="auto"/>
              <w:right w:val="single" w:sz="8" w:color="auto"/>
            </w:tcBorders>
          </w:tcPr>
          <w:p>
            <w:pPr>
              <w:jc w:val="right"/>
              <w:spacing w:after="0" w:line="197" w:lineRule="exact"/>
              <w:rPr>
                <w:sz w:val="20"/>
                <w:szCs w:val="20"/>
                <w:color w:val="auto"/>
              </w:rPr>
            </w:pPr>
            <w:r>
              <w:rPr>
                <w:rFonts w:ascii="Calibri" w:cs="Calibri" w:eastAsia="Calibri" w:hAnsi="Calibri"/>
                <w:sz w:val="17"/>
                <w:szCs w:val="17"/>
                <w:b w:val="1"/>
                <w:bCs w:val="1"/>
                <w:color w:val="auto"/>
              </w:rPr>
              <w:t>7,092,370</w:t>
            </w:r>
          </w:p>
        </w:tc>
        <w:tc>
          <w:tcPr>
            <w:tcW w:w="980" w:type="dxa"/>
            <w:vAlign w:val="bottom"/>
            <w:tcBorders>
              <w:top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-25.4%</w:t>
            </w:r>
          </w:p>
        </w:tc>
        <w:tc>
          <w:tcPr>
            <w:tcW w:w="1040" w:type="dxa"/>
            <w:vAlign w:val="bottom"/>
            <w:tcBorders>
              <w:top w:val="single" w:sz="8" w:color="auto"/>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9"/>
              </w:rPr>
              <w:t>-58.4%</w:t>
            </w:r>
          </w:p>
        </w:tc>
      </w:tr>
      <w:tr>
        <w:trPr>
          <w:trHeight w:val="33"/>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197"/>
        </w:trPr>
        <w:tc>
          <w:tcPr>
            <w:tcW w:w="5180" w:type="dxa"/>
            <w:vAlign w:val="bottom"/>
            <w:tcBorders>
              <w:left w:val="single" w:sz="8" w:color="auto"/>
              <w:right w:val="single" w:sz="8" w:color="auto"/>
            </w:tcBorders>
          </w:tcPr>
          <w:p>
            <w:pPr>
              <w:ind w:left="20"/>
              <w:spacing w:after="0" w:line="197" w:lineRule="exact"/>
              <w:rPr>
                <w:sz w:val="20"/>
                <w:szCs w:val="20"/>
                <w:color w:val="auto"/>
              </w:rPr>
            </w:pPr>
            <w:r>
              <w:rPr>
                <w:rFonts w:ascii="Calibri" w:cs="Calibri" w:eastAsia="Calibri" w:hAnsi="Calibri"/>
                <w:sz w:val="17"/>
                <w:szCs w:val="17"/>
                <w:color w:val="auto"/>
              </w:rPr>
              <w:t>Allowance for loan losses</w:t>
            </w:r>
          </w:p>
        </w:tc>
        <w:tc>
          <w:tcPr>
            <w:tcW w:w="1560" w:type="dxa"/>
            <w:vAlign w:val="bottom"/>
          </w:tcPr>
          <w:p>
            <w:pPr>
              <w:jc w:val="right"/>
              <w:ind w:right="137"/>
              <w:spacing w:after="0" w:line="197" w:lineRule="exact"/>
              <w:rPr>
                <w:sz w:val="20"/>
                <w:szCs w:val="20"/>
                <w:color w:val="auto"/>
              </w:rPr>
            </w:pPr>
            <w:r>
              <w:rPr>
                <w:rFonts w:ascii="Calibri" w:cs="Calibri" w:eastAsia="Calibri" w:hAnsi="Calibri"/>
                <w:sz w:val="17"/>
                <w:szCs w:val="17"/>
                <w:color w:val="auto"/>
              </w:rPr>
              <w:t>200,713</w:t>
            </w:r>
          </w:p>
        </w:tc>
        <w:tc>
          <w:tcPr>
            <w:tcW w:w="1340" w:type="dxa"/>
            <w:vAlign w:val="bottom"/>
          </w:tcPr>
          <w:p>
            <w:pPr>
              <w:jc w:val="right"/>
              <w:ind w:right="137"/>
              <w:spacing w:after="0" w:line="197" w:lineRule="exact"/>
              <w:rPr>
                <w:sz w:val="20"/>
                <w:szCs w:val="20"/>
                <w:color w:val="auto"/>
              </w:rPr>
            </w:pPr>
            <w:r>
              <w:rPr>
                <w:rFonts w:ascii="Calibri" w:cs="Calibri" w:eastAsia="Calibri" w:hAnsi="Calibri"/>
                <w:sz w:val="17"/>
                <w:szCs w:val="17"/>
                <w:color w:val="auto"/>
              </w:rPr>
              <w:t>138,827</w:t>
            </w:r>
          </w:p>
        </w:tc>
        <w:tc>
          <w:tcPr>
            <w:tcW w:w="1160" w:type="dxa"/>
            <w:vAlign w:val="bottom"/>
            <w:tcBorders>
              <w:right w:val="single" w:sz="8" w:color="auto"/>
            </w:tcBorders>
          </w:tcPr>
          <w:p>
            <w:pPr>
              <w:jc w:val="right"/>
              <w:spacing w:after="0" w:line="197" w:lineRule="exact"/>
              <w:rPr>
                <w:sz w:val="20"/>
                <w:szCs w:val="20"/>
                <w:color w:val="auto"/>
              </w:rPr>
            </w:pPr>
            <w:r>
              <w:rPr>
                <w:rFonts w:ascii="Calibri" w:cs="Calibri" w:eastAsia="Calibri" w:hAnsi="Calibri"/>
                <w:sz w:val="17"/>
                <w:szCs w:val="17"/>
                <w:color w:val="auto"/>
              </w:rPr>
              <w:t>135,849</w:t>
            </w:r>
          </w:p>
        </w:tc>
        <w:tc>
          <w:tcPr>
            <w:tcW w:w="980" w:type="dxa"/>
            <w:vAlign w:val="bottom"/>
          </w:tcPr>
          <w:p>
            <w:pPr>
              <w:jc w:val="center"/>
              <w:spacing w:after="0" w:line="197" w:lineRule="exact"/>
              <w:rPr>
                <w:sz w:val="20"/>
                <w:szCs w:val="20"/>
                <w:color w:val="auto"/>
              </w:rPr>
            </w:pPr>
            <w:r>
              <w:rPr>
                <w:rFonts w:ascii="Calibri" w:cs="Calibri" w:eastAsia="Calibri" w:hAnsi="Calibri"/>
                <w:sz w:val="17"/>
                <w:szCs w:val="17"/>
                <w:color w:val="auto"/>
                <w:w w:val="97"/>
              </w:rPr>
              <w:t>-2.1%</w:t>
            </w:r>
          </w:p>
        </w:tc>
        <w:tc>
          <w:tcPr>
            <w:tcW w:w="10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-32.3%</w:t>
            </w:r>
          </w:p>
        </w:tc>
      </w:tr>
      <w:tr>
        <w:trPr>
          <w:trHeight w:val="33"/>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197"/>
        </w:trPr>
        <w:tc>
          <w:tcPr>
            <w:tcW w:w="5180" w:type="dxa"/>
            <w:vAlign w:val="bottom"/>
            <w:tcBorders>
              <w:left w:val="single" w:sz="8" w:color="auto"/>
              <w:right w:val="single" w:sz="8" w:color="auto"/>
            </w:tcBorders>
          </w:tcPr>
          <w:p>
            <w:pPr>
              <w:ind w:left="20"/>
              <w:spacing w:after="0" w:line="197" w:lineRule="exact"/>
              <w:rPr>
                <w:sz w:val="20"/>
                <w:szCs w:val="20"/>
                <w:color w:val="auto"/>
              </w:rPr>
            </w:pPr>
            <w:r>
              <w:rPr>
                <w:rFonts w:ascii="Calibri" w:cs="Calibri" w:eastAsia="Calibri" w:hAnsi="Calibri"/>
                <w:sz w:val="17"/>
                <w:szCs w:val="17"/>
                <w:color w:val="auto"/>
              </w:rPr>
              <w:t>IOLs</w:t>
            </w:r>
          </w:p>
        </w:tc>
        <w:tc>
          <w:tcPr>
            <w:tcW w:w="1560" w:type="dxa"/>
            <w:vAlign w:val="bottom"/>
          </w:tcPr>
          <w:p>
            <w:pPr>
              <w:jc w:val="right"/>
              <w:ind w:right="137"/>
              <w:spacing w:after="0" w:line="197" w:lineRule="exact"/>
              <w:rPr>
                <w:sz w:val="20"/>
                <w:szCs w:val="20"/>
                <w:color w:val="auto"/>
              </w:rPr>
            </w:pPr>
            <w:r>
              <w:rPr>
                <w:rFonts w:ascii="Calibri" w:cs="Calibri" w:eastAsia="Calibri" w:hAnsi="Calibri"/>
                <w:sz w:val="17"/>
                <w:szCs w:val="17"/>
                <w:color w:val="auto"/>
              </w:rPr>
              <w:t>1,022,808</w:t>
            </w:r>
          </w:p>
        </w:tc>
        <w:tc>
          <w:tcPr>
            <w:tcW w:w="1340" w:type="dxa"/>
            <w:vAlign w:val="bottom"/>
          </w:tcPr>
          <w:p>
            <w:pPr>
              <w:jc w:val="right"/>
              <w:ind w:right="137"/>
              <w:spacing w:after="0" w:line="197" w:lineRule="exact"/>
              <w:rPr>
                <w:sz w:val="20"/>
                <w:szCs w:val="20"/>
                <w:color w:val="auto"/>
              </w:rPr>
            </w:pPr>
            <w:r>
              <w:rPr>
                <w:rFonts w:ascii="Calibri" w:cs="Calibri" w:eastAsia="Calibri" w:hAnsi="Calibri"/>
                <w:sz w:val="17"/>
                <w:szCs w:val="17"/>
                <w:color w:val="auto"/>
              </w:rPr>
              <w:t>1,148,499</w:t>
            </w:r>
          </w:p>
        </w:tc>
        <w:tc>
          <w:tcPr>
            <w:tcW w:w="1160" w:type="dxa"/>
            <w:vAlign w:val="bottom"/>
            <w:tcBorders>
              <w:right w:val="single" w:sz="8" w:color="auto"/>
            </w:tcBorders>
          </w:tcPr>
          <w:p>
            <w:pPr>
              <w:jc w:val="right"/>
              <w:spacing w:after="0" w:line="197" w:lineRule="exact"/>
              <w:rPr>
                <w:sz w:val="20"/>
                <w:szCs w:val="20"/>
                <w:color w:val="auto"/>
              </w:rPr>
            </w:pPr>
            <w:r>
              <w:rPr>
                <w:rFonts w:ascii="Calibri" w:cs="Calibri" w:eastAsia="Calibri" w:hAnsi="Calibri"/>
                <w:sz w:val="17"/>
                <w:szCs w:val="17"/>
                <w:color w:val="auto"/>
              </w:rPr>
              <w:t>837,389</w:t>
            </w:r>
          </w:p>
        </w:tc>
        <w:tc>
          <w:tcPr>
            <w:tcW w:w="980" w:type="dxa"/>
            <w:vAlign w:val="bottom"/>
          </w:tcPr>
          <w:p>
            <w:pPr>
              <w:jc w:val="center"/>
              <w:spacing w:after="0" w:line="197" w:lineRule="exact"/>
              <w:rPr>
                <w:sz w:val="20"/>
                <w:szCs w:val="20"/>
                <w:color w:val="auto"/>
              </w:rPr>
            </w:pPr>
            <w:r>
              <w:rPr>
                <w:rFonts w:ascii="Calibri" w:cs="Calibri" w:eastAsia="Calibri" w:hAnsi="Calibri"/>
                <w:sz w:val="17"/>
                <w:szCs w:val="17"/>
                <w:color w:val="auto"/>
              </w:rPr>
              <w:t>-27.1%</w:t>
            </w:r>
          </w:p>
        </w:tc>
        <w:tc>
          <w:tcPr>
            <w:tcW w:w="10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-0.18</w:t>
            </w:r>
          </w:p>
        </w:tc>
      </w:tr>
      <w:tr>
        <w:trPr>
          <w:trHeight w:val="33"/>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197"/>
        </w:trPr>
        <w:tc>
          <w:tcPr>
            <w:tcW w:w="5180" w:type="dxa"/>
            <w:vAlign w:val="bottom"/>
            <w:tcBorders>
              <w:left w:val="single" w:sz="8" w:color="auto"/>
              <w:right w:val="single" w:sz="8" w:color="auto"/>
            </w:tcBorders>
          </w:tcPr>
          <w:p>
            <w:pPr>
              <w:ind w:left="20"/>
              <w:spacing w:after="0" w:line="197" w:lineRule="exact"/>
              <w:rPr>
                <w:sz w:val="20"/>
                <w:szCs w:val="20"/>
                <w:color w:val="auto"/>
              </w:rPr>
            </w:pPr>
            <w:r>
              <w:rPr>
                <w:rFonts w:ascii="Calibri" w:cs="Calibri" w:eastAsia="Calibri" w:hAnsi="Calibri"/>
                <w:sz w:val="17"/>
                <w:szCs w:val="17"/>
                <w:b w:val="1"/>
                <w:bCs w:val="1"/>
                <w:color w:val="auto"/>
              </w:rPr>
              <w:t>IOL rato</w:t>
            </w:r>
          </w:p>
        </w:tc>
        <w:tc>
          <w:tcPr>
            <w:tcW w:w="1560" w:type="dxa"/>
            <w:vAlign w:val="bottom"/>
          </w:tcPr>
          <w:p>
            <w:pPr>
              <w:jc w:val="center"/>
              <w:ind w:right="137"/>
              <w:spacing w:after="0" w:line="197" w:lineRule="exact"/>
              <w:rPr>
                <w:sz w:val="20"/>
                <w:szCs w:val="20"/>
                <w:color w:val="auto"/>
              </w:rPr>
            </w:pPr>
            <w:r>
              <w:rPr>
                <w:rFonts w:ascii="Calibri" w:cs="Calibri" w:eastAsia="Calibri" w:hAnsi="Calibri"/>
                <w:sz w:val="17"/>
                <w:szCs w:val="17"/>
                <w:b w:val="1"/>
                <w:bCs w:val="1"/>
                <w:color w:val="auto"/>
                <w:w w:val="98"/>
              </w:rPr>
              <w:t>6.00%</w:t>
            </w:r>
          </w:p>
        </w:tc>
        <w:tc>
          <w:tcPr>
            <w:tcW w:w="1340" w:type="dxa"/>
            <w:vAlign w:val="bottom"/>
          </w:tcPr>
          <w:p>
            <w:pPr>
              <w:jc w:val="right"/>
              <w:ind w:right="137"/>
              <w:spacing w:after="0" w:line="197" w:lineRule="exact"/>
              <w:rPr>
                <w:sz w:val="20"/>
                <w:szCs w:val="20"/>
                <w:color w:val="auto"/>
              </w:rPr>
            </w:pPr>
            <w:r>
              <w:rPr>
                <w:rFonts w:ascii="Calibri" w:cs="Calibri" w:eastAsia="Calibri" w:hAnsi="Calibri"/>
                <w:sz w:val="17"/>
                <w:szCs w:val="17"/>
                <w:b w:val="1"/>
                <w:bCs w:val="1"/>
                <w:color w:val="auto"/>
              </w:rPr>
              <w:t>12.08%</w:t>
            </w:r>
          </w:p>
        </w:tc>
        <w:tc>
          <w:tcPr>
            <w:tcW w:w="1160" w:type="dxa"/>
            <w:vAlign w:val="bottom"/>
            <w:tcBorders>
              <w:right w:val="single" w:sz="8" w:color="auto"/>
            </w:tcBorders>
          </w:tcPr>
          <w:p>
            <w:pPr>
              <w:jc w:val="right"/>
              <w:spacing w:after="0" w:line="197" w:lineRule="exact"/>
              <w:rPr>
                <w:sz w:val="20"/>
                <w:szCs w:val="20"/>
                <w:color w:val="auto"/>
              </w:rPr>
            </w:pPr>
            <w:r>
              <w:rPr>
                <w:rFonts w:ascii="Calibri" w:cs="Calibri" w:eastAsia="Calibri" w:hAnsi="Calibri"/>
                <w:sz w:val="17"/>
                <w:szCs w:val="17"/>
                <w:b w:val="1"/>
                <w:bCs w:val="1"/>
                <w:color w:val="auto"/>
              </w:rPr>
              <w:t>11.81%</w:t>
            </w:r>
          </w:p>
        </w:tc>
        <w:tc>
          <w:tcPr>
            <w:tcW w:w="980" w:type="dxa"/>
            <w:vAlign w:val="bottom"/>
          </w:tcPr>
          <w:p>
            <w:pPr>
              <w:jc w:val="center"/>
              <w:spacing w:after="0" w:line="197" w:lineRule="exact"/>
              <w:rPr>
                <w:sz w:val="20"/>
                <w:szCs w:val="20"/>
                <w:color w:val="auto"/>
              </w:rPr>
            </w:pPr>
            <w:r>
              <w:rPr>
                <w:rFonts w:ascii="Calibri" w:cs="Calibri" w:eastAsia="Calibri" w:hAnsi="Calibri"/>
                <w:sz w:val="17"/>
                <w:szCs w:val="17"/>
                <w:color w:val="auto"/>
                <w:w w:val="98"/>
              </w:rPr>
              <w:t>-27 bps</w:t>
            </w:r>
          </w:p>
        </w:tc>
        <w:tc>
          <w:tcPr>
            <w:tcW w:w="10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9"/>
              </w:rPr>
              <w:t>581 bps</w:t>
            </w:r>
          </w:p>
        </w:tc>
      </w:tr>
      <w:tr>
        <w:trPr>
          <w:trHeight w:val="218"/>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Allowance for loan losses over GP Total loans</w:t>
            </w:r>
          </w:p>
        </w:tc>
        <w:tc>
          <w:tcPr>
            <w:tcW w:w="1560" w:type="dxa"/>
            <w:vAlign w:val="bottom"/>
          </w:tcPr>
          <w:p>
            <w:pPr>
              <w:jc w:val="center"/>
              <w:ind w:right="137"/>
              <w:spacing w:after="0"/>
              <w:rPr>
                <w:sz w:val="20"/>
                <w:szCs w:val="20"/>
                <w:color w:val="auto"/>
              </w:rPr>
            </w:pPr>
            <w:r>
              <w:rPr>
                <w:rFonts w:ascii="Calibri" w:cs="Calibri" w:eastAsia="Calibri" w:hAnsi="Calibri"/>
                <w:sz w:val="17"/>
                <w:szCs w:val="17"/>
                <w:b w:val="1"/>
                <w:bCs w:val="1"/>
                <w:color w:val="auto"/>
                <w:w w:val="99"/>
              </w:rPr>
              <w:t>1.2%</w:t>
            </w:r>
          </w:p>
        </w:tc>
        <w:tc>
          <w:tcPr>
            <w:tcW w:w="1340" w:type="dxa"/>
            <w:vAlign w:val="bottom"/>
          </w:tcPr>
          <w:p>
            <w:pPr>
              <w:jc w:val="right"/>
              <w:ind w:right="137"/>
              <w:spacing w:after="0"/>
              <w:rPr>
                <w:sz w:val="20"/>
                <w:szCs w:val="20"/>
                <w:color w:val="auto"/>
              </w:rPr>
            </w:pPr>
            <w:r>
              <w:rPr>
                <w:rFonts w:ascii="Calibri" w:cs="Calibri" w:eastAsia="Calibri" w:hAnsi="Calibri"/>
                <w:sz w:val="17"/>
                <w:szCs w:val="17"/>
                <w:b w:val="1"/>
                <w:bCs w:val="1"/>
                <w:color w:val="auto"/>
              </w:rPr>
              <w:t>1.5%</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b w:val="1"/>
                <w:bCs w:val="1"/>
                <w:color w:val="auto"/>
              </w:rPr>
              <w:t>1.9%</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46 bps</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74 bps</w:t>
            </w:r>
          </w:p>
        </w:tc>
      </w:tr>
      <w:tr>
        <w:trPr>
          <w:trHeight w:val="227"/>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color w:val="auto"/>
              </w:rPr>
              <w:t>Coverage rato of IOLs</w:t>
            </w:r>
          </w:p>
        </w:tc>
        <w:tc>
          <w:tcPr>
            <w:tcW w:w="1560" w:type="dxa"/>
            <w:vAlign w:val="bottom"/>
          </w:tcPr>
          <w:p>
            <w:pPr>
              <w:jc w:val="center"/>
              <w:ind w:right="137"/>
              <w:spacing w:after="0"/>
              <w:rPr>
                <w:sz w:val="20"/>
                <w:szCs w:val="20"/>
                <w:color w:val="auto"/>
              </w:rPr>
            </w:pPr>
            <w:r>
              <w:rPr>
                <w:rFonts w:ascii="Calibri" w:cs="Calibri" w:eastAsia="Calibri" w:hAnsi="Calibri"/>
                <w:sz w:val="17"/>
                <w:szCs w:val="17"/>
                <w:color w:val="auto"/>
                <w:w w:val="99"/>
              </w:rPr>
              <w:t>19.6%</w:t>
            </w:r>
          </w:p>
        </w:tc>
        <w:tc>
          <w:tcPr>
            <w:tcW w:w="1340" w:type="dxa"/>
            <w:vAlign w:val="bottom"/>
          </w:tcPr>
          <w:p>
            <w:pPr>
              <w:jc w:val="right"/>
              <w:ind w:right="137"/>
              <w:spacing w:after="0"/>
              <w:rPr>
                <w:sz w:val="20"/>
                <w:szCs w:val="20"/>
                <w:color w:val="auto"/>
              </w:rPr>
            </w:pPr>
            <w:r>
              <w:rPr>
                <w:rFonts w:ascii="Calibri" w:cs="Calibri" w:eastAsia="Calibri" w:hAnsi="Calibri"/>
                <w:sz w:val="17"/>
                <w:szCs w:val="17"/>
                <w:color w:val="auto"/>
              </w:rPr>
              <w:t>12.1%</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7"/>
                <w:szCs w:val="17"/>
                <w:color w:val="auto"/>
              </w:rPr>
              <w:t>16.2%</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9"/>
              </w:rPr>
              <w:t>413 bps</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-340 bps</w:t>
            </w:r>
          </w:p>
        </w:tc>
      </w:tr>
      <w:tr>
        <w:trPr>
          <w:trHeight w:val="42"/>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bl>
    <w:p>
      <w:pPr>
        <w:spacing w:after="0" w:line="95" w:lineRule="exact"/>
        <w:rPr>
          <w:sz w:val="20"/>
          <w:szCs w:val="20"/>
          <w:color w:val="auto"/>
        </w:rPr>
      </w:pPr>
    </w:p>
    <w:p>
      <w:pPr>
        <w:spacing w:after="0"/>
        <w:rPr>
          <w:sz w:val="20"/>
          <w:szCs w:val="20"/>
          <w:color w:val="auto"/>
        </w:rPr>
      </w:pPr>
      <w:r>
        <w:rPr>
          <w:rFonts w:ascii="Calibri" w:cs="Calibri" w:eastAsia="Calibri" w:hAnsi="Calibri"/>
          <w:sz w:val="10"/>
          <w:szCs w:val="10"/>
          <w:color w:val="auto"/>
        </w:rPr>
        <w:t>(1) Government Programs (GP) include Reactva Peru and FAE-Mype.</w:t>
      </w:r>
    </w:p>
    <w:p>
      <w:pPr>
        <w:spacing w:after="0" w:line="200" w:lineRule="exact"/>
        <w:rPr>
          <w:sz w:val="20"/>
          <w:szCs w:val="20"/>
          <w:color w:val="auto"/>
        </w:rPr>
      </w:pPr>
    </w:p>
    <w:p>
      <w:pPr>
        <w:spacing w:after="0" w:line="256"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5" w:right="319" w:bottom="1440" w:gutter="0" w:footer="0" w:header="0"/>
        </w:sectPr>
      </w:pPr>
    </w:p>
    <w:bookmarkStart w:id="57" w:name="page58"/>
    <w:bookmarkEnd w:id="57"/>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Portolio Quality Ratos by Segment</w:t>
      </w:r>
    </w:p>
    <w:p>
      <w:pPr>
        <w:spacing w:after="0" w:line="20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274955</wp:posOffset>
            </wp:positionV>
            <wp:extent cx="5100955" cy="21253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00955" cy="212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144780</wp:posOffset>
            </wp:positionV>
            <wp:extent cx="5230495" cy="22409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30495" cy="2240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5" w:right="319" w:bottom="1440" w:gutter="0" w:footer="0" w:header="0"/>
        </w:sectPr>
      </w:pPr>
    </w:p>
    <w:bookmarkStart w:id="58" w:name="page59"/>
    <w:bookmarkEnd w:id="58"/>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12. Appendix</w:t>
      </w:r>
    </w:p>
    <w:p>
      <w:pPr>
        <w:spacing w:after="0" w:line="25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937895</wp:posOffset>
            </wp:positionH>
            <wp:positionV relativeFrom="paragraph">
              <wp:posOffset>144780</wp:posOffset>
            </wp:positionV>
            <wp:extent cx="5266690" cy="2197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66690" cy="2197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144780</wp:posOffset>
            </wp:positionV>
            <wp:extent cx="5338445" cy="22332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338445" cy="223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5" w:right="319" w:bottom="1440" w:gutter="0" w:footer="0" w:header="0"/>
        </w:sectPr>
      </w:pPr>
    </w:p>
    <w:bookmarkStart w:id="59" w:name="page60"/>
    <w:bookmarkEnd w:id="59"/>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12. Appendix</w:t>
      </w:r>
    </w:p>
    <w:p>
      <w:pPr>
        <w:spacing w:after="0" w:line="25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144780</wp:posOffset>
            </wp:positionV>
            <wp:extent cx="5309870" cy="22332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309870" cy="223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159385</wp:posOffset>
            </wp:positionV>
            <wp:extent cx="5137150" cy="21107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37150" cy="211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5" w:right="319" w:bottom="1440" w:gutter="0" w:footer="0" w:header="0"/>
        </w:sectPr>
      </w:pPr>
    </w:p>
    <w:bookmarkStart w:id="60" w:name="page61"/>
    <w:bookmarkEnd w:id="60"/>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12. Appendix</w:t>
      </w:r>
    </w:p>
    <w:p>
      <w:pPr>
        <w:spacing w:after="0" w:line="25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144780</wp:posOffset>
            </wp:positionV>
            <wp:extent cx="5172710" cy="21399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72710" cy="213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15240</wp:posOffset>
            </wp:positionV>
            <wp:extent cx="5237480" cy="23272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37480" cy="2327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5" w:right="319" w:bottom="1440" w:gutter="0" w:footer="0" w:header="0"/>
        </w:sectPr>
      </w:pPr>
    </w:p>
    <w:bookmarkStart w:id="61" w:name="page62"/>
    <w:bookmarkEnd w:id="61"/>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12.4 Net Interest Income (NII)</w:t>
      </w:r>
    </w:p>
    <w:p>
      <w:pPr>
        <w:spacing w:after="0" w:line="11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NII Summary</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51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2"/>
                <w:szCs w:val="12"/>
                <w:b w:val="1"/>
                <w:bCs w:val="1"/>
                <w:color w:val="FFFFFF"/>
              </w:rPr>
              <w:t>Net interest income</w:t>
            </w:r>
          </w:p>
        </w:tc>
        <w:tc>
          <w:tcPr>
            <w:tcW w:w="1560" w:type="dxa"/>
            <w:vAlign w:val="bottom"/>
            <w:tcBorders>
              <w:top w:val="single" w:sz="8" w:color="auto"/>
            </w:tcBorders>
            <w:shd w:val="clear" w:color="auto" w:fill="2AD2C9"/>
          </w:tcPr>
          <w:p>
            <w:pPr>
              <w:spacing w:after="0"/>
              <w:rPr>
                <w:sz w:val="15"/>
                <w:szCs w:val="15"/>
                <w:color w:val="auto"/>
              </w:rPr>
            </w:pPr>
          </w:p>
        </w:tc>
        <w:tc>
          <w:tcPr>
            <w:tcW w:w="1360" w:type="dxa"/>
            <w:vAlign w:val="bottom"/>
            <w:tcBorders>
              <w:top w:val="single" w:sz="8" w:color="auto"/>
            </w:tcBorders>
            <w:shd w:val="clear" w:color="auto" w:fill="2AD2C9"/>
          </w:tcPr>
          <w:p>
            <w:pPr>
              <w:jc w:val="right"/>
              <w:ind w:right="640"/>
              <w:spacing w:after="0"/>
              <w:rPr>
                <w:sz w:val="20"/>
                <w:szCs w:val="20"/>
                <w:color w:val="auto"/>
              </w:rPr>
            </w:pPr>
            <w:r>
              <w:rPr>
                <w:rFonts w:ascii="Arial" w:cs="Arial" w:eastAsia="Arial" w:hAnsi="Arial"/>
                <w:sz w:val="12"/>
                <w:szCs w:val="12"/>
                <w:b w:val="1"/>
                <w:bCs w:val="1"/>
                <w:color w:val="FFFFFF"/>
              </w:rPr>
              <w:t>Quarter</w:t>
            </w:r>
          </w:p>
        </w:tc>
        <w:tc>
          <w:tcPr>
            <w:tcW w:w="1120" w:type="dxa"/>
            <w:vAlign w:val="bottom"/>
            <w:tcBorders>
              <w:top w:val="single" w:sz="8" w:color="auto"/>
              <w:right w:val="single" w:sz="8" w:color="auto"/>
            </w:tcBorders>
            <w:shd w:val="clear" w:color="auto" w:fill="2AD2C9"/>
          </w:tcPr>
          <w:p>
            <w:pPr>
              <w:spacing w:after="0"/>
              <w:rPr>
                <w:sz w:val="15"/>
                <w:szCs w:val="15"/>
                <w:color w:val="auto"/>
              </w:rPr>
            </w:pPr>
          </w:p>
        </w:tc>
        <w:tc>
          <w:tcPr>
            <w:tcW w:w="700" w:type="dxa"/>
            <w:vAlign w:val="bottom"/>
            <w:tcBorders>
              <w:top w:val="single" w:sz="8" w:color="auto"/>
            </w:tcBorders>
            <w:shd w:val="clear" w:color="auto" w:fill="2AD2C9"/>
          </w:tcPr>
          <w:p>
            <w:pPr>
              <w:spacing w:after="0"/>
              <w:rPr>
                <w:sz w:val="15"/>
                <w:szCs w:val="15"/>
                <w:color w:val="auto"/>
              </w:rPr>
            </w:pPr>
          </w:p>
        </w:tc>
        <w:tc>
          <w:tcPr>
            <w:tcW w:w="1340" w:type="dxa"/>
            <w:vAlign w:val="bottom"/>
            <w:tcBorders>
              <w:top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51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2"/>
                <w:szCs w:val="12"/>
                <w:b w:val="1"/>
                <w:bCs w:val="1"/>
                <w:color w:val="FFFFFF"/>
              </w:rPr>
              <w:t>S/ 000</w:t>
            </w:r>
          </w:p>
        </w:tc>
        <w:tc>
          <w:tcPr>
            <w:tcW w:w="1560" w:type="dxa"/>
            <w:vAlign w:val="bottom"/>
            <w:tcBorders>
              <w:bottom w:val="single" w:sz="8" w:color="auto"/>
            </w:tcBorders>
            <w:shd w:val="clear" w:color="auto" w:fill="2AD2C9"/>
          </w:tcPr>
          <w:p>
            <w:pPr>
              <w:jc w:val="right"/>
              <w:ind w:right="680"/>
              <w:spacing w:after="0"/>
              <w:rPr>
                <w:sz w:val="20"/>
                <w:szCs w:val="20"/>
                <w:color w:val="auto"/>
              </w:rPr>
            </w:pPr>
            <w:r>
              <w:rPr>
                <w:rFonts w:ascii="Arial" w:cs="Arial" w:eastAsia="Arial" w:hAnsi="Arial"/>
                <w:sz w:val="12"/>
                <w:szCs w:val="12"/>
                <w:b w:val="1"/>
                <w:bCs w:val="1"/>
                <w:color w:val="FFFFFF"/>
              </w:rPr>
              <w:t>1Q22</w:t>
            </w:r>
          </w:p>
        </w:tc>
        <w:tc>
          <w:tcPr>
            <w:tcW w:w="1360" w:type="dxa"/>
            <w:vAlign w:val="bottom"/>
            <w:tcBorders>
              <w:bottom w:val="single" w:sz="8" w:color="auto"/>
            </w:tcBorders>
            <w:shd w:val="clear" w:color="auto" w:fill="2AD2C9"/>
          </w:tcPr>
          <w:p>
            <w:pPr>
              <w:jc w:val="right"/>
              <w:ind w:right="700"/>
              <w:spacing w:after="0"/>
              <w:rPr>
                <w:sz w:val="20"/>
                <w:szCs w:val="20"/>
                <w:color w:val="auto"/>
              </w:rPr>
            </w:pPr>
            <w:r>
              <w:rPr>
                <w:rFonts w:ascii="Arial" w:cs="Arial" w:eastAsia="Arial" w:hAnsi="Arial"/>
                <w:sz w:val="12"/>
                <w:szCs w:val="12"/>
                <w:b w:val="1"/>
                <w:bCs w:val="1"/>
                <w:color w:val="FFFFFF"/>
              </w:rPr>
              <w:t>4Q22</w:t>
            </w:r>
          </w:p>
        </w:tc>
        <w:tc>
          <w:tcPr>
            <w:tcW w:w="1120" w:type="dxa"/>
            <w:vAlign w:val="bottom"/>
            <w:tcBorders>
              <w:bottom w:val="single" w:sz="8" w:color="auto"/>
              <w:right w:val="single" w:sz="8" w:color="auto"/>
            </w:tcBorders>
            <w:shd w:val="clear" w:color="auto" w:fill="2AD2C9"/>
          </w:tcPr>
          <w:p>
            <w:pPr>
              <w:jc w:val="right"/>
              <w:ind w:right="480"/>
              <w:spacing w:after="0"/>
              <w:rPr>
                <w:sz w:val="20"/>
                <w:szCs w:val="20"/>
                <w:color w:val="auto"/>
              </w:rPr>
            </w:pPr>
            <w:r>
              <w:rPr>
                <w:rFonts w:ascii="Arial" w:cs="Arial" w:eastAsia="Arial" w:hAnsi="Arial"/>
                <w:sz w:val="12"/>
                <w:szCs w:val="12"/>
                <w:b w:val="1"/>
                <w:bCs w:val="1"/>
                <w:color w:val="FFFFFF"/>
              </w:rPr>
              <w:t>1Q23</w:t>
            </w:r>
          </w:p>
        </w:tc>
        <w:tc>
          <w:tcPr>
            <w:tcW w:w="700" w:type="dxa"/>
            <w:vAlign w:val="bottom"/>
            <w:tcBorders>
              <w:bottom w:val="single" w:sz="8" w:color="auto"/>
            </w:tcBorders>
            <w:shd w:val="clear" w:color="auto" w:fill="2AD2C9"/>
          </w:tcPr>
          <w:p>
            <w:pPr>
              <w:ind w:left="360"/>
              <w:spacing w:after="0"/>
              <w:rPr>
                <w:sz w:val="20"/>
                <w:szCs w:val="20"/>
                <w:color w:val="auto"/>
              </w:rPr>
            </w:pPr>
            <w:r>
              <w:rPr>
                <w:rFonts w:ascii="Arial" w:cs="Arial" w:eastAsia="Arial" w:hAnsi="Arial"/>
                <w:sz w:val="12"/>
                <w:szCs w:val="12"/>
                <w:b w:val="1"/>
                <w:bCs w:val="1"/>
                <w:color w:val="FFFFFF"/>
              </w:rPr>
              <w:t>QoQ</w:t>
            </w:r>
          </w:p>
        </w:tc>
        <w:tc>
          <w:tcPr>
            <w:tcW w:w="1340" w:type="dxa"/>
            <w:vAlign w:val="bottom"/>
            <w:tcBorders>
              <w:bottom w:val="single" w:sz="8" w:color="auto"/>
              <w:right w:val="single" w:sz="8" w:color="auto"/>
            </w:tcBorders>
            <w:shd w:val="clear" w:color="auto" w:fill="2AD2C9"/>
          </w:tcPr>
          <w:p>
            <w:pPr>
              <w:ind w:left="700"/>
              <w:spacing w:after="0"/>
              <w:rPr>
                <w:sz w:val="20"/>
                <w:szCs w:val="20"/>
                <w:color w:val="auto"/>
              </w:rPr>
            </w:pPr>
            <w:r>
              <w:rPr>
                <w:rFonts w:ascii="Arial" w:cs="Arial" w:eastAsia="Arial" w:hAnsi="Arial"/>
                <w:sz w:val="12"/>
                <w:szCs w:val="12"/>
                <w:b w:val="1"/>
                <w:bCs w:val="1"/>
                <w:color w:val="FFFFFF"/>
              </w:rPr>
              <w:t>YoY</w:t>
            </w:r>
          </w:p>
        </w:tc>
      </w:tr>
      <w:tr>
        <w:trPr>
          <w:trHeight w:val="162"/>
        </w:trPr>
        <w:tc>
          <w:tcPr>
            <w:tcW w:w="5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Interest income</w:t>
            </w:r>
          </w:p>
        </w:tc>
        <w:tc>
          <w:tcPr>
            <w:tcW w:w="1560" w:type="dxa"/>
            <w:vAlign w:val="bottom"/>
          </w:tcPr>
          <w:p>
            <w:pPr>
              <w:jc w:val="right"/>
              <w:ind w:right="180"/>
              <w:spacing w:after="0"/>
              <w:rPr>
                <w:sz w:val="20"/>
                <w:szCs w:val="20"/>
                <w:color w:val="auto"/>
              </w:rPr>
            </w:pPr>
            <w:r>
              <w:rPr>
                <w:rFonts w:ascii="Arial" w:cs="Arial" w:eastAsia="Arial" w:hAnsi="Arial"/>
                <w:sz w:val="12"/>
                <w:szCs w:val="12"/>
                <w:b w:val="1"/>
                <w:bCs w:val="1"/>
                <w:color w:val="auto"/>
              </w:rPr>
              <w:t>3,172,346</w:t>
            </w:r>
          </w:p>
        </w:tc>
        <w:tc>
          <w:tcPr>
            <w:tcW w:w="1360" w:type="dxa"/>
            <w:vAlign w:val="bottom"/>
          </w:tcPr>
          <w:p>
            <w:pPr>
              <w:jc w:val="right"/>
              <w:ind w:right="200"/>
              <w:spacing w:after="0"/>
              <w:rPr>
                <w:sz w:val="20"/>
                <w:szCs w:val="20"/>
                <w:color w:val="auto"/>
              </w:rPr>
            </w:pPr>
            <w:r>
              <w:rPr>
                <w:rFonts w:ascii="Arial" w:cs="Arial" w:eastAsia="Arial" w:hAnsi="Arial"/>
                <w:sz w:val="12"/>
                <w:szCs w:val="12"/>
                <w:b w:val="1"/>
                <w:bCs w:val="1"/>
                <w:color w:val="auto"/>
              </w:rPr>
              <w:t>4,362,142</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4,456,106</w:t>
            </w:r>
          </w:p>
        </w:tc>
        <w:tc>
          <w:tcPr>
            <w:tcW w:w="700" w:type="dxa"/>
            <w:vAlign w:val="bottom"/>
          </w:tcPr>
          <w:p>
            <w:pPr>
              <w:jc w:val="center"/>
              <w:ind w:left="240"/>
              <w:spacing w:after="0"/>
              <w:rPr>
                <w:sz w:val="20"/>
                <w:szCs w:val="20"/>
                <w:color w:val="auto"/>
              </w:rPr>
            </w:pPr>
            <w:r>
              <w:rPr>
                <w:rFonts w:ascii="Arial" w:cs="Arial" w:eastAsia="Arial" w:hAnsi="Arial"/>
                <w:sz w:val="12"/>
                <w:szCs w:val="12"/>
                <w:b w:val="1"/>
                <w:bCs w:val="1"/>
                <w:color w:val="auto"/>
              </w:rPr>
              <w:t>2.2%</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9"/>
              </w:rPr>
              <w:t>40.5%</w:t>
            </w:r>
          </w:p>
        </w:tc>
      </w:tr>
      <w:tr>
        <w:trPr>
          <w:trHeight w:val="159"/>
        </w:trPr>
        <w:tc>
          <w:tcPr>
            <w:tcW w:w="5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Interest on loans</w:t>
            </w:r>
          </w:p>
        </w:tc>
        <w:tc>
          <w:tcPr>
            <w:tcW w:w="1560" w:type="dxa"/>
            <w:vAlign w:val="bottom"/>
          </w:tcPr>
          <w:p>
            <w:pPr>
              <w:jc w:val="right"/>
              <w:ind w:right="180"/>
              <w:spacing w:after="0"/>
              <w:rPr>
                <w:sz w:val="20"/>
                <w:szCs w:val="20"/>
                <w:color w:val="auto"/>
              </w:rPr>
            </w:pPr>
            <w:r>
              <w:rPr>
                <w:rFonts w:ascii="Arial" w:cs="Arial" w:eastAsia="Arial" w:hAnsi="Arial"/>
                <w:sz w:val="12"/>
                <w:szCs w:val="12"/>
                <w:color w:val="auto"/>
              </w:rPr>
              <w:t>2,685,552</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3,515,083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3,570,952</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1.6%</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9"/>
              </w:rPr>
              <w:t>33.0%</w:t>
            </w:r>
          </w:p>
        </w:tc>
      </w:tr>
      <w:tr>
        <w:trPr>
          <w:trHeight w:val="159"/>
        </w:trPr>
        <w:tc>
          <w:tcPr>
            <w:tcW w:w="5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Dividends on investments</w:t>
            </w:r>
          </w:p>
        </w:tc>
        <w:tc>
          <w:tcPr>
            <w:tcW w:w="1560" w:type="dxa"/>
            <w:vAlign w:val="bottom"/>
          </w:tcPr>
          <w:p>
            <w:pPr>
              <w:jc w:val="right"/>
              <w:ind w:right="180"/>
              <w:spacing w:after="0"/>
              <w:rPr>
                <w:sz w:val="20"/>
                <w:szCs w:val="20"/>
                <w:color w:val="auto"/>
              </w:rPr>
            </w:pPr>
            <w:r>
              <w:rPr>
                <w:rFonts w:ascii="Arial" w:cs="Arial" w:eastAsia="Arial" w:hAnsi="Arial"/>
                <w:sz w:val="12"/>
                <w:szCs w:val="12"/>
                <w:color w:val="auto"/>
              </w:rPr>
              <w:t>4,320</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3,726</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6,477</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73.8%</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9"/>
              </w:rPr>
              <w:t>49.9%</w:t>
            </w:r>
          </w:p>
        </w:tc>
      </w:tr>
      <w:tr>
        <w:trPr>
          <w:trHeight w:val="159"/>
        </w:trPr>
        <w:tc>
          <w:tcPr>
            <w:tcW w:w="5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Interest on deposits with banks</w:t>
            </w:r>
          </w:p>
        </w:tc>
        <w:tc>
          <w:tcPr>
            <w:tcW w:w="1560" w:type="dxa"/>
            <w:vAlign w:val="bottom"/>
          </w:tcPr>
          <w:p>
            <w:pPr>
              <w:jc w:val="right"/>
              <w:ind w:right="180"/>
              <w:spacing w:after="0"/>
              <w:rPr>
                <w:sz w:val="20"/>
                <w:szCs w:val="20"/>
                <w:color w:val="auto"/>
              </w:rPr>
            </w:pPr>
            <w:r>
              <w:rPr>
                <w:rFonts w:ascii="Arial" w:cs="Arial" w:eastAsia="Arial" w:hAnsi="Arial"/>
                <w:sz w:val="12"/>
                <w:szCs w:val="12"/>
                <w:color w:val="auto"/>
              </w:rPr>
              <w:t>36,834</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236,319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277,371</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17.4%</w:t>
            </w:r>
          </w:p>
        </w:tc>
        <w:tc>
          <w:tcPr>
            <w:tcW w:w="1340" w:type="dxa"/>
            <w:vAlign w:val="bottom"/>
            <w:tcBorders>
              <w:right w:val="single" w:sz="8" w:color="auto"/>
            </w:tcBorders>
          </w:tcPr>
          <w:p>
            <w:pPr>
              <w:ind w:left="700"/>
              <w:spacing w:after="0"/>
              <w:rPr>
                <w:sz w:val="20"/>
                <w:szCs w:val="20"/>
                <w:color w:val="auto"/>
              </w:rPr>
            </w:pPr>
            <w:r>
              <w:rPr>
                <w:rFonts w:ascii="Arial" w:cs="Arial" w:eastAsia="Arial" w:hAnsi="Arial"/>
                <w:sz w:val="12"/>
                <w:szCs w:val="12"/>
                <w:color w:val="auto"/>
              </w:rPr>
              <w:t>n.a.</w:t>
            </w:r>
          </w:p>
        </w:tc>
      </w:tr>
      <w:tr>
        <w:trPr>
          <w:trHeight w:val="159"/>
        </w:trPr>
        <w:tc>
          <w:tcPr>
            <w:tcW w:w="5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Interest on securities</w:t>
            </w:r>
          </w:p>
        </w:tc>
        <w:tc>
          <w:tcPr>
            <w:tcW w:w="1560" w:type="dxa"/>
            <w:vAlign w:val="bottom"/>
          </w:tcPr>
          <w:p>
            <w:pPr>
              <w:jc w:val="right"/>
              <w:ind w:right="180"/>
              <w:spacing w:after="0"/>
              <w:rPr>
                <w:sz w:val="20"/>
                <w:szCs w:val="20"/>
                <w:color w:val="auto"/>
              </w:rPr>
            </w:pPr>
            <w:r>
              <w:rPr>
                <w:rFonts w:ascii="Arial" w:cs="Arial" w:eastAsia="Arial" w:hAnsi="Arial"/>
                <w:sz w:val="12"/>
                <w:szCs w:val="12"/>
                <w:color w:val="auto"/>
              </w:rPr>
              <w:t>438,023</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559,041</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585,268</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4.7%</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9"/>
              </w:rPr>
              <w:t>33.6%</w:t>
            </w:r>
          </w:p>
        </w:tc>
      </w:tr>
      <w:tr>
        <w:trPr>
          <w:trHeight w:val="159"/>
        </w:trPr>
        <w:tc>
          <w:tcPr>
            <w:tcW w:w="5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Other interest income</w:t>
            </w:r>
          </w:p>
        </w:tc>
        <w:tc>
          <w:tcPr>
            <w:tcW w:w="1560" w:type="dxa"/>
            <w:vAlign w:val="bottom"/>
          </w:tcPr>
          <w:p>
            <w:pPr>
              <w:jc w:val="right"/>
              <w:ind w:right="180"/>
              <w:spacing w:after="0"/>
              <w:rPr>
                <w:sz w:val="20"/>
                <w:szCs w:val="20"/>
                <w:color w:val="auto"/>
              </w:rPr>
            </w:pPr>
            <w:r>
              <w:rPr>
                <w:rFonts w:ascii="Arial" w:cs="Arial" w:eastAsia="Arial" w:hAnsi="Arial"/>
                <w:sz w:val="12"/>
                <w:szCs w:val="12"/>
                <w:color w:val="auto"/>
              </w:rPr>
              <w:t>7,617</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47,973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16,038</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-66.6%</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rPr>
              <w:t>110.6%</w:t>
            </w:r>
          </w:p>
        </w:tc>
      </w:tr>
      <w:tr>
        <w:trPr>
          <w:trHeight w:val="159"/>
        </w:trPr>
        <w:tc>
          <w:tcPr>
            <w:tcW w:w="5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Interest expense</w:t>
            </w:r>
          </w:p>
        </w:tc>
        <w:tc>
          <w:tcPr>
            <w:tcW w:w="1560" w:type="dxa"/>
            <w:vAlign w:val="bottom"/>
          </w:tcPr>
          <w:p>
            <w:pPr>
              <w:jc w:val="right"/>
              <w:ind w:right="180"/>
              <w:spacing w:after="0"/>
              <w:rPr>
                <w:sz w:val="20"/>
                <w:szCs w:val="20"/>
                <w:color w:val="auto"/>
              </w:rPr>
            </w:pPr>
            <w:r>
              <w:rPr>
                <w:rFonts w:ascii="Arial" w:cs="Arial" w:eastAsia="Arial" w:hAnsi="Arial"/>
                <w:sz w:val="12"/>
                <w:szCs w:val="12"/>
                <w:b w:val="1"/>
                <w:bCs w:val="1"/>
                <w:color w:val="auto"/>
              </w:rPr>
              <w:t>(740,639)</w:t>
            </w:r>
          </w:p>
        </w:tc>
        <w:tc>
          <w:tcPr>
            <w:tcW w:w="1360" w:type="dxa"/>
            <w:vAlign w:val="bottom"/>
          </w:tcPr>
          <w:p>
            <w:pPr>
              <w:jc w:val="right"/>
              <w:ind w:right="200"/>
              <w:spacing w:after="0"/>
              <w:rPr>
                <w:sz w:val="20"/>
                <w:szCs w:val="20"/>
                <w:color w:val="auto"/>
              </w:rPr>
            </w:pPr>
            <w:r>
              <w:rPr>
                <w:rFonts w:ascii="Arial" w:cs="Arial" w:eastAsia="Arial" w:hAnsi="Arial"/>
                <w:sz w:val="12"/>
                <w:szCs w:val="12"/>
                <w:b w:val="1"/>
                <w:bCs w:val="1"/>
                <w:color w:val="auto"/>
              </w:rPr>
              <w:t>(1,227,364)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(1,324,017)</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7.9%</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9"/>
              </w:rPr>
              <w:t>78.8%</w:t>
            </w:r>
          </w:p>
        </w:tc>
      </w:tr>
      <w:tr>
        <w:trPr>
          <w:trHeight w:val="159"/>
        </w:trPr>
        <w:tc>
          <w:tcPr>
            <w:tcW w:w="5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Interest expense (excluding Net Insurance Financial Expenses)</w:t>
            </w:r>
          </w:p>
        </w:tc>
        <w:tc>
          <w:tcPr>
            <w:tcW w:w="1560" w:type="dxa"/>
            <w:vAlign w:val="bottom"/>
          </w:tcPr>
          <w:p>
            <w:pPr>
              <w:jc w:val="right"/>
              <w:ind w:right="180"/>
              <w:spacing w:after="0"/>
              <w:rPr>
                <w:sz w:val="20"/>
                <w:szCs w:val="20"/>
                <w:color w:val="auto"/>
              </w:rPr>
            </w:pPr>
            <w:r>
              <w:rPr>
                <w:rFonts w:ascii="Arial" w:cs="Arial" w:eastAsia="Arial" w:hAnsi="Arial"/>
                <w:sz w:val="12"/>
                <w:szCs w:val="12"/>
                <w:b w:val="1"/>
                <w:bCs w:val="1"/>
                <w:color w:val="auto"/>
              </w:rPr>
              <w:t>(638,881)</w:t>
            </w:r>
          </w:p>
        </w:tc>
        <w:tc>
          <w:tcPr>
            <w:tcW w:w="1360" w:type="dxa"/>
            <w:vAlign w:val="bottom"/>
          </w:tcPr>
          <w:p>
            <w:pPr>
              <w:jc w:val="right"/>
              <w:ind w:right="200"/>
              <w:spacing w:after="0"/>
              <w:rPr>
                <w:sz w:val="20"/>
                <w:szCs w:val="20"/>
                <w:color w:val="auto"/>
              </w:rPr>
            </w:pPr>
            <w:r>
              <w:rPr>
                <w:rFonts w:ascii="Arial" w:cs="Arial" w:eastAsia="Arial" w:hAnsi="Arial"/>
                <w:sz w:val="12"/>
                <w:szCs w:val="12"/>
                <w:b w:val="1"/>
                <w:bCs w:val="1"/>
                <w:color w:val="auto"/>
              </w:rPr>
              <w:t>(1,119,124)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(1,208,267)</w:t>
            </w:r>
          </w:p>
        </w:tc>
        <w:tc>
          <w:tcPr>
            <w:tcW w:w="700" w:type="dxa"/>
            <w:vAlign w:val="bottom"/>
          </w:tcPr>
          <w:p>
            <w:pPr>
              <w:jc w:val="center"/>
              <w:ind w:left="240"/>
              <w:spacing w:after="0"/>
              <w:rPr>
                <w:sz w:val="20"/>
                <w:szCs w:val="20"/>
                <w:color w:val="auto"/>
              </w:rPr>
            </w:pPr>
            <w:r>
              <w:rPr>
                <w:rFonts w:ascii="Arial" w:cs="Arial" w:eastAsia="Arial" w:hAnsi="Arial"/>
                <w:sz w:val="12"/>
                <w:szCs w:val="12"/>
                <w:b w:val="1"/>
                <w:bCs w:val="1"/>
                <w:color w:val="auto"/>
              </w:rPr>
              <w:t>8.0%</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9"/>
              </w:rPr>
              <w:t>89.1%</w:t>
            </w:r>
          </w:p>
        </w:tc>
      </w:tr>
      <w:tr>
        <w:trPr>
          <w:trHeight w:val="159"/>
        </w:trPr>
        <w:tc>
          <w:tcPr>
            <w:tcW w:w="51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Interest on deposits</w:t>
            </w:r>
          </w:p>
        </w:tc>
        <w:tc>
          <w:tcPr>
            <w:tcW w:w="1560" w:type="dxa"/>
            <w:vAlign w:val="bottom"/>
          </w:tcPr>
          <w:p>
            <w:pPr>
              <w:jc w:val="right"/>
              <w:ind w:right="180"/>
              <w:spacing w:after="0"/>
              <w:rPr>
                <w:sz w:val="20"/>
                <w:szCs w:val="20"/>
                <w:color w:val="auto"/>
              </w:rPr>
            </w:pPr>
            <w:r>
              <w:rPr>
                <w:rFonts w:ascii="Arial" w:cs="Arial" w:eastAsia="Arial" w:hAnsi="Arial"/>
                <w:sz w:val="12"/>
                <w:szCs w:val="12"/>
                <w:color w:val="auto"/>
              </w:rPr>
              <w:t>258,939</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582,237</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677,088</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16.3%</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rPr>
              <w:t>161.5%</w:t>
            </w:r>
          </w:p>
        </w:tc>
      </w:tr>
      <w:tr>
        <w:trPr>
          <w:trHeight w:val="159"/>
        </w:trPr>
        <w:tc>
          <w:tcPr>
            <w:tcW w:w="51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Interest on borrowed funds</w:t>
            </w:r>
          </w:p>
        </w:tc>
        <w:tc>
          <w:tcPr>
            <w:tcW w:w="1560" w:type="dxa"/>
            <w:vAlign w:val="bottom"/>
          </w:tcPr>
          <w:p>
            <w:pPr>
              <w:jc w:val="right"/>
              <w:ind w:right="180"/>
              <w:spacing w:after="0"/>
              <w:rPr>
                <w:sz w:val="20"/>
                <w:szCs w:val="20"/>
                <w:color w:val="auto"/>
              </w:rPr>
            </w:pPr>
            <w:r>
              <w:rPr>
                <w:rFonts w:ascii="Arial" w:cs="Arial" w:eastAsia="Arial" w:hAnsi="Arial"/>
                <w:sz w:val="12"/>
                <w:szCs w:val="12"/>
                <w:color w:val="auto"/>
              </w:rPr>
              <w:t>116,231</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239,583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238,933</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-0.3%</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rPr>
              <w:t>105.6%</w:t>
            </w:r>
          </w:p>
        </w:tc>
      </w:tr>
      <w:tr>
        <w:trPr>
          <w:trHeight w:val="159"/>
        </w:trPr>
        <w:tc>
          <w:tcPr>
            <w:tcW w:w="51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Interest on bonds and subordinated notes</w:t>
            </w:r>
          </w:p>
        </w:tc>
        <w:tc>
          <w:tcPr>
            <w:tcW w:w="1560" w:type="dxa"/>
            <w:vAlign w:val="bottom"/>
          </w:tcPr>
          <w:p>
            <w:pPr>
              <w:jc w:val="right"/>
              <w:ind w:right="180"/>
              <w:spacing w:after="0"/>
              <w:rPr>
                <w:sz w:val="20"/>
                <w:szCs w:val="20"/>
                <w:color w:val="auto"/>
              </w:rPr>
            </w:pPr>
            <w:r>
              <w:rPr>
                <w:rFonts w:ascii="Arial" w:cs="Arial" w:eastAsia="Arial" w:hAnsi="Arial"/>
                <w:sz w:val="12"/>
                <w:szCs w:val="12"/>
                <w:color w:val="auto"/>
              </w:rPr>
              <w:t>179,609</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188,983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182,898</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-3.2%</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4"/>
              </w:rPr>
              <w:t>1.8%</w:t>
            </w:r>
          </w:p>
        </w:tc>
      </w:tr>
      <w:tr>
        <w:trPr>
          <w:trHeight w:val="159"/>
        </w:trPr>
        <w:tc>
          <w:tcPr>
            <w:tcW w:w="51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2"/>
                <w:szCs w:val="12"/>
                <w:color w:val="auto"/>
              </w:rPr>
              <w:t>Other interest expense</w:t>
            </w:r>
          </w:p>
        </w:tc>
        <w:tc>
          <w:tcPr>
            <w:tcW w:w="1560" w:type="dxa"/>
            <w:vAlign w:val="bottom"/>
          </w:tcPr>
          <w:p>
            <w:pPr>
              <w:jc w:val="right"/>
              <w:ind w:right="180"/>
              <w:spacing w:after="0"/>
              <w:rPr>
                <w:sz w:val="20"/>
                <w:szCs w:val="20"/>
                <w:color w:val="auto"/>
              </w:rPr>
            </w:pPr>
            <w:r>
              <w:rPr>
                <w:rFonts w:ascii="Arial" w:cs="Arial" w:eastAsia="Arial" w:hAnsi="Arial"/>
                <w:sz w:val="12"/>
                <w:szCs w:val="12"/>
                <w:color w:val="auto"/>
              </w:rPr>
              <w:t>84,102</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108,321</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109,348</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0.9%</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color w:val="auto"/>
                <w:w w:val="99"/>
              </w:rPr>
              <w:t>30.0%</w:t>
            </w:r>
          </w:p>
        </w:tc>
      </w:tr>
      <w:tr>
        <w:trPr>
          <w:trHeight w:val="158"/>
        </w:trPr>
        <w:tc>
          <w:tcPr>
            <w:tcW w:w="5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Net Insurance Financial Expenses</w:t>
            </w:r>
          </w:p>
        </w:tc>
        <w:tc>
          <w:tcPr>
            <w:tcW w:w="15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(101,758)</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(108,240)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(115,750)</w:t>
            </w:r>
          </w:p>
        </w:tc>
        <w:tc>
          <w:tcPr>
            <w:tcW w:w="70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b w:val="1"/>
                <w:bCs w:val="1"/>
                <w:color w:val="auto"/>
              </w:rPr>
              <w:t>6.9%</w:t>
            </w:r>
          </w:p>
        </w:tc>
        <w:tc>
          <w:tcPr>
            <w:tcW w:w="1340" w:type="dxa"/>
            <w:vAlign w:val="bottom"/>
            <w:tcBorders>
              <w:bottom w:val="single" w:sz="8" w:color="auto"/>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9"/>
              </w:rPr>
              <w:t>13.8%</w:t>
            </w:r>
          </w:p>
        </w:tc>
      </w:tr>
      <w:tr>
        <w:trPr>
          <w:trHeight w:val="162"/>
        </w:trPr>
        <w:tc>
          <w:tcPr>
            <w:tcW w:w="5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interest income</w:t>
            </w:r>
          </w:p>
        </w:tc>
        <w:tc>
          <w:tcPr>
            <w:tcW w:w="15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2,431,707</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3,134,778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3,132,089</w:t>
            </w:r>
          </w:p>
        </w:tc>
        <w:tc>
          <w:tcPr>
            <w:tcW w:w="70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b w:val="1"/>
                <w:bCs w:val="1"/>
                <w:color w:val="auto"/>
              </w:rPr>
              <w:t>-0.1%</w:t>
            </w:r>
          </w:p>
        </w:tc>
        <w:tc>
          <w:tcPr>
            <w:tcW w:w="1340" w:type="dxa"/>
            <w:vAlign w:val="bottom"/>
            <w:tcBorders>
              <w:bottom w:val="single" w:sz="8" w:color="auto"/>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9"/>
              </w:rPr>
              <w:t>28.8%</w:t>
            </w:r>
          </w:p>
        </w:tc>
      </w:tr>
      <w:tr>
        <w:trPr>
          <w:trHeight w:val="162"/>
        </w:trPr>
        <w:tc>
          <w:tcPr>
            <w:tcW w:w="5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Risk-adjusted Net interest income</w:t>
            </w:r>
          </w:p>
        </w:tc>
        <w:tc>
          <w:tcPr>
            <w:tcW w:w="15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2,275,875</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2,512,337</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2,520,841</w:t>
            </w:r>
          </w:p>
        </w:tc>
        <w:tc>
          <w:tcPr>
            <w:tcW w:w="70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b w:val="1"/>
                <w:bCs w:val="1"/>
                <w:color w:val="auto"/>
              </w:rPr>
              <w:t>0.3%</w:t>
            </w:r>
          </w:p>
        </w:tc>
        <w:tc>
          <w:tcPr>
            <w:tcW w:w="1340" w:type="dxa"/>
            <w:vAlign w:val="bottom"/>
            <w:tcBorders>
              <w:bottom w:val="single" w:sz="8" w:color="auto"/>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9"/>
              </w:rPr>
              <w:t>10.8%</w:t>
            </w:r>
          </w:p>
        </w:tc>
      </w:tr>
      <w:tr>
        <w:trPr>
          <w:trHeight w:val="162"/>
        </w:trPr>
        <w:tc>
          <w:tcPr>
            <w:tcW w:w="5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Average interest earning assets</w:t>
            </w:r>
          </w:p>
        </w:tc>
        <w:tc>
          <w:tcPr>
            <w:tcW w:w="15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227,279,809</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225,604,596</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222,289,504</w:t>
            </w:r>
          </w:p>
        </w:tc>
        <w:tc>
          <w:tcPr>
            <w:tcW w:w="70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color w:val="auto"/>
              </w:rPr>
              <w:t>-1.5%</w:t>
            </w:r>
          </w:p>
        </w:tc>
        <w:tc>
          <w:tcPr>
            <w:tcW w:w="1340" w:type="dxa"/>
            <w:vAlign w:val="bottom"/>
            <w:tcBorders>
              <w:bottom w:val="single" w:sz="8" w:color="auto"/>
              <w:right w:val="single" w:sz="8" w:color="auto"/>
            </w:tcBorders>
          </w:tcPr>
          <w:p>
            <w:pPr>
              <w:jc w:val="center"/>
              <w:ind w:left="220"/>
              <w:spacing w:after="0"/>
              <w:rPr>
                <w:sz w:val="20"/>
                <w:szCs w:val="20"/>
                <w:color w:val="auto"/>
              </w:rPr>
            </w:pPr>
            <w:r>
              <w:rPr>
                <w:rFonts w:ascii="Arial" w:cs="Arial" w:eastAsia="Arial" w:hAnsi="Arial"/>
                <w:sz w:val="12"/>
                <w:szCs w:val="12"/>
                <w:color w:val="auto"/>
                <w:w w:val="95"/>
              </w:rPr>
              <w:t>-2.2%</w:t>
            </w:r>
          </w:p>
        </w:tc>
      </w:tr>
      <w:tr>
        <w:trPr>
          <w:trHeight w:val="148"/>
        </w:trPr>
        <w:tc>
          <w:tcPr>
            <w:tcW w:w="518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1"/>
                <w:szCs w:val="11"/>
                <w:b w:val="1"/>
                <w:bCs w:val="1"/>
                <w:color w:val="auto"/>
              </w:rPr>
              <w:t xml:space="preserve">Net interest margin </w:t>
            </w:r>
            <w:r>
              <w:rPr>
                <w:rFonts w:ascii="Arial" w:cs="Arial" w:eastAsia="Arial" w:hAnsi="Arial"/>
                <w:sz w:val="17"/>
                <w:szCs w:val="17"/>
                <w:b w:val="1"/>
                <w:bCs w:val="1"/>
                <w:color w:val="auto"/>
                <w:vertAlign w:val="superscript"/>
              </w:rPr>
              <w:t>(1)</w:t>
            </w:r>
          </w:p>
        </w:tc>
        <w:tc>
          <w:tcPr>
            <w:tcW w:w="1560" w:type="dxa"/>
            <w:vAlign w:val="bottom"/>
          </w:tcPr>
          <w:p>
            <w:pPr>
              <w:jc w:val="right"/>
              <w:ind w:right="180"/>
              <w:spacing w:after="0"/>
              <w:rPr>
                <w:sz w:val="20"/>
                <w:szCs w:val="20"/>
                <w:color w:val="auto"/>
              </w:rPr>
            </w:pPr>
            <w:r>
              <w:rPr>
                <w:rFonts w:ascii="Arial" w:cs="Arial" w:eastAsia="Arial" w:hAnsi="Arial"/>
                <w:sz w:val="12"/>
                <w:szCs w:val="12"/>
                <w:b w:val="1"/>
                <w:bCs w:val="1"/>
                <w:color w:val="auto"/>
              </w:rPr>
              <w:t>4.46%</w:t>
            </w:r>
          </w:p>
        </w:tc>
        <w:tc>
          <w:tcPr>
            <w:tcW w:w="1360" w:type="dxa"/>
            <w:vAlign w:val="bottom"/>
          </w:tcPr>
          <w:p>
            <w:pPr>
              <w:jc w:val="right"/>
              <w:ind w:right="200"/>
              <w:spacing w:after="0"/>
              <w:rPr>
                <w:sz w:val="20"/>
                <w:szCs w:val="20"/>
                <w:color w:val="auto"/>
              </w:rPr>
            </w:pPr>
            <w:r>
              <w:rPr>
                <w:rFonts w:ascii="Arial" w:cs="Arial" w:eastAsia="Arial" w:hAnsi="Arial"/>
                <w:sz w:val="12"/>
                <w:szCs w:val="12"/>
                <w:b w:val="1"/>
                <w:bCs w:val="1"/>
                <w:color w:val="auto"/>
              </w:rPr>
              <w:t>5.75%</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5.84%</w:t>
            </w:r>
          </w:p>
        </w:tc>
        <w:tc>
          <w:tcPr>
            <w:tcW w:w="700" w:type="dxa"/>
            <w:vAlign w:val="bottom"/>
          </w:tcPr>
          <w:p>
            <w:pPr>
              <w:jc w:val="center"/>
              <w:ind w:left="240"/>
              <w:spacing w:after="0"/>
              <w:rPr>
                <w:sz w:val="20"/>
                <w:szCs w:val="20"/>
                <w:color w:val="auto"/>
              </w:rPr>
            </w:pPr>
            <w:r>
              <w:rPr>
                <w:rFonts w:ascii="Arial" w:cs="Arial" w:eastAsia="Arial" w:hAnsi="Arial"/>
                <w:sz w:val="12"/>
                <w:szCs w:val="12"/>
                <w:b w:val="1"/>
                <w:bCs w:val="1"/>
                <w:color w:val="auto"/>
                <w:w w:val="99"/>
              </w:rPr>
              <w:t>9bps</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rPr>
              <w:t>138bps</w:t>
            </w:r>
          </w:p>
        </w:tc>
      </w:tr>
      <w:tr>
        <w:trPr>
          <w:trHeight w:val="173"/>
        </w:trPr>
        <w:tc>
          <w:tcPr>
            <w:tcW w:w="518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2"/>
                <w:szCs w:val="12"/>
                <w:b w:val="1"/>
                <w:bCs w:val="1"/>
                <w:color w:val="auto"/>
              </w:rPr>
              <w:t xml:space="preserve">Risk-adjusted Net interest margin </w:t>
            </w:r>
            <w:r>
              <w:rPr>
                <w:rFonts w:ascii="Arial" w:cs="Arial" w:eastAsia="Arial" w:hAnsi="Arial"/>
                <w:sz w:val="20"/>
                <w:szCs w:val="20"/>
                <w:b w:val="1"/>
                <w:bCs w:val="1"/>
                <w:color w:val="auto"/>
                <w:vertAlign w:val="superscript"/>
              </w:rPr>
              <w:t>(1)</w:t>
            </w:r>
          </w:p>
        </w:tc>
        <w:tc>
          <w:tcPr>
            <w:tcW w:w="1560" w:type="dxa"/>
            <w:vAlign w:val="bottom"/>
          </w:tcPr>
          <w:p>
            <w:pPr>
              <w:jc w:val="right"/>
              <w:ind w:right="180"/>
              <w:spacing w:after="0"/>
              <w:rPr>
                <w:sz w:val="20"/>
                <w:szCs w:val="20"/>
                <w:color w:val="auto"/>
              </w:rPr>
            </w:pPr>
            <w:r>
              <w:rPr>
                <w:rFonts w:ascii="Arial" w:cs="Arial" w:eastAsia="Arial" w:hAnsi="Arial"/>
                <w:sz w:val="12"/>
                <w:szCs w:val="12"/>
                <w:b w:val="1"/>
                <w:bCs w:val="1"/>
                <w:color w:val="auto"/>
              </w:rPr>
              <w:t>4.01%</w:t>
            </w:r>
          </w:p>
        </w:tc>
        <w:tc>
          <w:tcPr>
            <w:tcW w:w="1360" w:type="dxa"/>
            <w:vAlign w:val="bottom"/>
          </w:tcPr>
          <w:p>
            <w:pPr>
              <w:jc w:val="right"/>
              <w:ind w:right="200"/>
              <w:spacing w:after="0"/>
              <w:rPr>
                <w:sz w:val="20"/>
                <w:szCs w:val="20"/>
                <w:color w:val="auto"/>
              </w:rPr>
            </w:pPr>
            <w:r>
              <w:rPr>
                <w:rFonts w:ascii="Arial" w:cs="Arial" w:eastAsia="Arial" w:hAnsi="Arial"/>
                <w:sz w:val="12"/>
                <w:szCs w:val="12"/>
                <w:b w:val="1"/>
                <w:bCs w:val="1"/>
                <w:color w:val="auto"/>
              </w:rPr>
              <w:t>4.45%</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4.54%</w:t>
            </w:r>
          </w:p>
        </w:tc>
        <w:tc>
          <w:tcPr>
            <w:tcW w:w="700" w:type="dxa"/>
            <w:vAlign w:val="bottom"/>
          </w:tcPr>
          <w:p>
            <w:pPr>
              <w:jc w:val="center"/>
              <w:ind w:left="240"/>
              <w:spacing w:after="0"/>
              <w:rPr>
                <w:sz w:val="20"/>
                <w:szCs w:val="20"/>
                <w:color w:val="auto"/>
              </w:rPr>
            </w:pPr>
            <w:r>
              <w:rPr>
                <w:rFonts w:ascii="Arial" w:cs="Arial" w:eastAsia="Arial" w:hAnsi="Arial"/>
                <w:sz w:val="12"/>
                <w:szCs w:val="12"/>
                <w:b w:val="1"/>
                <w:bCs w:val="1"/>
                <w:color w:val="auto"/>
                <w:w w:val="99"/>
              </w:rPr>
              <w:t>9bps</w:t>
            </w:r>
          </w:p>
        </w:tc>
        <w:tc>
          <w:tcPr>
            <w:tcW w:w="1340" w:type="dxa"/>
            <w:vAlign w:val="bottom"/>
            <w:tcBorders>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7"/>
              </w:rPr>
              <w:t>53bps</w:t>
            </w:r>
          </w:p>
        </w:tc>
      </w:tr>
      <w:tr>
        <w:trPr>
          <w:trHeight w:val="158"/>
        </w:trPr>
        <w:tc>
          <w:tcPr>
            <w:tcW w:w="5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provisions for loan losses / Net interest income</w:t>
            </w:r>
          </w:p>
        </w:tc>
        <w:tc>
          <w:tcPr>
            <w:tcW w:w="15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10.59%</w:t>
            </w: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23.31%</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23.21%</w:t>
            </w:r>
          </w:p>
        </w:tc>
        <w:tc>
          <w:tcPr>
            <w:tcW w:w="700" w:type="dxa"/>
            <w:vAlign w:val="bottom"/>
            <w:tcBorders>
              <w:bottom w:val="single" w:sz="8" w:color="auto"/>
            </w:tcBorders>
          </w:tcPr>
          <w:p>
            <w:pPr>
              <w:jc w:val="center"/>
              <w:ind w:left="240"/>
              <w:spacing w:after="0"/>
              <w:rPr>
                <w:sz w:val="20"/>
                <w:szCs w:val="20"/>
                <w:color w:val="auto"/>
              </w:rPr>
            </w:pPr>
            <w:r>
              <w:rPr>
                <w:rFonts w:ascii="Arial" w:cs="Arial" w:eastAsia="Arial" w:hAnsi="Arial"/>
                <w:sz w:val="12"/>
                <w:szCs w:val="12"/>
                <w:b w:val="1"/>
                <w:bCs w:val="1"/>
                <w:color w:val="auto"/>
              </w:rPr>
              <w:t>-0.1%</w:t>
            </w:r>
          </w:p>
        </w:tc>
        <w:tc>
          <w:tcPr>
            <w:tcW w:w="1340" w:type="dxa"/>
            <w:vAlign w:val="bottom"/>
            <w:tcBorders>
              <w:bottom w:val="single" w:sz="8" w:color="auto"/>
              <w:right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9"/>
              </w:rPr>
              <w:t>12.6%</w:t>
            </w:r>
          </w:p>
        </w:tc>
      </w:tr>
    </w:tbl>
    <w:p>
      <w:pPr>
        <w:spacing w:after="0" w:line="208" w:lineRule="auto"/>
        <w:rPr>
          <w:sz w:val="20"/>
          <w:szCs w:val="20"/>
          <w:color w:val="auto"/>
        </w:rPr>
      </w:pPr>
      <w:r>
        <w:rPr>
          <w:rFonts w:ascii="Calibri" w:cs="Calibri" w:eastAsia="Calibri" w:hAnsi="Calibri"/>
          <w:sz w:val="11"/>
          <w:szCs w:val="11"/>
          <w:color w:val="auto"/>
        </w:rPr>
        <w:t>(1) Annualized. For further detail on the new NIM calculaton due to IFRS17, please refer to Annex 12.1.8</w:t>
      </w:r>
    </w:p>
    <w:p>
      <w:pPr>
        <w:spacing w:after="0" w:line="24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Net Interest Margin (NIM) and Risk Adjusted NIM by subsidiary</w:t>
      </w:r>
    </w:p>
    <w:p>
      <w:pPr>
        <w:spacing w:after="0" w:line="333" w:lineRule="exact"/>
        <w:rPr>
          <w:sz w:val="20"/>
          <w:szCs w:val="20"/>
          <w:color w:val="auto"/>
        </w:rPr>
      </w:pPr>
    </w:p>
    <w:tbl>
      <w:tblPr>
        <w:tblLayout w:type="fixed"/>
        <w:tblInd w:w="570" w:type="dxa"/>
        <w:tblCellMar>
          <w:top w:w="0" w:type="dxa"/>
          <w:left w:w="0" w:type="dxa"/>
          <w:bottom w:w="0" w:type="dxa"/>
          <w:right w:w="0" w:type="dxa"/>
        </w:tblCellMar>
      </w:tblPr>
      <w:tr>
        <w:trPr>
          <w:trHeight w:val="184"/>
        </w:trPr>
        <w:tc>
          <w:tcPr>
            <w:tcW w:w="4760" w:type="dxa"/>
            <w:vAlign w:val="bottom"/>
            <w:tcBorders>
              <w:top w:val="single" w:sz="8" w:color="auto"/>
              <w:left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9"/>
              </w:rPr>
              <w:t>NIM Breakdown</w:t>
            </w:r>
          </w:p>
        </w:tc>
        <w:tc>
          <w:tcPr>
            <w:tcW w:w="1440" w:type="dxa"/>
            <w:vAlign w:val="bottom"/>
            <w:tcBorders>
              <w:top w:val="single" w:sz="8" w:color="auto"/>
              <w:bottom w:val="single" w:sz="8" w:color="auto"/>
            </w:tcBorders>
            <w:shd w:val="clear" w:color="auto" w:fill="33CCCC"/>
          </w:tcPr>
          <w:p>
            <w:pPr>
              <w:jc w:val="center"/>
              <w:ind w:right="80"/>
              <w:spacing w:after="0"/>
              <w:rPr>
                <w:sz w:val="20"/>
                <w:szCs w:val="20"/>
                <w:color w:val="auto"/>
              </w:rPr>
            </w:pPr>
            <w:r>
              <w:rPr>
                <w:rFonts w:ascii="Arial" w:cs="Arial" w:eastAsia="Arial" w:hAnsi="Arial"/>
                <w:sz w:val="12"/>
                <w:szCs w:val="12"/>
                <w:b w:val="1"/>
                <w:bCs w:val="1"/>
                <w:color w:val="FFFFFF"/>
              </w:rPr>
              <w:t>BCP Stand-alone</w:t>
            </w:r>
          </w:p>
        </w:tc>
        <w:tc>
          <w:tcPr>
            <w:tcW w:w="116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Mibanco</w:t>
            </w:r>
          </w:p>
        </w:tc>
        <w:tc>
          <w:tcPr>
            <w:tcW w:w="142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BCP Bolivia</w:t>
            </w:r>
          </w:p>
        </w:tc>
        <w:tc>
          <w:tcPr>
            <w:tcW w:w="134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8"/>
              </w:rPr>
              <w:t>Credicorp</w:t>
            </w:r>
          </w:p>
        </w:tc>
      </w:tr>
      <w:tr>
        <w:trPr>
          <w:trHeight w:val="162"/>
        </w:trPr>
        <w:tc>
          <w:tcPr>
            <w:tcW w:w="4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1Q22</w:t>
            </w:r>
          </w:p>
        </w:tc>
        <w:tc>
          <w:tcPr>
            <w:tcW w:w="1440" w:type="dxa"/>
            <w:vAlign w:val="bottom"/>
          </w:tcPr>
          <w:p>
            <w:pPr>
              <w:jc w:val="center"/>
              <w:ind w:right="80"/>
              <w:spacing w:after="0"/>
              <w:rPr>
                <w:sz w:val="20"/>
                <w:szCs w:val="20"/>
                <w:color w:val="auto"/>
              </w:rPr>
            </w:pPr>
            <w:r>
              <w:rPr>
                <w:rFonts w:ascii="Arial" w:cs="Arial" w:eastAsia="Arial" w:hAnsi="Arial"/>
                <w:sz w:val="12"/>
                <w:szCs w:val="12"/>
                <w:color w:val="auto"/>
                <w:w w:val="99"/>
              </w:rPr>
              <w:t>3.85%</w:t>
            </w:r>
          </w:p>
        </w:tc>
        <w:tc>
          <w:tcPr>
            <w:tcW w:w="1160" w:type="dxa"/>
            <w:vAlign w:val="bottom"/>
          </w:tcPr>
          <w:p>
            <w:pPr>
              <w:jc w:val="center"/>
              <w:spacing w:after="0"/>
              <w:rPr>
                <w:sz w:val="20"/>
                <w:szCs w:val="20"/>
                <w:color w:val="auto"/>
              </w:rPr>
            </w:pPr>
            <w:r>
              <w:rPr>
                <w:rFonts w:ascii="Arial" w:cs="Arial" w:eastAsia="Arial" w:hAnsi="Arial"/>
                <w:sz w:val="12"/>
                <w:szCs w:val="12"/>
                <w:color w:val="auto"/>
              </w:rPr>
              <w:t>12.71%</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2.76%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4.46%</w:t>
            </w:r>
          </w:p>
        </w:tc>
      </w:tr>
      <w:tr>
        <w:trPr>
          <w:trHeight w:val="159"/>
        </w:trPr>
        <w:tc>
          <w:tcPr>
            <w:tcW w:w="4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4Q22</w:t>
            </w:r>
          </w:p>
        </w:tc>
        <w:tc>
          <w:tcPr>
            <w:tcW w:w="1440" w:type="dxa"/>
            <w:vAlign w:val="bottom"/>
          </w:tcPr>
          <w:p>
            <w:pPr>
              <w:jc w:val="center"/>
              <w:ind w:right="80"/>
              <w:spacing w:after="0"/>
              <w:rPr>
                <w:sz w:val="20"/>
                <w:szCs w:val="20"/>
                <w:color w:val="auto"/>
              </w:rPr>
            </w:pPr>
            <w:r>
              <w:rPr>
                <w:rFonts w:ascii="Arial" w:cs="Arial" w:eastAsia="Arial" w:hAnsi="Arial"/>
                <w:sz w:val="12"/>
                <w:szCs w:val="12"/>
                <w:color w:val="auto"/>
                <w:w w:val="99"/>
              </w:rPr>
              <w:t>5.41%</w:t>
            </w:r>
          </w:p>
        </w:tc>
        <w:tc>
          <w:tcPr>
            <w:tcW w:w="1160" w:type="dxa"/>
            <w:vAlign w:val="bottom"/>
          </w:tcPr>
          <w:p>
            <w:pPr>
              <w:jc w:val="center"/>
              <w:spacing w:after="0"/>
              <w:rPr>
                <w:sz w:val="20"/>
                <w:szCs w:val="20"/>
                <w:color w:val="auto"/>
              </w:rPr>
            </w:pPr>
            <w:r>
              <w:rPr>
                <w:rFonts w:ascii="Arial" w:cs="Arial" w:eastAsia="Arial" w:hAnsi="Arial"/>
                <w:sz w:val="12"/>
                <w:szCs w:val="12"/>
                <w:color w:val="auto"/>
              </w:rPr>
              <w:t>12.73%</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2.71%</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5.75%</w:t>
            </w:r>
          </w:p>
        </w:tc>
      </w:tr>
      <w:tr>
        <w:trPr>
          <w:trHeight w:val="158"/>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1Q23</w:t>
            </w:r>
          </w:p>
        </w:tc>
        <w:tc>
          <w:tcPr>
            <w:tcW w:w="144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color w:val="auto"/>
                <w:w w:val="99"/>
              </w:rPr>
              <w:t>5.55%</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12.52%</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2.86%</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5.84%</w:t>
            </w:r>
          </w:p>
        </w:tc>
      </w:tr>
    </w:tbl>
    <w:p>
      <w:pPr>
        <w:spacing w:after="0" w:line="203" w:lineRule="auto"/>
        <w:rPr>
          <w:sz w:val="20"/>
          <w:szCs w:val="20"/>
          <w:color w:val="auto"/>
        </w:rPr>
      </w:pPr>
      <w:r>
        <w:rPr>
          <w:rFonts w:ascii="Calibri" w:cs="Calibri" w:eastAsia="Calibri" w:hAnsi="Calibri"/>
          <w:sz w:val="10"/>
          <w:szCs w:val="10"/>
          <w:color w:val="auto"/>
        </w:rPr>
        <w:t>NIM: Annualized Net interest income (excluding Net Insurance Financial Expenses) / Average period end and period beginning interest earning assets.</w:t>
      </w:r>
    </w:p>
    <w:p>
      <w:pPr>
        <w:spacing w:after="0" w:line="308" w:lineRule="exact"/>
        <w:rPr>
          <w:sz w:val="20"/>
          <w:szCs w:val="20"/>
          <w:color w:val="auto"/>
        </w:rPr>
      </w:pPr>
    </w:p>
    <w:tbl>
      <w:tblPr>
        <w:tblLayout w:type="fixed"/>
        <w:tblInd w:w="570" w:type="dxa"/>
        <w:tblCellMar>
          <w:top w:w="0" w:type="dxa"/>
          <w:left w:w="0" w:type="dxa"/>
          <w:bottom w:w="0" w:type="dxa"/>
          <w:right w:w="0" w:type="dxa"/>
        </w:tblCellMar>
      </w:tblPr>
      <w:tr>
        <w:trPr>
          <w:trHeight w:val="184"/>
        </w:trPr>
        <w:tc>
          <w:tcPr>
            <w:tcW w:w="4760" w:type="dxa"/>
            <w:vAlign w:val="bottom"/>
            <w:tcBorders>
              <w:top w:val="single" w:sz="8" w:color="auto"/>
              <w:left w:val="single" w:sz="8" w:color="auto"/>
              <w:bottom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2"/>
                <w:szCs w:val="12"/>
                <w:b w:val="1"/>
                <w:bCs w:val="1"/>
                <w:color w:val="FFFFFF"/>
              </w:rPr>
              <w:t>Risk Adjusted NIM Breakdown</w:t>
            </w:r>
          </w:p>
        </w:tc>
        <w:tc>
          <w:tcPr>
            <w:tcW w:w="1440" w:type="dxa"/>
            <w:vAlign w:val="bottom"/>
            <w:tcBorders>
              <w:top w:val="single" w:sz="8" w:color="auto"/>
              <w:bottom w:val="single" w:sz="8" w:color="auto"/>
            </w:tcBorders>
            <w:shd w:val="clear" w:color="auto" w:fill="33CCCC"/>
          </w:tcPr>
          <w:p>
            <w:pPr>
              <w:jc w:val="center"/>
              <w:ind w:right="80"/>
              <w:spacing w:after="0"/>
              <w:rPr>
                <w:sz w:val="20"/>
                <w:szCs w:val="20"/>
                <w:color w:val="auto"/>
              </w:rPr>
            </w:pPr>
            <w:r>
              <w:rPr>
                <w:rFonts w:ascii="Arial" w:cs="Arial" w:eastAsia="Arial" w:hAnsi="Arial"/>
                <w:sz w:val="12"/>
                <w:szCs w:val="12"/>
                <w:b w:val="1"/>
                <w:bCs w:val="1"/>
                <w:color w:val="FFFFFF"/>
              </w:rPr>
              <w:t>BCP Stand-alone</w:t>
            </w:r>
          </w:p>
        </w:tc>
        <w:tc>
          <w:tcPr>
            <w:tcW w:w="1160" w:type="dxa"/>
            <w:vAlign w:val="bottom"/>
            <w:tcBorders>
              <w:top w:val="single" w:sz="8" w:color="auto"/>
              <w:bottom w:val="single" w:sz="8" w:color="auto"/>
            </w:tcBorders>
            <w:shd w:val="clear" w:color="auto" w:fill="33CCCC"/>
          </w:tcPr>
          <w:p>
            <w:pPr>
              <w:ind w:left="300"/>
              <w:spacing w:after="0"/>
              <w:rPr>
                <w:sz w:val="20"/>
                <w:szCs w:val="20"/>
                <w:color w:val="auto"/>
              </w:rPr>
            </w:pPr>
            <w:r>
              <w:rPr>
                <w:rFonts w:ascii="Arial" w:cs="Arial" w:eastAsia="Arial" w:hAnsi="Arial"/>
                <w:sz w:val="12"/>
                <w:szCs w:val="12"/>
                <w:b w:val="1"/>
                <w:bCs w:val="1"/>
                <w:color w:val="FFFFFF"/>
              </w:rPr>
              <w:t>Mibanco</w:t>
            </w:r>
          </w:p>
        </w:tc>
        <w:tc>
          <w:tcPr>
            <w:tcW w:w="142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BCP Bolivia</w:t>
            </w:r>
          </w:p>
        </w:tc>
        <w:tc>
          <w:tcPr>
            <w:tcW w:w="134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8"/>
              </w:rPr>
              <w:t>Credicorp</w:t>
            </w:r>
          </w:p>
        </w:tc>
      </w:tr>
      <w:tr>
        <w:trPr>
          <w:trHeight w:val="162"/>
        </w:trPr>
        <w:tc>
          <w:tcPr>
            <w:tcW w:w="4760" w:type="dxa"/>
            <w:vAlign w:val="bottom"/>
            <w:tcBorders>
              <w:left w:val="single" w:sz="8" w:color="auto"/>
              <w:right w:val="single" w:sz="8" w:color="auto"/>
            </w:tcBorders>
          </w:tcPr>
          <w:p>
            <w:pPr>
              <w:ind w:left="2240"/>
              <w:spacing w:after="0"/>
              <w:rPr>
                <w:sz w:val="20"/>
                <w:szCs w:val="20"/>
                <w:color w:val="auto"/>
              </w:rPr>
            </w:pPr>
            <w:r>
              <w:rPr>
                <w:rFonts w:ascii="Arial" w:cs="Arial" w:eastAsia="Arial" w:hAnsi="Arial"/>
                <w:sz w:val="12"/>
                <w:szCs w:val="12"/>
                <w:b w:val="1"/>
                <w:bCs w:val="1"/>
                <w:color w:val="auto"/>
              </w:rPr>
              <w:t>1Q22</w:t>
            </w:r>
          </w:p>
        </w:tc>
        <w:tc>
          <w:tcPr>
            <w:tcW w:w="1440" w:type="dxa"/>
            <w:vAlign w:val="bottom"/>
          </w:tcPr>
          <w:p>
            <w:pPr>
              <w:jc w:val="center"/>
              <w:ind w:right="80"/>
              <w:spacing w:after="0"/>
              <w:rPr>
                <w:sz w:val="20"/>
                <w:szCs w:val="20"/>
                <w:color w:val="auto"/>
              </w:rPr>
            </w:pPr>
            <w:r>
              <w:rPr>
                <w:rFonts w:ascii="Arial" w:cs="Arial" w:eastAsia="Arial" w:hAnsi="Arial"/>
                <w:sz w:val="12"/>
                <w:szCs w:val="12"/>
                <w:color w:val="auto"/>
                <w:w w:val="99"/>
              </w:rPr>
              <w:t>3.52%</w:t>
            </w:r>
          </w:p>
        </w:tc>
        <w:tc>
          <w:tcPr>
            <w:tcW w:w="1160" w:type="dxa"/>
            <w:vAlign w:val="bottom"/>
          </w:tcPr>
          <w:p>
            <w:pPr>
              <w:jc w:val="center"/>
              <w:spacing w:after="0"/>
              <w:rPr>
                <w:sz w:val="20"/>
                <w:szCs w:val="20"/>
                <w:color w:val="auto"/>
              </w:rPr>
            </w:pPr>
            <w:r>
              <w:rPr>
                <w:rFonts w:ascii="Arial" w:cs="Arial" w:eastAsia="Arial" w:hAnsi="Arial"/>
                <w:sz w:val="12"/>
                <w:szCs w:val="12"/>
                <w:color w:val="auto"/>
              </w:rPr>
              <w:t>10.10%</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2.86%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4.01%</w:t>
            </w:r>
          </w:p>
        </w:tc>
      </w:tr>
      <w:tr>
        <w:trPr>
          <w:trHeight w:val="159"/>
        </w:trPr>
        <w:tc>
          <w:tcPr>
            <w:tcW w:w="4760" w:type="dxa"/>
            <w:vAlign w:val="bottom"/>
            <w:tcBorders>
              <w:left w:val="single" w:sz="8" w:color="auto"/>
              <w:right w:val="single" w:sz="8" w:color="auto"/>
            </w:tcBorders>
          </w:tcPr>
          <w:p>
            <w:pPr>
              <w:ind w:left="2240"/>
              <w:spacing w:after="0"/>
              <w:rPr>
                <w:sz w:val="20"/>
                <w:szCs w:val="20"/>
                <w:color w:val="auto"/>
              </w:rPr>
            </w:pPr>
            <w:r>
              <w:rPr>
                <w:rFonts w:ascii="Arial" w:cs="Arial" w:eastAsia="Arial" w:hAnsi="Arial"/>
                <w:sz w:val="12"/>
                <w:szCs w:val="12"/>
                <w:b w:val="1"/>
                <w:bCs w:val="1"/>
                <w:color w:val="auto"/>
              </w:rPr>
              <w:t>4Q22</w:t>
            </w:r>
          </w:p>
        </w:tc>
        <w:tc>
          <w:tcPr>
            <w:tcW w:w="1440" w:type="dxa"/>
            <w:vAlign w:val="bottom"/>
          </w:tcPr>
          <w:p>
            <w:pPr>
              <w:jc w:val="center"/>
              <w:ind w:right="80"/>
              <w:spacing w:after="0"/>
              <w:rPr>
                <w:sz w:val="20"/>
                <w:szCs w:val="20"/>
                <w:color w:val="auto"/>
              </w:rPr>
            </w:pPr>
            <w:r>
              <w:rPr>
                <w:rFonts w:ascii="Arial" w:cs="Arial" w:eastAsia="Arial" w:hAnsi="Arial"/>
                <w:sz w:val="12"/>
                <w:szCs w:val="12"/>
                <w:color w:val="auto"/>
                <w:w w:val="99"/>
              </w:rPr>
              <w:t>4.24%</w:t>
            </w:r>
          </w:p>
        </w:tc>
        <w:tc>
          <w:tcPr>
            <w:tcW w:w="1160" w:type="dxa"/>
            <w:vAlign w:val="bottom"/>
          </w:tcPr>
          <w:p>
            <w:pPr>
              <w:jc w:val="center"/>
              <w:spacing w:after="0"/>
              <w:rPr>
                <w:sz w:val="20"/>
                <w:szCs w:val="20"/>
                <w:color w:val="auto"/>
              </w:rPr>
            </w:pPr>
            <w:r>
              <w:rPr>
                <w:rFonts w:ascii="Arial" w:cs="Arial" w:eastAsia="Arial" w:hAnsi="Arial"/>
                <w:sz w:val="12"/>
                <w:szCs w:val="12"/>
                <w:color w:val="auto"/>
                <w:w w:val="99"/>
              </w:rPr>
              <w:t>8.14%</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2.13%</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4.45%</w:t>
            </w:r>
          </w:p>
        </w:tc>
      </w:tr>
      <w:tr>
        <w:trPr>
          <w:trHeight w:val="158"/>
        </w:trPr>
        <w:tc>
          <w:tcPr>
            <w:tcW w:w="4760" w:type="dxa"/>
            <w:vAlign w:val="bottom"/>
            <w:tcBorders>
              <w:left w:val="single" w:sz="8" w:color="auto"/>
              <w:bottom w:val="single" w:sz="8" w:color="auto"/>
              <w:right w:val="single" w:sz="8" w:color="auto"/>
            </w:tcBorders>
          </w:tcPr>
          <w:p>
            <w:pPr>
              <w:ind w:left="2240"/>
              <w:spacing w:after="0"/>
              <w:rPr>
                <w:sz w:val="20"/>
                <w:szCs w:val="20"/>
                <w:color w:val="auto"/>
              </w:rPr>
            </w:pPr>
            <w:r>
              <w:rPr>
                <w:rFonts w:ascii="Arial" w:cs="Arial" w:eastAsia="Arial" w:hAnsi="Arial"/>
                <w:sz w:val="12"/>
                <w:szCs w:val="12"/>
                <w:b w:val="1"/>
                <w:bCs w:val="1"/>
                <w:color w:val="auto"/>
              </w:rPr>
              <w:t>1Q23</w:t>
            </w:r>
          </w:p>
        </w:tc>
        <w:tc>
          <w:tcPr>
            <w:tcW w:w="144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color w:val="auto"/>
                <w:w w:val="99"/>
              </w:rPr>
              <w:t>4.42%</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7.03%</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2.74%</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4.54%</w:t>
            </w:r>
          </w:p>
        </w:tc>
      </w:tr>
    </w:tbl>
    <w:p>
      <w:pPr>
        <w:spacing w:after="0" w:line="203" w:lineRule="auto"/>
        <w:rPr>
          <w:sz w:val="20"/>
          <w:szCs w:val="20"/>
          <w:color w:val="auto"/>
        </w:rPr>
      </w:pPr>
      <w:r>
        <w:rPr>
          <w:rFonts w:ascii="Calibri" w:cs="Calibri" w:eastAsia="Calibri" w:hAnsi="Calibri"/>
          <w:sz w:val="10"/>
          <w:szCs w:val="10"/>
          <w:color w:val="auto"/>
        </w:rPr>
        <w:t>Risk-Adjusted NIM: (Annualized Net interest income (excluding Net Insurance Financial Expenses) - annualized provisions) / Average period end and period beginning interest earning assets.</w:t>
      </w:r>
    </w:p>
    <w:p>
      <w:pPr>
        <w:spacing w:after="0" w:line="331"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5" w:right="319" w:bottom="1440" w:gutter="0" w:footer="0" w:header="0"/>
        </w:sectPr>
      </w:pPr>
    </w:p>
    <w:bookmarkStart w:id="62" w:name="page63"/>
    <w:bookmarkEnd w:id="62"/>
    <w:p>
      <w:pPr>
        <w:ind w:left="2720"/>
        <w:spacing w:after="0"/>
        <w:tabs>
          <w:tab w:leader="none" w:pos="2920" w:val="left"/>
          <w:tab w:leader="none" w:pos="858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3910" cy="2305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FFFFFF"/>
        </w:rPr>
        <w:t>12. Appendix</w:t>
      </w:r>
    </w:p>
    <w:p>
      <w:pPr>
        <w:spacing w:after="0" w:line="242"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auto"/>
        </w:rPr>
        <w:t>12.5. Regulatory Capital</w:t>
      </w:r>
    </w:p>
    <w:p>
      <w:pPr>
        <w:jc w:val="center"/>
        <w:spacing w:after="0" w:line="236" w:lineRule="auto"/>
        <w:rPr>
          <w:sz w:val="20"/>
          <w:szCs w:val="20"/>
          <w:color w:val="auto"/>
        </w:rPr>
      </w:pPr>
      <w:r>
        <w:rPr>
          <w:rFonts w:ascii="Calibri" w:cs="Calibri" w:eastAsia="Calibri" w:hAnsi="Calibri"/>
          <w:sz w:val="17"/>
          <w:szCs w:val="17"/>
          <w:b w:val="1"/>
          <w:bCs w:val="1"/>
          <w:color w:val="auto"/>
        </w:rPr>
        <w:t>Regulatory Capital and Capital Adequacy Ratos</w:t>
      </w:r>
    </w:p>
    <w:p>
      <w:pPr>
        <w:jc w:val="center"/>
        <w:spacing w:after="0" w:line="236" w:lineRule="auto"/>
        <w:rPr>
          <w:sz w:val="20"/>
          <w:szCs w:val="20"/>
          <w:color w:val="auto"/>
        </w:rPr>
      </w:pPr>
      <w:r>
        <w:rPr>
          <w:rFonts w:ascii="Calibri" w:cs="Calibri" w:eastAsia="Calibri" w:hAnsi="Calibri"/>
          <w:sz w:val="17"/>
          <w:szCs w:val="17"/>
          <w:b w:val="1"/>
          <w:bCs w:val="1"/>
          <w:color w:val="auto"/>
        </w:rPr>
        <w:t>(S/ Thousands, IFRS)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5220" w:type="dxa"/>
            <w:vAlign w:val="bottom"/>
            <w:tcBorders>
              <w:right w:val="single" w:sz="8" w:color="auto"/>
            </w:tcBorders>
          </w:tcPr>
          <w:p>
            <w:pPr>
              <w:spacing w:after="0"/>
              <w:rPr>
                <w:sz w:val="17"/>
                <w:szCs w:val="17"/>
                <w:color w:val="auto"/>
              </w:rPr>
            </w:pPr>
          </w:p>
        </w:tc>
        <w:tc>
          <w:tcPr>
            <w:tcW w:w="1560" w:type="dxa"/>
            <w:vAlign w:val="bottom"/>
            <w:tcBorders>
              <w:top w:val="single" w:sz="8" w:color="646464"/>
            </w:tcBorders>
            <w:shd w:val="clear" w:color="auto" w:fill="33CCCC"/>
          </w:tcPr>
          <w:p>
            <w:pPr>
              <w:spacing w:after="0"/>
              <w:rPr>
                <w:sz w:val="17"/>
                <w:szCs w:val="17"/>
                <w:color w:val="auto"/>
              </w:rPr>
            </w:pPr>
          </w:p>
        </w:tc>
        <w:tc>
          <w:tcPr>
            <w:tcW w:w="1340" w:type="dxa"/>
            <w:vAlign w:val="bottom"/>
            <w:tcBorders>
              <w:top w:val="single" w:sz="8" w:color="646464"/>
            </w:tcBorders>
            <w:shd w:val="clear" w:color="auto" w:fill="33CCCC"/>
          </w:tcPr>
          <w:p>
            <w:pPr>
              <w:jc w:val="right"/>
              <w:ind w:right="664"/>
              <w:spacing w:after="0"/>
              <w:rPr>
                <w:sz w:val="20"/>
                <w:szCs w:val="20"/>
                <w:color w:val="auto"/>
              </w:rPr>
            </w:pPr>
            <w:r>
              <w:rPr>
                <w:rFonts w:ascii="Calibri" w:cs="Calibri" w:eastAsia="Calibri" w:hAnsi="Calibri"/>
                <w:sz w:val="15"/>
                <w:szCs w:val="15"/>
                <w:b w:val="1"/>
                <w:bCs w:val="1"/>
                <w:color w:val="FFFFFF"/>
              </w:rPr>
              <w:t>As of</w:t>
            </w:r>
          </w:p>
        </w:tc>
        <w:tc>
          <w:tcPr>
            <w:tcW w:w="1140" w:type="dxa"/>
            <w:vAlign w:val="bottom"/>
            <w:tcBorders>
              <w:top w:val="single" w:sz="8" w:color="646464"/>
              <w:right w:val="single" w:sz="8" w:color="auto"/>
            </w:tcBorders>
            <w:shd w:val="clear" w:color="auto" w:fill="33CCCC"/>
          </w:tcPr>
          <w:p>
            <w:pPr>
              <w:spacing w:after="0"/>
              <w:rPr>
                <w:sz w:val="17"/>
                <w:szCs w:val="17"/>
                <w:color w:val="auto"/>
              </w:rPr>
            </w:pPr>
          </w:p>
        </w:tc>
        <w:tc>
          <w:tcPr>
            <w:tcW w:w="1300" w:type="dxa"/>
            <w:vAlign w:val="bottom"/>
            <w:tcBorders>
              <w:top w:val="single" w:sz="8" w:color="646464"/>
            </w:tcBorders>
            <w:shd w:val="clear" w:color="auto" w:fill="33CCCC"/>
          </w:tcPr>
          <w:p>
            <w:pPr>
              <w:ind w:left="700"/>
              <w:spacing w:after="0"/>
              <w:rPr>
                <w:sz w:val="20"/>
                <w:szCs w:val="20"/>
                <w:color w:val="auto"/>
              </w:rPr>
            </w:pPr>
            <w:r>
              <w:rPr>
                <w:rFonts w:ascii="Calibri" w:cs="Calibri" w:eastAsia="Calibri" w:hAnsi="Calibri"/>
                <w:sz w:val="15"/>
                <w:szCs w:val="15"/>
                <w:b w:val="1"/>
                <w:bCs w:val="1"/>
                <w:color w:val="FFFFFF"/>
                <w:w w:val="95"/>
              </w:rPr>
              <w:t>% Change</w:t>
            </w:r>
          </w:p>
        </w:tc>
        <w:tc>
          <w:tcPr>
            <w:tcW w:w="720" w:type="dxa"/>
            <w:vAlign w:val="bottom"/>
            <w:tcBorders>
              <w:top w:val="single" w:sz="8" w:color="646464"/>
              <w:right w:val="single" w:sz="8" w:color="auto"/>
            </w:tcBorders>
            <w:shd w:val="clear" w:color="auto" w:fill="33CCCC"/>
          </w:tcPr>
          <w:p>
            <w:pPr>
              <w:spacing w:after="0"/>
              <w:rPr>
                <w:sz w:val="17"/>
                <w:szCs w:val="17"/>
                <w:color w:val="auto"/>
              </w:rPr>
            </w:pPr>
          </w:p>
        </w:tc>
      </w:tr>
      <w:tr>
        <w:trPr>
          <w:trHeight w:val="232"/>
        </w:trPr>
        <w:tc>
          <w:tcPr>
            <w:tcW w:w="5220" w:type="dxa"/>
            <w:vAlign w:val="bottom"/>
            <w:tcBorders>
              <w:right w:val="single" w:sz="8" w:color="auto"/>
            </w:tcBorders>
          </w:tcPr>
          <w:p>
            <w:pPr>
              <w:spacing w:after="0"/>
              <w:rPr>
                <w:sz w:val="20"/>
                <w:szCs w:val="20"/>
                <w:color w:val="auto"/>
              </w:rPr>
            </w:pPr>
          </w:p>
        </w:tc>
        <w:tc>
          <w:tcPr>
            <w:tcW w:w="1560" w:type="dxa"/>
            <w:vAlign w:val="bottom"/>
            <w:tcBorders>
              <w:bottom w:val="single" w:sz="8" w:color="33CCCC"/>
            </w:tcBorders>
            <w:shd w:val="clear" w:color="auto" w:fill="33CCCC"/>
          </w:tcPr>
          <w:p>
            <w:pPr>
              <w:jc w:val="right"/>
              <w:ind w:right="604"/>
              <w:spacing w:after="0"/>
              <w:rPr>
                <w:sz w:val="20"/>
                <w:szCs w:val="20"/>
                <w:color w:val="auto"/>
              </w:rPr>
            </w:pPr>
            <w:r>
              <w:rPr>
                <w:rFonts w:ascii="Calibri" w:cs="Calibri" w:eastAsia="Calibri" w:hAnsi="Calibri"/>
                <w:sz w:val="15"/>
                <w:szCs w:val="15"/>
                <w:b w:val="1"/>
                <w:bCs w:val="1"/>
                <w:color w:val="FFFFFF"/>
              </w:rPr>
              <w:t>Mar 22</w:t>
            </w:r>
          </w:p>
        </w:tc>
        <w:tc>
          <w:tcPr>
            <w:tcW w:w="1340" w:type="dxa"/>
            <w:vAlign w:val="bottom"/>
            <w:tcBorders>
              <w:bottom w:val="single" w:sz="8" w:color="33CCCC"/>
            </w:tcBorders>
            <w:shd w:val="clear" w:color="auto" w:fill="33CCCC"/>
          </w:tcPr>
          <w:p>
            <w:pPr>
              <w:jc w:val="right"/>
              <w:ind w:right="624"/>
              <w:spacing w:after="0"/>
              <w:rPr>
                <w:sz w:val="20"/>
                <w:szCs w:val="20"/>
                <w:color w:val="auto"/>
              </w:rPr>
            </w:pPr>
            <w:r>
              <w:rPr>
                <w:rFonts w:ascii="Calibri" w:cs="Calibri" w:eastAsia="Calibri" w:hAnsi="Calibri"/>
                <w:sz w:val="15"/>
                <w:szCs w:val="15"/>
                <w:b w:val="1"/>
                <w:bCs w:val="1"/>
                <w:color w:val="FFFFFF"/>
              </w:rPr>
              <w:t>Dec 22</w:t>
            </w:r>
          </w:p>
        </w:tc>
        <w:tc>
          <w:tcPr>
            <w:tcW w:w="1140" w:type="dxa"/>
            <w:vAlign w:val="bottom"/>
            <w:tcBorders>
              <w:bottom w:val="single" w:sz="8" w:color="33CCCC"/>
              <w:right w:val="single" w:sz="8" w:color="auto"/>
            </w:tcBorders>
            <w:shd w:val="clear" w:color="auto" w:fill="33CCCC"/>
          </w:tcPr>
          <w:p>
            <w:pPr>
              <w:jc w:val="right"/>
              <w:ind w:right="404"/>
              <w:spacing w:after="0"/>
              <w:rPr>
                <w:sz w:val="20"/>
                <w:szCs w:val="20"/>
                <w:color w:val="auto"/>
              </w:rPr>
            </w:pPr>
            <w:r>
              <w:rPr>
                <w:rFonts w:ascii="Calibri" w:cs="Calibri" w:eastAsia="Calibri" w:hAnsi="Calibri"/>
                <w:sz w:val="15"/>
                <w:szCs w:val="15"/>
                <w:b w:val="1"/>
                <w:bCs w:val="1"/>
                <w:color w:val="FFFFFF"/>
              </w:rPr>
              <w:t>Mar 23</w:t>
            </w:r>
          </w:p>
        </w:tc>
        <w:tc>
          <w:tcPr>
            <w:tcW w:w="1300" w:type="dxa"/>
            <w:vAlign w:val="bottom"/>
            <w:tcBorders>
              <w:bottom w:val="single" w:sz="8" w:color="33CCCC"/>
            </w:tcBorders>
            <w:shd w:val="clear" w:color="auto" w:fill="33CCCC"/>
          </w:tcPr>
          <w:p>
            <w:pPr>
              <w:ind w:left="360"/>
              <w:spacing w:after="0"/>
              <w:rPr>
                <w:sz w:val="20"/>
                <w:szCs w:val="20"/>
                <w:color w:val="auto"/>
              </w:rPr>
            </w:pPr>
            <w:r>
              <w:rPr>
                <w:rFonts w:ascii="Calibri" w:cs="Calibri" w:eastAsia="Calibri" w:hAnsi="Calibri"/>
                <w:sz w:val="15"/>
                <w:szCs w:val="15"/>
                <w:b w:val="1"/>
                <w:bCs w:val="1"/>
                <w:color w:val="FFFFFF"/>
              </w:rPr>
              <w:t>QoQ</w:t>
            </w:r>
          </w:p>
        </w:tc>
        <w:tc>
          <w:tcPr>
            <w:tcW w:w="720" w:type="dxa"/>
            <w:vAlign w:val="bottom"/>
            <w:tcBorders>
              <w:bottom w:val="single" w:sz="8" w:color="33CCCC"/>
              <w:right w:val="single" w:sz="8" w:color="auto"/>
            </w:tcBorders>
            <w:shd w:val="clear" w:color="auto" w:fill="33CCCC"/>
          </w:tcPr>
          <w:p>
            <w:pPr>
              <w:ind w:left="80"/>
              <w:spacing w:after="0"/>
              <w:rPr>
                <w:sz w:val="20"/>
                <w:szCs w:val="20"/>
                <w:color w:val="auto"/>
              </w:rPr>
            </w:pPr>
            <w:r>
              <w:rPr>
                <w:rFonts w:ascii="Calibri" w:cs="Calibri" w:eastAsia="Calibri" w:hAnsi="Calibri"/>
                <w:sz w:val="15"/>
                <w:szCs w:val="15"/>
                <w:b w:val="1"/>
                <w:bCs w:val="1"/>
                <w:color w:val="FFFFFF"/>
              </w:rPr>
              <w:t>YoY</w:t>
            </w:r>
          </w:p>
        </w:tc>
      </w:tr>
      <w:tr>
        <w:trPr>
          <w:trHeight w:val="179"/>
        </w:trPr>
        <w:tc>
          <w:tcPr>
            <w:tcW w:w="5220" w:type="dxa"/>
            <w:vAlign w:val="bottom"/>
            <w:tcBorders>
              <w:top w:val="single" w:sz="8" w:color="auto"/>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color w:val="auto"/>
              </w:rPr>
              <w:t>Capital Stock</w:t>
            </w:r>
          </w:p>
        </w:tc>
        <w:tc>
          <w:tcPr>
            <w:tcW w:w="1560" w:type="dxa"/>
            <w:vAlign w:val="bottom"/>
            <w:tcBorders>
              <w:top w:val="single" w:sz="8" w:color="auto"/>
            </w:tcBorders>
          </w:tcPr>
          <w:p>
            <w:pPr>
              <w:jc w:val="right"/>
              <w:ind w:right="164"/>
              <w:spacing w:after="0" w:line="180" w:lineRule="exact"/>
              <w:rPr>
                <w:sz w:val="20"/>
                <w:szCs w:val="20"/>
                <w:color w:val="auto"/>
              </w:rPr>
            </w:pPr>
            <w:r>
              <w:rPr>
                <w:rFonts w:ascii="Calibri" w:cs="Calibri" w:eastAsia="Calibri" w:hAnsi="Calibri"/>
                <w:sz w:val="15"/>
                <w:szCs w:val="15"/>
                <w:color w:val="auto"/>
              </w:rPr>
              <w:t>1,318,993</w:t>
            </w:r>
          </w:p>
        </w:tc>
        <w:tc>
          <w:tcPr>
            <w:tcW w:w="1340" w:type="dxa"/>
            <w:vAlign w:val="bottom"/>
            <w:tcBorders>
              <w:top w:val="single" w:sz="8" w:color="auto"/>
            </w:tcBorders>
          </w:tcPr>
          <w:p>
            <w:pPr>
              <w:jc w:val="right"/>
              <w:ind w:right="164"/>
              <w:spacing w:after="0" w:line="180" w:lineRule="exact"/>
              <w:rPr>
                <w:sz w:val="20"/>
                <w:szCs w:val="20"/>
                <w:color w:val="auto"/>
              </w:rPr>
            </w:pPr>
            <w:r>
              <w:rPr>
                <w:rFonts w:ascii="Calibri" w:cs="Calibri" w:eastAsia="Calibri" w:hAnsi="Calibri"/>
                <w:sz w:val="15"/>
                <w:szCs w:val="15"/>
                <w:color w:val="auto"/>
              </w:rPr>
              <w:t>1,318,993</w:t>
            </w:r>
          </w:p>
        </w:tc>
        <w:tc>
          <w:tcPr>
            <w:tcW w:w="1140" w:type="dxa"/>
            <w:vAlign w:val="bottom"/>
            <w:tcBorders>
              <w:top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1,318,993</w:t>
            </w:r>
          </w:p>
        </w:tc>
        <w:tc>
          <w:tcPr>
            <w:tcW w:w="1300" w:type="dxa"/>
            <w:vAlign w:val="bottom"/>
            <w:tcBorders>
              <w:top w:val="single" w:sz="8" w:color="auto"/>
            </w:tcBorders>
          </w:tcPr>
          <w:p>
            <w:pPr>
              <w:jc w:val="center"/>
              <w:ind w:right="224"/>
              <w:spacing w:after="0" w:line="180" w:lineRule="exact"/>
              <w:rPr>
                <w:sz w:val="20"/>
                <w:szCs w:val="20"/>
                <w:color w:val="auto"/>
              </w:rPr>
            </w:pPr>
            <w:r>
              <w:rPr>
                <w:rFonts w:ascii="Calibri" w:cs="Calibri" w:eastAsia="Calibri" w:hAnsi="Calibri"/>
                <w:sz w:val="15"/>
                <w:szCs w:val="15"/>
                <w:color w:val="auto"/>
                <w:w w:val="94"/>
              </w:rPr>
              <w:t>0.0%</w:t>
            </w:r>
          </w:p>
        </w:tc>
        <w:tc>
          <w:tcPr>
            <w:tcW w:w="720" w:type="dxa"/>
            <w:vAlign w:val="bottom"/>
            <w:tcBorders>
              <w:top w:val="single" w:sz="8" w:color="auto"/>
              <w:right w:val="single" w:sz="8" w:color="auto"/>
            </w:tcBorders>
          </w:tcPr>
          <w:p>
            <w:pPr>
              <w:jc w:val="center"/>
              <w:ind w:right="264"/>
              <w:spacing w:after="0" w:line="180" w:lineRule="exact"/>
              <w:rPr>
                <w:sz w:val="20"/>
                <w:szCs w:val="20"/>
                <w:color w:val="auto"/>
              </w:rPr>
            </w:pPr>
            <w:r>
              <w:rPr>
                <w:rFonts w:ascii="Calibri" w:cs="Calibri" w:eastAsia="Calibri" w:hAnsi="Calibri"/>
                <w:sz w:val="15"/>
                <w:szCs w:val="15"/>
                <w:color w:val="auto"/>
              </w:rPr>
              <w:t>0.0%</w:t>
            </w:r>
          </w:p>
        </w:tc>
      </w:tr>
      <w:tr>
        <w:trPr>
          <w:trHeight w:val="197"/>
        </w:trPr>
        <w:tc>
          <w:tcPr>
            <w:tcW w:w="522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Treasury Stocks</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(207,700)</w:t>
            </w:r>
          </w:p>
        </w:tc>
        <w:tc>
          <w:tcPr>
            <w:tcW w:w="1340" w:type="dxa"/>
            <w:vAlign w:val="bottom"/>
          </w:tcPr>
          <w:p>
            <w:pPr>
              <w:jc w:val="right"/>
              <w:ind w:right="164"/>
              <w:spacing w:after="0"/>
              <w:rPr>
                <w:sz w:val="20"/>
                <w:szCs w:val="20"/>
                <w:color w:val="auto"/>
              </w:rPr>
            </w:pPr>
            <w:r>
              <w:rPr>
                <w:rFonts w:ascii="Calibri" w:cs="Calibri" w:eastAsia="Calibri" w:hAnsi="Calibri"/>
                <w:sz w:val="15"/>
                <w:szCs w:val="15"/>
                <w:color w:val="auto"/>
              </w:rPr>
              <w:t>(207,518)</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(208,041)</w:t>
            </w:r>
          </w:p>
        </w:tc>
        <w:tc>
          <w:tcPr>
            <w:tcW w:w="1300" w:type="dxa"/>
            <w:vAlign w:val="bottom"/>
          </w:tcPr>
          <w:p>
            <w:pPr>
              <w:jc w:val="center"/>
              <w:ind w:right="224"/>
              <w:spacing w:after="0"/>
              <w:rPr>
                <w:sz w:val="20"/>
                <w:szCs w:val="20"/>
                <w:color w:val="auto"/>
              </w:rPr>
            </w:pPr>
            <w:r>
              <w:rPr>
                <w:rFonts w:ascii="Calibri" w:cs="Calibri" w:eastAsia="Calibri" w:hAnsi="Calibri"/>
                <w:sz w:val="15"/>
                <w:szCs w:val="15"/>
                <w:color w:val="auto"/>
                <w:w w:val="94"/>
              </w:rPr>
              <w:t>0.3%</w:t>
            </w:r>
          </w:p>
        </w:tc>
        <w:tc>
          <w:tcPr>
            <w:tcW w:w="720" w:type="dxa"/>
            <w:vAlign w:val="bottom"/>
            <w:tcBorders>
              <w:right w:val="single" w:sz="8" w:color="auto"/>
            </w:tcBorders>
          </w:tcPr>
          <w:p>
            <w:pPr>
              <w:jc w:val="center"/>
              <w:ind w:right="264"/>
              <w:spacing w:after="0"/>
              <w:rPr>
                <w:sz w:val="20"/>
                <w:szCs w:val="20"/>
                <w:color w:val="auto"/>
              </w:rPr>
            </w:pPr>
            <w:r>
              <w:rPr>
                <w:rFonts w:ascii="Calibri" w:cs="Calibri" w:eastAsia="Calibri" w:hAnsi="Calibri"/>
                <w:sz w:val="15"/>
                <w:szCs w:val="15"/>
                <w:color w:val="auto"/>
              </w:rPr>
              <w:t>0.2%</w:t>
            </w:r>
          </w:p>
        </w:tc>
      </w:tr>
      <w:tr>
        <w:trPr>
          <w:trHeight w:val="204"/>
        </w:trPr>
        <w:tc>
          <w:tcPr>
            <w:tcW w:w="522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Capital Surplus</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227,361</w:t>
            </w:r>
          </w:p>
        </w:tc>
        <w:tc>
          <w:tcPr>
            <w:tcW w:w="1340" w:type="dxa"/>
            <w:vAlign w:val="bottom"/>
          </w:tcPr>
          <w:p>
            <w:pPr>
              <w:jc w:val="right"/>
              <w:ind w:right="164"/>
              <w:spacing w:after="0"/>
              <w:rPr>
                <w:sz w:val="20"/>
                <w:szCs w:val="20"/>
                <w:color w:val="auto"/>
              </w:rPr>
            </w:pPr>
            <w:r>
              <w:rPr>
                <w:rFonts w:ascii="Calibri" w:cs="Calibri" w:eastAsia="Calibri" w:hAnsi="Calibri"/>
                <w:sz w:val="15"/>
                <w:szCs w:val="15"/>
                <w:color w:val="auto"/>
              </w:rPr>
              <w:t>231,556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226,189</w:t>
            </w:r>
          </w:p>
        </w:tc>
        <w:tc>
          <w:tcPr>
            <w:tcW w:w="1300" w:type="dxa"/>
            <w:vAlign w:val="bottom"/>
          </w:tcPr>
          <w:p>
            <w:pPr>
              <w:jc w:val="center"/>
              <w:ind w:right="244"/>
              <w:spacing w:after="0"/>
              <w:rPr>
                <w:sz w:val="20"/>
                <w:szCs w:val="20"/>
                <w:color w:val="auto"/>
              </w:rPr>
            </w:pPr>
            <w:r>
              <w:rPr>
                <w:rFonts w:ascii="Calibri" w:cs="Calibri" w:eastAsia="Calibri" w:hAnsi="Calibri"/>
                <w:sz w:val="15"/>
                <w:szCs w:val="15"/>
                <w:color w:val="auto"/>
                <w:w w:val="98"/>
              </w:rPr>
              <w:t>-2.3%</w:t>
            </w:r>
          </w:p>
        </w:tc>
        <w:tc>
          <w:tcPr>
            <w:tcW w:w="720" w:type="dxa"/>
            <w:vAlign w:val="bottom"/>
            <w:tcBorders>
              <w:right w:val="single" w:sz="8" w:color="auto"/>
            </w:tcBorders>
          </w:tcPr>
          <w:p>
            <w:pPr>
              <w:jc w:val="center"/>
              <w:ind w:right="264"/>
              <w:spacing w:after="0"/>
              <w:rPr>
                <w:sz w:val="20"/>
                <w:szCs w:val="20"/>
                <w:color w:val="auto"/>
              </w:rPr>
            </w:pPr>
            <w:r>
              <w:rPr>
                <w:rFonts w:ascii="Calibri" w:cs="Calibri" w:eastAsia="Calibri" w:hAnsi="Calibri"/>
                <w:sz w:val="15"/>
                <w:szCs w:val="15"/>
                <w:color w:val="auto"/>
                <w:w w:val="98"/>
              </w:rPr>
              <w:t>-0.5%</w:t>
            </w:r>
          </w:p>
        </w:tc>
      </w:tr>
      <w:tr>
        <w:trPr>
          <w:trHeight w:val="229"/>
        </w:trPr>
        <w:tc>
          <w:tcPr>
            <w:tcW w:w="5220" w:type="dxa"/>
            <w:vAlign w:val="bottom"/>
            <w:tcBorders>
              <w:left w:val="single" w:sz="8" w:color="auto"/>
              <w:right w:val="single" w:sz="8" w:color="auto"/>
            </w:tcBorders>
          </w:tcPr>
          <w:p>
            <w:pPr>
              <w:ind w:left="40"/>
              <w:spacing w:after="0" w:line="229" w:lineRule="exact"/>
              <w:rPr>
                <w:sz w:val="20"/>
                <w:szCs w:val="20"/>
                <w:color w:val="auto"/>
              </w:rPr>
            </w:pPr>
            <w:r>
              <w:rPr>
                <w:rFonts w:ascii="Calibri" w:cs="Calibri" w:eastAsia="Calibri" w:hAnsi="Calibri"/>
                <w:sz w:val="15"/>
                <w:szCs w:val="15"/>
                <w:color w:val="auto"/>
              </w:rPr>
              <w:t xml:space="preserve">Legal and Other capital reserves </w:t>
            </w:r>
            <w:r>
              <w:rPr>
                <w:rFonts w:ascii="Calibri" w:cs="Calibri" w:eastAsia="Calibri" w:hAnsi="Calibri"/>
                <w:sz w:val="25"/>
                <w:szCs w:val="25"/>
                <w:color w:val="auto"/>
                <w:vertAlign w:val="superscript"/>
              </w:rPr>
              <w:t>(1)</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21,292,614</w:t>
            </w:r>
          </w:p>
        </w:tc>
        <w:tc>
          <w:tcPr>
            <w:tcW w:w="1340" w:type="dxa"/>
            <w:vAlign w:val="bottom"/>
          </w:tcPr>
          <w:p>
            <w:pPr>
              <w:jc w:val="right"/>
              <w:ind w:right="164"/>
              <w:spacing w:after="0"/>
              <w:rPr>
                <w:sz w:val="20"/>
                <w:szCs w:val="20"/>
                <w:color w:val="auto"/>
              </w:rPr>
            </w:pPr>
            <w:r>
              <w:rPr>
                <w:rFonts w:ascii="Calibri" w:cs="Calibri" w:eastAsia="Calibri" w:hAnsi="Calibri"/>
                <w:sz w:val="15"/>
                <w:szCs w:val="15"/>
                <w:color w:val="auto"/>
              </w:rPr>
              <w:t>23,702,590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23,603,001</w:t>
            </w:r>
          </w:p>
        </w:tc>
        <w:tc>
          <w:tcPr>
            <w:tcW w:w="1300" w:type="dxa"/>
            <w:vAlign w:val="bottom"/>
          </w:tcPr>
          <w:p>
            <w:pPr>
              <w:jc w:val="center"/>
              <w:ind w:right="244"/>
              <w:spacing w:after="0"/>
              <w:rPr>
                <w:sz w:val="20"/>
                <w:szCs w:val="20"/>
                <w:color w:val="auto"/>
              </w:rPr>
            </w:pPr>
            <w:r>
              <w:rPr>
                <w:rFonts w:ascii="Calibri" w:cs="Calibri" w:eastAsia="Calibri" w:hAnsi="Calibri"/>
                <w:sz w:val="15"/>
                <w:szCs w:val="15"/>
                <w:color w:val="auto"/>
                <w:w w:val="98"/>
              </w:rPr>
              <w:t>-0.4%</w:t>
            </w:r>
          </w:p>
        </w:tc>
        <w:tc>
          <w:tcPr>
            <w:tcW w:w="72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6"/>
              </w:rPr>
              <w:t>10.9%</w:t>
            </w:r>
          </w:p>
        </w:tc>
      </w:tr>
      <w:tr>
        <w:trPr>
          <w:trHeight w:val="204"/>
        </w:trPr>
        <w:tc>
          <w:tcPr>
            <w:tcW w:w="5220" w:type="dxa"/>
            <w:vAlign w:val="bottom"/>
            <w:tcBorders>
              <w:left w:val="single" w:sz="8" w:color="auto"/>
              <w:right w:val="single" w:sz="8" w:color="auto"/>
            </w:tcBorders>
          </w:tcPr>
          <w:p>
            <w:pPr>
              <w:ind w:left="40"/>
              <w:spacing w:after="0" w:line="204" w:lineRule="exact"/>
              <w:rPr>
                <w:sz w:val="20"/>
                <w:szCs w:val="20"/>
                <w:color w:val="auto"/>
              </w:rPr>
            </w:pPr>
            <w:r>
              <w:rPr>
                <w:rFonts w:ascii="Calibri" w:cs="Calibri" w:eastAsia="Calibri" w:hAnsi="Calibri"/>
                <w:sz w:val="14"/>
                <w:szCs w:val="14"/>
                <w:color w:val="auto"/>
              </w:rPr>
              <w:t xml:space="preserve">Minority interest </w:t>
            </w:r>
            <w:r>
              <w:rPr>
                <w:rFonts w:ascii="Calibri" w:cs="Calibri" w:eastAsia="Calibri" w:hAnsi="Calibri"/>
                <w:sz w:val="22"/>
                <w:szCs w:val="22"/>
                <w:color w:val="auto"/>
                <w:vertAlign w:val="superscript"/>
              </w:rPr>
              <w:t>(2)</w:t>
            </w:r>
          </w:p>
        </w:tc>
        <w:tc>
          <w:tcPr>
            <w:tcW w:w="156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493,113</w:t>
            </w:r>
          </w:p>
        </w:tc>
        <w:tc>
          <w:tcPr>
            <w:tcW w:w="134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471,171</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514,951</w:t>
            </w:r>
          </w:p>
        </w:tc>
        <w:tc>
          <w:tcPr>
            <w:tcW w:w="1300" w:type="dxa"/>
            <w:vAlign w:val="bottom"/>
          </w:tcPr>
          <w:p>
            <w:pPr>
              <w:jc w:val="center"/>
              <w:ind w:right="224"/>
              <w:spacing w:after="0" w:line="180" w:lineRule="exact"/>
              <w:rPr>
                <w:sz w:val="20"/>
                <w:szCs w:val="20"/>
                <w:color w:val="auto"/>
              </w:rPr>
            </w:pPr>
            <w:r>
              <w:rPr>
                <w:rFonts w:ascii="Calibri" w:cs="Calibri" w:eastAsia="Calibri" w:hAnsi="Calibri"/>
                <w:sz w:val="15"/>
                <w:szCs w:val="15"/>
                <w:color w:val="auto"/>
                <w:w w:val="94"/>
              </w:rPr>
              <w:t>9.3%</w:t>
            </w:r>
          </w:p>
        </w:tc>
        <w:tc>
          <w:tcPr>
            <w:tcW w:w="720" w:type="dxa"/>
            <w:vAlign w:val="bottom"/>
            <w:tcBorders>
              <w:right w:val="single" w:sz="8" w:color="auto"/>
            </w:tcBorders>
          </w:tcPr>
          <w:p>
            <w:pPr>
              <w:jc w:val="center"/>
              <w:ind w:right="264"/>
              <w:spacing w:after="0" w:line="180" w:lineRule="exact"/>
              <w:rPr>
                <w:sz w:val="20"/>
                <w:szCs w:val="20"/>
                <w:color w:val="auto"/>
              </w:rPr>
            </w:pPr>
            <w:r>
              <w:rPr>
                <w:rFonts w:ascii="Calibri" w:cs="Calibri" w:eastAsia="Calibri" w:hAnsi="Calibri"/>
                <w:sz w:val="15"/>
                <w:szCs w:val="15"/>
                <w:color w:val="auto"/>
              </w:rPr>
              <w:t>4.4%</w:t>
            </w:r>
          </w:p>
        </w:tc>
      </w:tr>
      <w:tr>
        <w:trPr>
          <w:trHeight w:val="204"/>
        </w:trPr>
        <w:tc>
          <w:tcPr>
            <w:tcW w:w="5220" w:type="dxa"/>
            <w:vAlign w:val="bottom"/>
            <w:tcBorders>
              <w:left w:val="single" w:sz="8" w:color="auto"/>
              <w:right w:val="single" w:sz="8" w:color="auto"/>
            </w:tcBorders>
          </w:tcPr>
          <w:p>
            <w:pPr>
              <w:ind w:left="40"/>
              <w:spacing w:after="0" w:line="204" w:lineRule="exact"/>
              <w:rPr>
                <w:sz w:val="20"/>
                <w:szCs w:val="20"/>
                <w:color w:val="auto"/>
              </w:rPr>
            </w:pPr>
            <w:r>
              <w:rPr>
                <w:rFonts w:ascii="Calibri" w:cs="Calibri" w:eastAsia="Calibri" w:hAnsi="Calibri"/>
                <w:sz w:val="14"/>
                <w:szCs w:val="14"/>
                <w:color w:val="auto"/>
              </w:rPr>
              <w:t xml:space="preserve">Loan loss reserves </w:t>
            </w:r>
            <w:r>
              <w:rPr>
                <w:rFonts w:ascii="Calibri" w:cs="Calibri" w:eastAsia="Calibri" w:hAnsi="Calibri"/>
                <w:sz w:val="22"/>
                <w:szCs w:val="22"/>
                <w:color w:val="auto"/>
                <w:vertAlign w:val="superscript"/>
              </w:rPr>
              <w:t>(3)</w:t>
            </w:r>
          </w:p>
        </w:tc>
        <w:tc>
          <w:tcPr>
            <w:tcW w:w="156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1,971,343</w:t>
            </w:r>
          </w:p>
        </w:tc>
        <w:tc>
          <w:tcPr>
            <w:tcW w:w="134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2,128,732</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1,908,632</w:t>
            </w:r>
          </w:p>
        </w:tc>
        <w:tc>
          <w:tcPr>
            <w:tcW w:w="1300" w:type="dxa"/>
            <w:vAlign w:val="bottom"/>
          </w:tcPr>
          <w:p>
            <w:pPr>
              <w:jc w:val="center"/>
              <w:ind w:right="224"/>
              <w:spacing w:after="0" w:line="180" w:lineRule="exact"/>
              <w:rPr>
                <w:sz w:val="20"/>
                <w:szCs w:val="20"/>
                <w:color w:val="auto"/>
              </w:rPr>
            </w:pPr>
            <w:r>
              <w:rPr>
                <w:rFonts w:ascii="Calibri" w:cs="Calibri" w:eastAsia="Calibri" w:hAnsi="Calibri"/>
                <w:sz w:val="15"/>
                <w:szCs w:val="15"/>
                <w:color w:val="auto"/>
                <w:w w:val="95"/>
              </w:rPr>
              <w:t>-10.3%</w:t>
            </w:r>
          </w:p>
        </w:tc>
        <w:tc>
          <w:tcPr>
            <w:tcW w:w="720" w:type="dxa"/>
            <w:vAlign w:val="bottom"/>
            <w:tcBorders>
              <w:right w:val="single" w:sz="8" w:color="auto"/>
            </w:tcBorders>
          </w:tcPr>
          <w:p>
            <w:pPr>
              <w:jc w:val="center"/>
              <w:ind w:right="264"/>
              <w:spacing w:after="0" w:line="180" w:lineRule="exact"/>
              <w:rPr>
                <w:sz w:val="20"/>
                <w:szCs w:val="20"/>
                <w:color w:val="auto"/>
              </w:rPr>
            </w:pPr>
            <w:r>
              <w:rPr>
                <w:rFonts w:ascii="Calibri" w:cs="Calibri" w:eastAsia="Calibri" w:hAnsi="Calibri"/>
                <w:sz w:val="15"/>
                <w:szCs w:val="15"/>
                <w:color w:val="auto"/>
                <w:w w:val="98"/>
              </w:rPr>
              <w:t>-3.2%</w:t>
            </w:r>
          </w:p>
        </w:tc>
      </w:tr>
      <w:tr>
        <w:trPr>
          <w:trHeight w:val="179"/>
        </w:trPr>
        <w:tc>
          <w:tcPr>
            <w:tcW w:w="5220" w:type="dxa"/>
            <w:vAlign w:val="bottom"/>
            <w:tcBorders>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color w:val="auto"/>
              </w:rPr>
              <w:t>Perpetual subordinated debt</w:t>
            </w:r>
          </w:p>
        </w:tc>
        <w:tc>
          <w:tcPr>
            <w:tcW w:w="156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w:t>
            </w:r>
          </w:p>
        </w:tc>
        <w:tc>
          <w:tcPr>
            <w:tcW w:w="134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w:t>
            </w:r>
          </w:p>
        </w:tc>
        <w:tc>
          <w:tcPr>
            <w:tcW w:w="1300" w:type="dxa"/>
            <w:vAlign w:val="bottom"/>
          </w:tcPr>
          <w:p>
            <w:pPr>
              <w:jc w:val="center"/>
              <w:ind w:right="224"/>
              <w:spacing w:after="0" w:line="180" w:lineRule="exact"/>
              <w:rPr>
                <w:sz w:val="20"/>
                <w:szCs w:val="20"/>
                <w:color w:val="auto"/>
              </w:rPr>
            </w:pPr>
            <w:r>
              <w:rPr>
                <w:rFonts w:ascii="Calibri" w:cs="Calibri" w:eastAsia="Calibri" w:hAnsi="Calibri"/>
                <w:sz w:val="15"/>
                <w:szCs w:val="15"/>
                <w:color w:val="auto"/>
                <w:w w:val="86"/>
              </w:rPr>
              <w:t>-</w:t>
            </w:r>
          </w:p>
        </w:tc>
        <w:tc>
          <w:tcPr>
            <w:tcW w:w="720" w:type="dxa"/>
            <w:vAlign w:val="bottom"/>
            <w:tcBorders>
              <w:right w:val="single" w:sz="8" w:color="auto"/>
            </w:tcBorders>
          </w:tcPr>
          <w:p>
            <w:pPr>
              <w:jc w:val="center"/>
              <w:ind w:right="244"/>
              <w:spacing w:after="0" w:line="180" w:lineRule="exact"/>
              <w:rPr>
                <w:sz w:val="20"/>
                <w:szCs w:val="20"/>
                <w:color w:val="auto"/>
              </w:rPr>
            </w:pPr>
            <w:r>
              <w:rPr>
                <w:rFonts w:ascii="Calibri" w:cs="Calibri" w:eastAsia="Calibri" w:hAnsi="Calibri"/>
                <w:sz w:val="15"/>
                <w:szCs w:val="15"/>
                <w:color w:val="auto"/>
                <w:w w:val="86"/>
              </w:rPr>
              <w:t>-</w:t>
            </w:r>
          </w:p>
        </w:tc>
      </w:tr>
      <w:tr>
        <w:trPr>
          <w:trHeight w:val="204"/>
        </w:trPr>
        <w:tc>
          <w:tcPr>
            <w:tcW w:w="522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Subordinated Debt</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5,695,192</w:t>
            </w:r>
          </w:p>
        </w:tc>
        <w:tc>
          <w:tcPr>
            <w:tcW w:w="1340" w:type="dxa"/>
            <w:vAlign w:val="bottom"/>
          </w:tcPr>
          <w:p>
            <w:pPr>
              <w:jc w:val="right"/>
              <w:ind w:right="164"/>
              <w:spacing w:after="0"/>
              <w:rPr>
                <w:sz w:val="20"/>
                <w:szCs w:val="20"/>
                <w:color w:val="auto"/>
              </w:rPr>
            </w:pPr>
            <w:r>
              <w:rPr>
                <w:rFonts w:ascii="Calibri" w:cs="Calibri" w:eastAsia="Calibri" w:hAnsi="Calibri"/>
                <w:sz w:val="15"/>
                <w:szCs w:val="15"/>
                <w:color w:val="auto"/>
              </w:rPr>
              <w:t>5,770,557</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5,649,060</w:t>
            </w:r>
          </w:p>
        </w:tc>
        <w:tc>
          <w:tcPr>
            <w:tcW w:w="1300" w:type="dxa"/>
            <w:vAlign w:val="bottom"/>
          </w:tcPr>
          <w:p>
            <w:pPr>
              <w:jc w:val="center"/>
              <w:ind w:right="244"/>
              <w:spacing w:after="0"/>
              <w:rPr>
                <w:sz w:val="20"/>
                <w:szCs w:val="20"/>
                <w:color w:val="auto"/>
              </w:rPr>
            </w:pPr>
            <w:r>
              <w:rPr>
                <w:rFonts w:ascii="Calibri" w:cs="Calibri" w:eastAsia="Calibri" w:hAnsi="Calibri"/>
                <w:sz w:val="15"/>
                <w:szCs w:val="15"/>
                <w:color w:val="auto"/>
                <w:w w:val="98"/>
              </w:rPr>
              <w:t>-2.1%</w:t>
            </w:r>
          </w:p>
        </w:tc>
        <w:tc>
          <w:tcPr>
            <w:tcW w:w="720" w:type="dxa"/>
            <w:vAlign w:val="bottom"/>
            <w:tcBorders>
              <w:right w:val="single" w:sz="8" w:color="auto"/>
            </w:tcBorders>
          </w:tcPr>
          <w:p>
            <w:pPr>
              <w:jc w:val="center"/>
              <w:ind w:right="264"/>
              <w:spacing w:after="0"/>
              <w:rPr>
                <w:sz w:val="20"/>
                <w:szCs w:val="20"/>
                <w:color w:val="auto"/>
              </w:rPr>
            </w:pPr>
            <w:r>
              <w:rPr>
                <w:rFonts w:ascii="Calibri" w:cs="Calibri" w:eastAsia="Calibri" w:hAnsi="Calibri"/>
                <w:sz w:val="15"/>
                <w:szCs w:val="15"/>
                <w:color w:val="auto"/>
                <w:w w:val="98"/>
              </w:rPr>
              <w:t>-0.8%</w:t>
            </w:r>
          </w:p>
        </w:tc>
      </w:tr>
      <w:tr>
        <w:trPr>
          <w:trHeight w:val="204"/>
        </w:trPr>
        <w:tc>
          <w:tcPr>
            <w:tcW w:w="522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Investments in equity and subordinated debt of fnancial and insurance companies</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(727,620)</w:t>
            </w:r>
          </w:p>
        </w:tc>
        <w:tc>
          <w:tcPr>
            <w:tcW w:w="1340" w:type="dxa"/>
            <w:vAlign w:val="bottom"/>
          </w:tcPr>
          <w:p>
            <w:pPr>
              <w:jc w:val="right"/>
              <w:ind w:right="164"/>
              <w:spacing w:after="0"/>
              <w:rPr>
                <w:sz w:val="20"/>
                <w:szCs w:val="20"/>
                <w:color w:val="auto"/>
              </w:rPr>
            </w:pPr>
            <w:r>
              <w:rPr>
                <w:rFonts w:ascii="Calibri" w:cs="Calibri" w:eastAsia="Calibri" w:hAnsi="Calibri"/>
                <w:sz w:val="15"/>
                <w:szCs w:val="15"/>
                <w:color w:val="auto"/>
              </w:rPr>
              <w:t>(889,246)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(1,002,770)</w:t>
            </w:r>
          </w:p>
        </w:tc>
        <w:tc>
          <w:tcPr>
            <w:tcW w:w="1300" w:type="dxa"/>
            <w:vAlign w:val="bottom"/>
          </w:tcPr>
          <w:p>
            <w:pPr>
              <w:jc w:val="center"/>
              <w:ind w:right="224"/>
              <w:spacing w:after="0"/>
              <w:rPr>
                <w:sz w:val="20"/>
                <w:szCs w:val="20"/>
                <w:color w:val="auto"/>
              </w:rPr>
            </w:pPr>
            <w:r>
              <w:rPr>
                <w:rFonts w:ascii="Calibri" w:cs="Calibri" w:eastAsia="Calibri" w:hAnsi="Calibri"/>
                <w:sz w:val="15"/>
                <w:szCs w:val="15"/>
                <w:color w:val="auto"/>
                <w:w w:val="96"/>
              </w:rPr>
              <w:t>12.8%</w:t>
            </w:r>
          </w:p>
        </w:tc>
        <w:tc>
          <w:tcPr>
            <w:tcW w:w="72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6"/>
              </w:rPr>
              <w:t>37.8%</w:t>
            </w:r>
          </w:p>
        </w:tc>
      </w:tr>
      <w:tr>
        <w:trPr>
          <w:trHeight w:val="204"/>
        </w:trPr>
        <w:tc>
          <w:tcPr>
            <w:tcW w:w="522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Goodwill</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(809,980)</w:t>
            </w:r>
          </w:p>
        </w:tc>
        <w:tc>
          <w:tcPr>
            <w:tcW w:w="1340" w:type="dxa"/>
            <w:vAlign w:val="bottom"/>
          </w:tcPr>
          <w:p>
            <w:pPr>
              <w:jc w:val="right"/>
              <w:ind w:right="164"/>
              <w:spacing w:after="0"/>
              <w:rPr>
                <w:sz w:val="20"/>
                <w:szCs w:val="20"/>
                <w:color w:val="auto"/>
              </w:rPr>
            </w:pPr>
            <w:r>
              <w:rPr>
                <w:rFonts w:ascii="Calibri" w:cs="Calibri" w:eastAsia="Calibri" w:hAnsi="Calibri"/>
                <w:sz w:val="15"/>
                <w:szCs w:val="15"/>
                <w:color w:val="auto"/>
              </w:rPr>
              <w:t>(772,213)</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(802,366)</w:t>
            </w:r>
          </w:p>
        </w:tc>
        <w:tc>
          <w:tcPr>
            <w:tcW w:w="1300" w:type="dxa"/>
            <w:vAlign w:val="bottom"/>
          </w:tcPr>
          <w:p>
            <w:pPr>
              <w:jc w:val="center"/>
              <w:ind w:right="224"/>
              <w:spacing w:after="0"/>
              <w:rPr>
                <w:sz w:val="20"/>
                <w:szCs w:val="20"/>
                <w:color w:val="auto"/>
              </w:rPr>
            </w:pPr>
            <w:r>
              <w:rPr>
                <w:rFonts w:ascii="Calibri" w:cs="Calibri" w:eastAsia="Calibri" w:hAnsi="Calibri"/>
                <w:sz w:val="15"/>
                <w:szCs w:val="15"/>
                <w:color w:val="auto"/>
                <w:w w:val="94"/>
              </w:rPr>
              <w:t>3.9%</w:t>
            </w:r>
          </w:p>
        </w:tc>
        <w:tc>
          <w:tcPr>
            <w:tcW w:w="720" w:type="dxa"/>
            <w:vAlign w:val="bottom"/>
            <w:tcBorders>
              <w:right w:val="single" w:sz="8" w:color="auto"/>
            </w:tcBorders>
          </w:tcPr>
          <w:p>
            <w:pPr>
              <w:jc w:val="center"/>
              <w:ind w:right="264"/>
              <w:spacing w:after="0"/>
              <w:rPr>
                <w:sz w:val="20"/>
                <w:szCs w:val="20"/>
                <w:color w:val="auto"/>
              </w:rPr>
            </w:pPr>
            <w:r>
              <w:rPr>
                <w:rFonts w:ascii="Calibri" w:cs="Calibri" w:eastAsia="Calibri" w:hAnsi="Calibri"/>
                <w:sz w:val="15"/>
                <w:szCs w:val="15"/>
                <w:color w:val="auto"/>
                <w:w w:val="98"/>
              </w:rPr>
              <w:t>-0.9%</w:t>
            </w:r>
          </w:p>
        </w:tc>
      </w:tr>
      <w:tr>
        <w:trPr>
          <w:trHeight w:val="204"/>
        </w:trPr>
        <w:tc>
          <w:tcPr>
            <w:tcW w:w="522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Current year Net Loss</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w:t>
            </w:r>
          </w:p>
        </w:tc>
        <w:tc>
          <w:tcPr>
            <w:tcW w:w="1340" w:type="dxa"/>
            <w:vAlign w:val="bottom"/>
          </w:tcPr>
          <w:p>
            <w:pPr>
              <w:jc w:val="right"/>
              <w:ind w:right="164"/>
              <w:spacing w:after="0"/>
              <w:rPr>
                <w:sz w:val="20"/>
                <w:szCs w:val="20"/>
                <w:color w:val="auto"/>
              </w:rPr>
            </w:pPr>
            <w:r>
              <w:rPr>
                <w:rFonts w:ascii="Calibri" w:cs="Calibri" w:eastAsia="Calibri" w:hAnsi="Calibri"/>
                <w:sz w:val="15"/>
                <w:szCs w:val="15"/>
                <w:color w:val="auto"/>
              </w:rPr>
              <w:t>-</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1300" w:type="dxa"/>
            <w:vAlign w:val="bottom"/>
          </w:tcPr>
          <w:p>
            <w:pPr>
              <w:jc w:val="center"/>
              <w:ind w:right="224"/>
              <w:spacing w:after="0"/>
              <w:rPr>
                <w:sz w:val="20"/>
                <w:szCs w:val="20"/>
                <w:color w:val="auto"/>
              </w:rPr>
            </w:pPr>
            <w:r>
              <w:rPr>
                <w:rFonts w:ascii="Calibri" w:cs="Calibri" w:eastAsia="Calibri" w:hAnsi="Calibri"/>
                <w:sz w:val="15"/>
                <w:szCs w:val="15"/>
                <w:color w:val="auto"/>
                <w:w w:val="86"/>
              </w:rPr>
              <w:t>-</w:t>
            </w:r>
          </w:p>
        </w:tc>
        <w:tc>
          <w:tcPr>
            <w:tcW w:w="72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86"/>
              </w:rPr>
              <w:t>-</w:t>
            </w:r>
          </w:p>
        </w:tc>
      </w:tr>
      <w:tr>
        <w:trPr>
          <w:trHeight w:val="229"/>
        </w:trPr>
        <w:tc>
          <w:tcPr>
            <w:tcW w:w="5220" w:type="dxa"/>
            <w:vAlign w:val="bottom"/>
            <w:tcBorders>
              <w:left w:val="single" w:sz="8" w:color="auto"/>
              <w:right w:val="single" w:sz="8" w:color="auto"/>
            </w:tcBorders>
          </w:tcPr>
          <w:p>
            <w:pPr>
              <w:ind w:left="40"/>
              <w:spacing w:after="0" w:line="229" w:lineRule="exact"/>
              <w:rPr>
                <w:sz w:val="20"/>
                <w:szCs w:val="20"/>
                <w:color w:val="auto"/>
              </w:rPr>
            </w:pPr>
            <w:r>
              <w:rPr>
                <w:rFonts w:ascii="Calibri" w:cs="Calibri" w:eastAsia="Calibri" w:hAnsi="Calibri"/>
                <w:sz w:val="15"/>
                <w:szCs w:val="15"/>
                <w:color w:val="auto"/>
              </w:rPr>
              <w:t xml:space="preserve">Deducton for subordinated debt limit (50% of Tier I excluding deductons) </w:t>
            </w:r>
            <w:r>
              <w:rPr>
                <w:rFonts w:ascii="Calibri" w:cs="Calibri" w:eastAsia="Calibri" w:hAnsi="Calibri"/>
                <w:sz w:val="25"/>
                <w:szCs w:val="25"/>
                <w:color w:val="auto"/>
                <w:vertAlign w:val="superscript"/>
              </w:rPr>
              <w:t>(4)</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w:t>
            </w:r>
          </w:p>
        </w:tc>
        <w:tc>
          <w:tcPr>
            <w:tcW w:w="1340" w:type="dxa"/>
            <w:vAlign w:val="bottom"/>
          </w:tcPr>
          <w:p>
            <w:pPr>
              <w:jc w:val="right"/>
              <w:ind w:right="164"/>
              <w:spacing w:after="0"/>
              <w:rPr>
                <w:sz w:val="20"/>
                <w:szCs w:val="20"/>
                <w:color w:val="auto"/>
              </w:rPr>
            </w:pPr>
            <w:r>
              <w:rPr>
                <w:rFonts w:ascii="Calibri" w:cs="Calibri" w:eastAsia="Calibri" w:hAnsi="Calibri"/>
                <w:sz w:val="15"/>
                <w:szCs w:val="15"/>
                <w:color w:val="auto"/>
              </w:rPr>
              <w:t>-</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1300" w:type="dxa"/>
            <w:vAlign w:val="bottom"/>
          </w:tcPr>
          <w:p>
            <w:pPr>
              <w:jc w:val="center"/>
              <w:ind w:right="224"/>
              <w:spacing w:after="0"/>
              <w:rPr>
                <w:sz w:val="20"/>
                <w:szCs w:val="20"/>
                <w:color w:val="auto"/>
              </w:rPr>
            </w:pPr>
            <w:r>
              <w:rPr>
                <w:rFonts w:ascii="Calibri" w:cs="Calibri" w:eastAsia="Calibri" w:hAnsi="Calibri"/>
                <w:sz w:val="15"/>
                <w:szCs w:val="15"/>
                <w:color w:val="auto"/>
                <w:w w:val="86"/>
              </w:rPr>
              <w:t>-</w:t>
            </w:r>
          </w:p>
        </w:tc>
        <w:tc>
          <w:tcPr>
            <w:tcW w:w="72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86"/>
              </w:rPr>
              <w:t>-</w:t>
            </w:r>
          </w:p>
        </w:tc>
      </w:tr>
      <w:tr>
        <w:trPr>
          <w:trHeight w:val="179"/>
        </w:trPr>
        <w:tc>
          <w:tcPr>
            <w:tcW w:w="5220" w:type="dxa"/>
            <w:vAlign w:val="bottom"/>
            <w:tcBorders>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color w:val="auto"/>
              </w:rPr>
              <w:t>Deducton for Tier I Limit (50% of Regulatory capital) (4)</w:t>
            </w:r>
          </w:p>
        </w:tc>
        <w:tc>
          <w:tcPr>
            <w:tcW w:w="156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w:t>
            </w:r>
          </w:p>
        </w:tc>
        <w:tc>
          <w:tcPr>
            <w:tcW w:w="134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w:t>
            </w:r>
          </w:p>
        </w:tc>
        <w:tc>
          <w:tcPr>
            <w:tcW w:w="1300" w:type="dxa"/>
            <w:vAlign w:val="bottom"/>
          </w:tcPr>
          <w:p>
            <w:pPr>
              <w:jc w:val="center"/>
              <w:ind w:right="224"/>
              <w:spacing w:after="0" w:line="180" w:lineRule="exact"/>
              <w:rPr>
                <w:sz w:val="20"/>
                <w:szCs w:val="20"/>
                <w:color w:val="auto"/>
              </w:rPr>
            </w:pPr>
            <w:r>
              <w:rPr>
                <w:rFonts w:ascii="Calibri" w:cs="Calibri" w:eastAsia="Calibri" w:hAnsi="Calibri"/>
                <w:sz w:val="15"/>
                <w:szCs w:val="15"/>
                <w:color w:val="auto"/>
                <w:w w:val="86"/>
              </w:rPr>
              <w:t>-</w:t>
            </w:r>
          </w:p>
        </w:tc>
        <w:tc>
          <w:tcPr>
            <w:tcW w:w="720" w:type="dxa"/>
            <w:vAlign w:val="bottom"/>
            <w:tcBorders>
              <w:right w:val="single" w:sz="8" w:color="auto"/>
            </w:tcBorders>
          </w:tcPr>
          <w:p>
            <w:pPr>
              <w:jc w:val="center"/>
              <w:ind w:right="244"/>
              <w:spacing w:after="0" w:line="180" w:lineRule="exact"/>
              <w:rPr>
                <w:sz w:val="20"/>
                <w:szCs w:val="20"/>
                <w:color w:val="auto"/>
              </w:rPr>
            </w:pPr>
            <w:r>
              <w:rPr>
                <w:rFonts w:ascii="Calibri" w:cs="Calibri" w:eastAsia="Calibri" w:hAnsi="Calibri"/>
                <w:sz w:val="15"/>
                <w:szCs w:val="15"/>
                <w:color w:val="auto"/>
                <w:w w:val="86"/>
              </w:rPr>
              <w:t>-</w:t>
            </w:r>
          </w:p>
        </w:tc>
      </w:tr>
      <w:tr>
        <w:trPr>
          <w:trHeight w:val="35"/>
        </w:trPr>
        <w:tc>
          <w:tcPr>
            <w:tcW w:w="5220" w:type="dxa"/>
            <w:vAlign w:val="bottom"/>
            <w:tcBorders>
              <w:left w:val="single" w:sz="8" w:color="auto"/>
              <w:bottom w:val="single" w:sz="8" w:color="auto"/>
              <w:right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r>
      <w:tr>
        <w:trPr>
          <w:trHeight w:val="179"/>
        </w:trPr>
        <w:tc>
          <w:tcPr>
            <w:tcW w:w="5220" w:type="dxa"/>
            <w:vAlign w:val="bottom"/>
            <w:tcBorders>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b w:val="1"/>
                <w:bCs w:val="1"/>
                <w:color w:val="auto"/>
              </w:rPr>
              <w:t>Regulatory Capital (A)</w:t>
            </w:r>
          </w:p>
        </w:tc>
        <w:tc>
          <w:tcPr>
            <w:tcW w:w="1560" w:type="dxa"/>
            <w:vAlign w:val="bottom"/>
          </w:tcPr>
          <w:p>
            <w:pPr>
              <w:jc w:val="right"/>
              <w:ind w:right="164"/>
              <w:spacing w:after="0" w:line="180" w:lineRule="exact"/>
              <w:rPr>
                <w:sz w:val="20"/>
                <w:szCs w:val="20"/>
                <w:color w:val="auto"/>
              </w:rPr>
            </w:pPr>
            <w:r>
              <w:rPr>
                <w:rFonts w:ascii="Calibri" w:cs="Calibri" w:eastAsia="Calibri" w:hAnsi="Calibri"/>
                <w:sz w:val="15"/>
                <w:szCs w:val="15"/>
                <w:b w:val="1"/>
                <w:bCs w:val="1"/>
                <w:color w:val="auto"/>
              </w:rPr>
              <w:t>29,253,316</w:t>
            </w:r>
          </w:p>
        </w:tc>
        <w:tc>
          <w:tcPr>
            <w:tcW w:w="1340" w:type="dxa"/>
            <w:vAlign w:val="bottom"/>
          </w:tcPr>
          <w:p>
            <w:pPr>
              <w:jc w:val="right"/>
              <w:ind w:right="164"/>
              <w:spacing w:after="0" w:line="180" w:lineRule="exact"/>
              <w:rPr>
                <w:sz w:val="20"/>
                <w:szCs w:val="20"/>
                <w:color w:val="auto"/>
              </w:rPr>
            </w:pPr>
            <w:r>
              <w:rPr>
                <w:rFonts w:ascii="Calibri" w:cs="Calibri" w:eastAsia="Calibri" w:hAnsi="Calibri"/>
                <w:sz w:val="15"/>
                <w:szCs w:val="15"/>
                <w:b w:val="1"/>
                <w:bCs w:val="1"/>
                <w:color w:val="auto"/>
              </w:rPr>
              <w:t>31,754,622</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31,207,649</w:t>
            </w:r>
          </w:p>
        </w:tc>
        <w:tc>
          <w:tcPr>
            <w:tcW w:w="1300" w:type="dxa"/>
            <w:vAlign w:val="bottom"/>
          </w:tcPr>
          <w:p>
            <w:pPr>
              <w:jc w:val="center"/>
              <w:ind w:right="224"/>
              <w:spacing w:after="0" w:line="180" w:lineRule="exact"/>
              <w:rPr>
                <w:sz w:val="20"/>
                <w:szCs w:val="20"/>
                <w:color w:val="auto"/>
              </w:rPr>
            </w:pPr>
            <w:r>
              <w:rPr>
                <w:rFonts w:ascii="Calibri" w:cs="Calibri" w:eastAsia="Calibri" w:hAnsi="Calibri"/>
                <w:sz w:val="15"/>
                <w:szCs w:val="15"/>
                <w:b w:val="1"/>
                <w:bCs w:val="1"/>
                <w:color w:val="auto"/>
              </w:rPr>
              <w:t>-1.7%</w:t>
            </w:r>
          </w:p>
        </w:tc>
        <w:tc>
          <w:tcPr>
            <w:tcW w:w="720" w:type="dxa"/>
            <w:vAlign w:val="bottom"/>
            <w:tcBorders>
              <w:right w:val="single" w:sz="8" w:color="auto"/>
            </w:tcBorders>
          </w:tcPr>
          <w:p>
            <w:pPr>
              <w:jc w:val="center"/>
              <w:ind w:right="264"/>
              <w:spacing w:after="0" w:line="180" w:lineRule="exact"/>
              <w:rPr>
                <w:sz w:val="20"/>
                <w:szCs w:val="20"/>
                <w:color w:val="auto"/>
              </w:rPr>
            </w:pPr>
            <w:r>
              <w:rPr>
                <w:rFonts w:ascii="Calibri" w:cs="Calibri" w:eastAsia="Calibri" w:hAnsi="Calibri"/>
                <w:sz w:val="15"/>
                <w:szCs w:val="15"/>
                <w:b w:val="1"/>
                <w:bCs w:val="1"/>
                <w:color w:val="auto"/>
                <w:w w:val="99"/>
              </w:rPr>
              <w:t>6.7%</w:t>
            </w:r>
          </w:p>
        </w:tc>
      </w:tr>
      <w:tr>
        <w:trPr>
          <w:trHeight w:val="27"/>
        </w:trPr>
        <w:tc>
          <w:tcPr>
            <w:tcW w:w="522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184"/>
        </w:trPr>
        <w:tc>
          <w:tcPr>
            <w:tcW w:w="5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97"/>
        </w:trPr>
        <w:tc>
          <w:tcPr>
            <w:tcW w:w="5220" w:type="dxa"/>
            <w:vAlign w:val="bottom"/>
            <w:tcBorders>
              <w:left w:val="single" w:sz="8" w:color="auto"/>
              <w:right w:val="single" w:sz="8" w:color="auto"/>
            </w:tcBorders>
          </w:tcPr>
          <w:p>
            <w:pPr>
              <w:ind w:left="40"/>
              <w:spacing w:after="0" w:line="197" w:lineRule="exact"/>
              <w:rPr>
                <w:sz w:val="20"/>
                <w:szCs w:val="20"/>
                <w:color w:val="auto"/>
              </w:rPr>
            </w:pPr>
            <w:r>
              <w:rPr>
                <w:rFonts w:ascii="Calibri" w:cs="Calibri" w:eastAsia="Calibri" w:hAnsi="Calibri"/>
                <w:sz w:val="13"/>
                <w:szCs w:val="13"/>
                <w:color w:val="auto"/>
              </w:rPr>
              <w:t xml:space="preserve">Tier 1 </w:t>
            </w:r>
            <w:r>
              <w:rPr>
                <w:rFonts w:ascii="Calibri" w:cs="Calibri" w:eastAsia="Calibri" w:hAnsi="Calibri"/>
                <w:sz w:val="21"/>
                <w:szCs w:val="21"/>
                <w:color w:val="auto"/>
                <w:vertAlign w:val="superscript"/>
              </w:rPr>
              <w:t>(5)</w:t>
            </w:r>
          </w:p>
        </w:tc>
        <w:tc>
          <w:tcPr>
            <w:tcW w:w="156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15,402,884</w:t>
            </w:r>
          </w:p>
        </w:tc>
        <w:tc>
          <w:tcPr>
            <w:tcW w:w="134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16,955,335</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16,906,310</w:t>
            </w:r>
          </w:p>
        </w:tc>
        <w:tc>
          <w:tcPr>
            <w:tcW w:w="1300" w:type="dxa"/>
            <w:vAlign w:val="bottom"/>
          </w:tcPr>
          <w:p>
            <w:pPr>
              <w:jc w:val="center"/>
              <w:ind w:right="244"/>
              <w:spacing w:after="0" w:line="180" w:lineRule="exact"/>
              <w:rPr>
                <w:sz w:val="20"/>
                <w:szCs w:val="20"/>
                <w:color w:val="auto"/>
              </w:rPr>
            </w:pPr>
            <w:r>
              <w:rPr>
                <w:rFonts w:ascii="Calibri" w:cs="Calibri" w:eastAsia="Calibri" w:hAnsi="Calibri"/>
                <w:sz w:val="15"/>
                <w:szCs w:val="15"/>
                <w:color w:val="auto"/>
                <w:w w:val="98"/>
              </w:rPr>
              <w:t>-0.3%</w:t>
            </w:r>
          </w:p>
        </w:tc>
        <w:tc>
          <w:tcPr>
            <w:tcW w:w="720" w:type="dxa"/>
            <w:vAlign w:val="bottom"/>
            <w:tcBorders>
              <w:right w:val="single" w:sz="8" w:color="auto"/>
            </w:tcBorders>
          </w:tcPr>
          <w:p>
            <w:pPr>
              <w:jc w:val="center"/>
              <w:ind w:right="264"/>
              <w:spacing w:after="0" w:line="180" w:lineRule="exact"/>
              <w:rPr>
                <w:sz w:val="20"/>
                <w:szCs w:val="20"/>
                <w:color w:val="auto"/>
              </w:rPr>
            </w:pPr>
            <w:r>
              <w:rPr>
                <w:rFonts w:ascii="Calibri" w:cs="Calibri" w:eastAsia="Calibri" w:hAnsi="Calibri"/>
                <w:sz w:val="15"/>
                <w:szCs w:val="15"/>
                <w:color w:val="auto"/>
              </w:rPr>
              <w:t>9.8%</w:t>
            </w:r>
          </w:p>
        </w:tc>
      </w:tr>
      <w:tr>
        <w:trPr>
          <w:trHeight w:val="214"/>
        </w:trPr>
        <w:tc>
          <w:tcPr>
            <w:tcW w:w="5220" w:type="dxa"/>
            <w:vAlign w:val="bottom"/>
            <w:tcBorders>
              <w:left w:val="single" w:sz="8" w:color="auto"/>
              <w:bottom w:val="single" w:sz="8" w:color="auto"/>
              <w:right w:val="single" w:sz="8" w:color="auto"/>
            </w:tcBorders>
          </w:tcPr>
          <w:p>
            <w:pPr>
              <w:ind w:left="40"/>
              <w:spacing w:after="0" w:line="211" w:lineRule="exact"/>
              <w:rPr>
                <w:sz w:val="20"/>
                <w:szCs w:val="20"/>
                <w:color w:val="auto"/>
              </w:rPr>
            </w:pPr>
            <w:r>
              <w:rPr>
                <w:rFonts w:ascii="Calibri" w:cs="Calibri" w:eastAsia="Calibri" w:hAnsi="Calibri"/>
                <w:sz w:val="14"/>
                <w:szCs w:val="14"/>
                <w:color w:val="auto"/>
              </w:rPr>
              <w:t xml:space="preserve">Tier 2 </w:t>
            </w:r>
            <w:r>
              <w:rPr>
                <w:rFonts w:ascii="Calibri" w:cs="Calibri" w:eastAsia="Calibri" w:hAnsi="Calibri"/>
                <w:sz w:val="23"/>
                <w:szCs w:val="23"/>
                <w:color w:val="auto"/>
                <w:vertAlign w:val="superscript"/>
              </w:rPr>
              <w:t>(6)</w:t>
            </w:r>
            <w:r>
              <w:rPr>
                <w:rFonts w:ascii="Calibri" w:cs="Calibri" w:eastAsia="Calibri" w:hAnsi="Calibri"/>
                <w:sz w:val="14"/>
                <w:szCs w:val="14"/>
                <w:color w:val="auto"/>
              </w:rPr>
              <w:t xml:space="preserve"> + Tier 3 </w:t>
            </w:r>
            <w:r>
              <w:rPr>
                <w:rFonts w:ascii="Calibri" w:cs="Calibri" w:eastAsia="Calibri" w:hAnsi="Calibri"/>
                <w:sz w:val="23"/>
                <w:szCs w:val="23"/>
                <w:color w:val="auto"/>
                <w:vertAlign w:val="superscript"/>
              </w:rPr>
              <w:t>(7)</w:t>
            </w:r>
          </w:p>
        </w:tc>
        <w:tc>
          <w:tcPr>
            <w:tcW w:w="1560" w:type="dxa"/>
            <w:vAlign w:val="bottom"/>
            <w:tcBorders>
              <w:bottom w:val="single" w:sz="8" w:color="auto"/>
            </w:tcBorders>
          </w:tcPr>
          <w:p>
            <w:pPr>
              <w:jc w:val="right"/>
              <w:ind w:right="164"/>
              <w:spacing w:after="0" w:line="180" w:lineRule="exact"/>
              <w:rPr>
                <w:sz w:val="20"/>
                <w:szCs w:val="20"/>
                <w:color w:val="auto"/>
              </w:rPr>
            </w:pPr>
            <w:r>
              <w:rPr>
                <w:rFonts w:ascii="Calibri" w:cs="Calibri" w:eastAsia="Calibri" w:hAnsi="Calibri"/>
                <w:sz w:val="15"/>
                <w:szCs w:val="15"/>
                <w:color w:val="auto"/>
              </w:rPr>
              <w:t>13,850,433</w:t>
            </w:r>
          </w:p>
        </w:tc>
        <w:tc>
          <w:tcPr>
            <w:tcW w:w="1340" w:type="dxa"/>
            <w:vAlign w:val="bottom"/>
            <w:tcBorders>
              <w:bottom w:val="single" w:sz="8" w:color="auto"/>
            </w:tcBorders>
          </w:tcPr>
          <w:p>
            <w:pPr>
              <w:jc w:val="right"/>
              <w:ind w:right="164"/>
              <w:spacing w:after="0" w:line="180" w:lineRule="exact"/>
              <w:rPr>
                <w:sz w:val="20"/>
                <w:szCs w:val="20"/>
                <w:color w:val="auto"/>
              </w:rPr>
            </w:pPr>
            <w:r>
              <w:rPr>
                <w:rFonts w:ascii="Calibri" w:cs="Calibri" w:eastAsia="Calibri" w:hAnsi="Calibri"/>
                <w:sz w:val="15"/>
                <w:szCs w:val="15"/>
                <w:color w:val="auto"/>
              </w:rPr>
              <w:t>14,799,287</w:t>
            </w:r>
          </w:p>
        </w:tc>
        <w:tc>
          <w:tcPr>
            <w:tcW w:w="1140" w:type="dxa"/>
            <w:vAlign w:val="bottom"/>
            <w:tcBorders>
              <w:bottom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14,301,339</w:t>
            </w:r>
          </w:p>
        </w:tc>
        <w:tc>
          <w:tcPr>
            <w:tcW w:w="1300" w:type="dxa"/>
            <w:vAlign w:val="bottom"/>
            <w:tcBorders>
              <w:bottom w:val="single" w:sz="8" w:color="auto"/>
            </w:tcBorders>
          </w:tcPr>
          <w:p>
            <w:pPr>
              <w:jc w:val="center"/>
              <w:ind w:right="244"/>
              <w:spacing w:after="0" w:line="180" w:lineRule="exact"/>
              <w:rPr>
                <w:sz w:val="20"/>
                <w:szCs w:val="20"/>
                <w:color w:val="auto"/>
              </w:rPr>
            </w:pPr>
            <w:r>
              <w:rPr>
                <w:rFonts w:ascii="Calibri" w:cs="Calibri" w:eastAsia="Calibri" w:hAnsi="Calibri"/>
                <w:sz w:val="15"/>
                <w:szCs w:val="15"/>
                <w:color w:val="auto"/>
                <w:w w:val="98"/>
              </w:rPr>
              <w:t>-3.4%</w:t>
            </w:r>
          </w:p>
        </w:tc>
        <w:tc>
          <w:tcPr>
            <w:tcW w:w="720" w:type="dxa"/>
            <w:vAlign w:val="bottom"/>
            <w:tcBorders>
              <w:bottom w:val="single" w:sz="8" w:color="auto"/>
              <w:right w:val="single" w:sz="8" w:color="auto"/>
            </w:tcBorders>
          </w:tcPr>
          <w:p>
            <w:pPr>
              <w:jc w:val="center"/>
              <w:ind w:right="264"/>
              <w:spacing w:after="0" w:line="180" w:lineRule="exact"/>
              <w:rPr>
                <w:sz w:val="20"/>
                <w:szCs w:val="20"/>
                <w:color w:val="auto"/>
              </w:rPr>
            </w:pPr>
            <w:r>
              <w:rPr>
                <w:rFonts w:ascii="Calibri" w:cs="Calibri" w:eastAsia="Calibri" w:hAnsi="Calibri"/>
                <w:sz w:val="15"/>
                <w:szCs w:val="15"/>
                <w:color w:val="auto"/>
              </w:rPr>
              <w:t>3.3%</w:t>
            </w:r>
          </w:p>
        </w:tc>
      </w:tr>
      <w:tr>
        <w:trPr>
          <w:trHeight w:val="184"/>
        </w:trPr>
        <w:tc>
          <w:tcPr>
            <w:tcW w:w="5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97"/>
        </w:trPr>
        <w:tc>
          <w:tcPr>
            <w:tcW w:w="5220" w:type="dxa"/>
            <w:vAlign w:val="bottom"/>
            <w:tcBorders>
              <w:left w:val="single" w:sz="8" w:color="auto"/>
              <w:right w:val="single" w:sz="8" w:color="auto"/>
            </w:tcBorders>
          </w:tcPr>
          <w:p>
            <w:pPr>
              <w:ind w:left="40"/>
              <w:spacing w:after="0" w:line="197" w:lineRule="exact"/>
              <w:rPr>
                <w:sz w:val="20"/>
                <w:szCs w:val="20"/>
                <w:color w:val="auto"/>
              </w:rPr>
            </w:pPr>
            <w:r>
              <w:rPr>
                <w:rFonts w:ascii="Calibri" w:cs="Calibri" w:eastAsia="Calibri" w:hAnsi="Calibri"/>
                <w:sz w:val="13"/>
                <w:szCs w:val="13"/>
                <w:color w:val="auto"/>
              </w:rPr>
              <w:t xml:space="preserve">Financial Consolidated Group (FCG) Regulatory Capital Requirements </w:t>
            </w:r>
            <w:r>
              <w:rPr>
                <w:rFonts w:ascii="Calibri" w:cs="Calibri" w:eastAsia="Calibri" w:hAnsi="Calibri"/>
                <w:sz w:val="21"/>
                <w:szCs w:val="21"/>
                <w:color w:val="auto"/>
                <w:vertAlign w:val="superscript"/>
              </w:rPr>
              <w:t>(8)</w:t>
            </w:r>
          </w:p>
        </w:tc>
        <w:tc>
          <w:tcPr>
            <w:tcW w:w="156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18,372,067</w:t>
            </w:r>
          </w:p>
        </w:tc>
        <w:tc>
          <w:tcPr>
            <w:tcW w:w="134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22,506,113</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20,915,785</w:t>
            </w:r>
          </w:p>
        </w:tc>
        <w:tc>
          <w:tcPr>
            <w:tcW w:w="1300" w:type="dxa"/>
            <w:vAlign w:val="bottom"/>
          </w:tcPr>
          <w:p>
            <w:pPr>
              <w:jc w:val="center"/>
              <w:ind w:right="244"/>
              <w:spacing w:after="0" w:line="180" w:lineRule="exact"/>
              <w:rPr>
                <w:sz w:val="20"/>
                <w:szCs w:val="20"/>
                <w:color w:val="auto"/>
              </w:rPr>
            </w:pPr>
            <w:r>
              <w:rPr>
                <w:rFonts w:ascii="Calibri" w:cs="Calibri" w:eastAsia="Calibri" w:hAnsi="Calibri"/>
                <w:sz w:val="15"/>
                <w:szCs w:val="15"/>
                <w:color w:val="auto"/>
                <w:w w:val="98"/>
              </w:rPr>
              <w:t>-7.1%</w:t>
            </w:r>
          </w:p>
        </w:tc>
        <w:tc>
          <w:tcPr>
            <w:tcW w:w="720" w:type="dxa"/>
            <w:vAlign w:val="bottom"/>
            <w:tcBorders>
              <w:right w:val="single" w:sz="8" w:color="auto"/>
            </w:tcBorders>
          </w:tcPr>
          <w:p>
            <w:pPr>
              <w:jc w:val="center"/>
              <w:ind w:right="244"/>
              <w:spacing w:after="0" w:line="180" w:lineRule="exact"/>
              <w:rPr>
                <w:sz w:val="20"/>
                <w:szCs w:val="20"/>
                <w:color w:val="auto"/>
              </w:rPr>
            </w:pPr>
            <w:r>
              <w:rPr>
                <w:rFonts w:ascii="Calibri" w:cs="Calibri" w:eastAsia="Calibri" w:hAnsi="Calibri"/>
                <w:sz w:val="15"/>
                <w:szCs w:val="15"/>
                <w:color w:val="auto"/>
                <w:w w:val="96"/>
              </w:rPr>
              <w:t>13.8%</w:t>
            </w:r>
          </w:p>
        </w:tc>
      </w:tr>
      <w:tr>
        <w:trPr>
          <w:trHeight w:val="204"/>
        </w:trPr>
        <w:tc>
          <w:tcPr>
            <w:tcW w:w="5220" w:type="dxa"/>
            <w:vAlign w:val="bottom"/>
            <w:tcBorders>
              <w:left w:val="single" w:sz="8" w:color="auto"/>
              <w:right w:val="single" w:sz="8" w:color="auto"/>
            </w:tcBorders>
          </w:tcPr>
          <w:p>
            <w:pPr>
              <w:ind w:left="40"/>
              <w:spacing w:after="0" w:line="204" w:lineRule="exact"/>
              <w:rPr>
                <w:sz w:val="20"/>
                <w:szCs w:val="20"/>
                <w:color w:val="auto"/>
              </w:rPr>
            </w:pPr>
            <w:r>
              <w:rPr>
                <w:rFonts w:ascii="Calibri" w:cs="Calibri" w:eastAsia="Calibri" w:hAnsi="Calibri"/>
                <w:sz w:val="14"/>
                <w:szCs w:val="14"/>
                <w:color w:val="auto"/>
              </w:rPr>
              <w:t xml:space="preserve">Insurance Consolidated Group (ICG) Capital Requirements </w:t>
            </w:r>
            <w:r>
              <w:rPr>
                <w:rFonts w:ascii="Calibri" w:cs="Calibri" w:eastAsia="Calibri" w:hAnsi="Calibri"/>
                <w:sz w:val="22"/>
                <w:szCs w:val="22"/>
                <w:color w:val="auto"/>
                <w:vertAlign w:val="superscript"/>
              </w:rPr>
              <w:t>(9)</w:t>
            </w:r>
          </w:p>
        </w:tc>
        <w:tc>
          <w:tcPr>
            <w:tcW w:w="156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1,450,871</w:t>
            </w:r>
          </w:p>
        </w:tc>
        <w:tc>
          <w:tcPr>
            <w:tcW w:w="134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1,562,893</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1,406,417</w:t>
            </w:r>
          </w:p>
        </w:tc>
        <w:tc>
          <w:tcPr>
            <w:tcW w:w="1300" w:type="dxa"/>
            <w:vAlign w:val="bottom"/>
          </w:tcPr>
          <w:p>
            <w:pPr>
              <w:jc w:val="center"/>
              <w:ind w:right="224"/>
              <w:spacing w:after="0" w:line="180" w:lineRule="exact"/>
              <w:rPr>
                <w:sz w:val="20"/>
                <w:szCs w:val="20"/>
                <w:color w:val="auto"/>
              </w:rPr>
            </w:pPr>
            <w:r>
              <w:rPr>
                <w:rFonts w:ascii="Calibri" w:cs="Calibri" w:eastAsia="Calibri" w:hAnsi="Calibri"/>
                <w:sz w:val="15"/>
                <w:szCs w:val="15"/>
                <w:color w:val="auto"/>
                <w:w w:val="95"/>
              </w:rPr>
              <w:t>-10.0%</w:t>
            </w:r>
          </w:p>
        </w:tc>
        <w:tc>
          <w:tcPr>
            <w:tcW w:w="720" w:type="dxa"/>
            <w:vAlign w:val="bottom"/>
            <w:tcBorders>
              <w:right w:val="single" w:sz="8" w:color="auto"/>
            </w:tcBorders>
          </w:tcPr>
          <w:p>
            <w:pPr>
              <w:jc w:val="center"/>
              <w:ind w:right="264"/>
              <w:spacing w:after="0" w:line="180" w:lineRule="exact"/>
              <w:rPr>
                <w:sz w:val="20"/>
                <w:szCs w:val="20"/>
                <w:color w:val="auto"/>
              </w:rPr>
            </w:pPr>
            <w:r>
              <w:rPr>
                <w:rFonts w:ascii="Calibri" w:cs="Calibri" w:eastAsia="Calibri" w:hAnsi="Calibri"/>
                <w:sz w:val="15"/>
                <w:szCs w:val="15"/>
                <w:color w:val="auto"/>
                <w:w w:val="98"/>
              </w:rPr>
              <w:t>-3.1%</w:t>
            </w:r>
          </w:p>
        </w:tc>
      </w:tr>
      <w:tr>
        <w:trPr>
          <w:trHeight w:val="179"/>
        </w:trPr>
        <w:tc>
          <w:tcPr>
            <w:tcW w:w="5220" w:type="dxa"/>
            <w:vAlign w:val="bottom"/>
            <w:tcBorders>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color w:val="auto"/>
              </w:rPr>
              <w:t>FCG Capital Requirements related to operatons with ICG</w:t>
            </w:r>
          </w:p>
        </w:tc>
        <w:tc>
          <w:tcPr>
            <w:tcW w:w="156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(446,149)</w:t>
            </w:r>
          </w:p>
        </w:tc>
        <w:tc>
          <w:tcPr>
            <w:tcW w:w="134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(471,371)</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(518,975)</w:t>
            </w:r>
          </w:p>
        </w:tc>
        <w:tc>
          <w:tcPr>
            <w:tcW w:w="1300" w:type="dxa"/>
            <w:vAlign w:val="bottom"/>
          </w:tcPr>
          <w:p>
            <w:pPr>
              <w:jc w:val="center"/>
              <w:ind w:right="224"/>
              <w:spacing w:after="0" w:line="180" w:lineRule="exact"/>
              <w:rPr>
                <w:sz w:val="20"/>
                <w:szCs w:val="20"/>
                <w:color w:val="auto"/>
              </w:rPr>
            </w:pPr>
            <w:r>
              <w:rPr>
                <w:rFonts w:ascii="Calibri" w:cs="Calibri" w:eastAsia="Calibri" w:hAnsi="Calibri"/>
                <w:sz w:val="15"/>
                <w:szCs w:val="15"/>
                <w:color w:val="auto"/>
                <w:w w:val="96"/>
              </w:rPr>
              <w:t>10.1%</w:t>
            </w:r>
          </w:p>
        </w:tc>
        <w:tc>
          <w:tcPr>
            <w:tcW w:w="720" w:type="dxa"/>
            <w:vAlign w:val="bottom"/>
            <w:tcBorders>
              <w:right w:val="single" w:sz="8" w:color="auto"/>
            </w:tcBorders>
          </w:tcPr>
          <w:p>
            <w:pPr>
              <w:jc w:val="center"/>
              <w:ind w:right="244"/>
              <w:spacing w:after="0" w:line="180" w:lineRule="exact"/>
              <w:rPr>
                <w:sz w:val="20"/>
                <w:szCs w:val="20"/>
                <w:color w:val="auto"/>
              </w:rPr>
            </w:pPr>
            <w:r>
              <w:rPr>
                <w:rFonts w:ascii="Calibri" w:cs="Calibri" w:eastAsia="Calibri" w:hAnsi="Calibri"/>
                <w:sz w:val="15"/>
                <w:szCs w:val="15"/>
                <w:color w:val="auto"/>
                <w:w w:val="96"/>
              </w:rPr>
              <w:t>16.3%</w:t>
            </w:r>
          </w:p>
        </w:tc>
      </w:tr>
      <w:tr>
        <w:trPr>
          <w:trHeight w:val="204"/>
        </w:trPr>
        <w:tc>
          <w:tcPr>
            <w:tcW w:w="522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ICG Capital Requirements related to operatons with FCG</w:t>
            </w:r>
          </w:p>
        </w:tc>
        <w:tc>
          <w:tcPr>
            <w:tcW w:w="1560" w:type="dxa"/>
            <w:vAlign w:val="bottom"/>
          </w:tcPr>
          <w:p>
            <w:pPr>
              <w:jc w:val="right"/>
              <w:ind w:right="164"/>
              <w:spacing w:after="0"/>
              <w:rPr>
                <w:sz w:val="20"/>
                <w:szCs w:val="20"/>
                <w:color w:val="auto"/>
              </w:rPr>
            </w:pPr>
            <w:r>
              <w:rPr>
                <w:rFonts w:ascii="Calibri" w:cs="Calibri" w:eastAsia="Calibri" w:hAnsi="Calibri"/>
                <w:sz w:val="15"/>
                <w:szCs w:val="15"/>
                <w:color w:val="auto"/>
              </w:rPr>
              <w:t>-</w:t>
            </w:r>
          </w:p>
        </w:tc>
        <w:tc>
          <w:tcPr>
            <w:tcW w:w="1340" w:type="dxa"/>
            <w:vAlign w:val="bottom"/>
          </w:tcPr>
          <w:p>
            <w:pPr>
              <w:jc w:val="right"/>
              <w:ind w:right="164"/>
              <w:spacing w:after="0"/>
              <w:rPr>
                <w:sz w:val="20"/>
                <w:szCs w:val="20"/>
                <w:color w:val="auto"/>
              </w:rPr>
            </w:pPr>
            <w:r>
              <w:rPr>
                <w:rFonts w:ascii="Calibri" w:cs="Calibri" w:eastAsia="Calibri" w:hAnsi="Calibri"/>
                <w:sz w:val="15"/>
                <w:szCs w:val="15"/>
                <w:color w:val="auto"/>
              </w:rPr>
              <w:t>-</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1300" w:type="dxa"/>
            <w:vAlign w:val="bottom"/>
          </w:tcPr>
          <w:p>
            <w:pPr>
              <w:jc w:val="center"/>
              <w:ind w:right="224"/>
              <w:spacing w:after="0"/>
              <w:rPr>
                <w:sz w:val="20"/>
                <w:szCs w:val="20"/>
                <w:color w:val="auto"/>
              </w:rPr>
            </w:pPr>
            <w:r>
              <w:rPr>
                <w:rFonts w:ascii="Calibri" w:cs="Calibri" w:eastAsia="Calibri" w:hAnsi="Calibri"/>
                <w:sz w:val="15"/>
                <w:szCs w:val="15"/>
                <w:color w:val="auto"/>
                <w:w w:val="86"/>
              </w:rPr>
              <w:t>-</w:t>
            </w:r>
          </w:p>
        </w:tc>
        <w:tc>
          <w:tcPr>
            <w:tcW w:w="72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86"/>
              </w:rPr>
              <w:t>-</w:t>
            </w:r>
          </w:p>
        </w:tc>
      </w:tr>
      <w:tr>
        <w:trPr>
          <w:trHeight w:val="35"/>
        </w:trPr>
        <w:tc>
          <w:tcPr>
            <w:tcW w:w="5220" w:type="dxa"/>
            <w:vAlign w:val="bottom"/>
            <w:tcBorders>
              <w:left w:val="single" w:sz="8" w:color="auto"/>
              <w:bottom w:val="single" w:sz="8" w:color="auto"/>
              <w:right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r>
      <w:tr>
        <w:trPr>
          <w:trHeight w:val="179"/>
        </w:trPr>
        <w:tc>
          <w:tcPr>
            <w:tcW w:w="5220" w:type="dxa"/>
            <w:vAlign w:val="bottom"/>
            <w:tcBorders>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b w:val="1"/>
                <w:bCs w:val="1"/>
                <w:color w:val="auto"/>
              </w:rPr>
              <w:t>Regulatory Capital Requirements (B)</w:t>
            </w:r>
          </w:p>
        </w:tc>
        <w:tc>
          <w:tcPr>
            <w:tcW w:w="1560" w:type="dxa"/>
            <w:vAlign w:val="bottom"/>
          </w:tcPr>
          <w:p>
            <w:pPr>
              <w:jc w:val="right"/>
              <w:ind w:right="164"/>
              <w:spacing w:after="0" w:line="180" w:lineRule="exact"/>
              <w:rPr>
                <w:sz w:val="20"/>
                <w:szCs w:val="20"/>
                <w:color w:val="auto"/>
              </w:rPr>
            </w:pPr>
            <w:r>
              <w:rPr>
                <w:rFonts w:ascii="Calibri" w:cs="Calibri" w:eastAsia="Calibri" w:hAnsi="Calibri"/>
                <w:sz w:val="15"/>
                <w:szCs w:val="15"/>
                <w:b w:val="1"/>
                <w:bCs w:val="1"/>
                <w:color w:val="auto"/>
              </w:rPr>
              <w:t>19,376,789</w:t>
            </w:r>
          </w:p>
        </w:tc>
        <w:tc>
          <w:tcPr>
            <w:tcW w:w="1340" w:type="dxa"/>
            <w:vAlign w:val="bottom"/>
          </w:tcPr>
          <w:p>
            <w:pPr>
              <w:jc w:val="right"/>
              <w:ind w:right="164"/>
              <w:spacing w:after="0" w:line="180" w:lineRule="exact"/>
              <w:rPr>
                <w:sz w:val="20"/>
                <w:szCs w:val="20"/>
                <w:color w:val="auto"/>
              </w:rPr>
            </w:pPr>
            <w:r>
              <w:rPr>
                <w:rFonts w:ascii="Calibri" w:cs="Calibri" w:eastAsia="Calibri" w:hAnsi="Calibri"/>
                <w:sz w:val="15"/>
                <w:szCs w:val="15"/>
                <w:b w:val="1"/>
                <w:bCs w:val="1"/>
                <w:color w:val="auto"/>
              </w:rPr>
              <w:t>23,597,634</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21,803,226</w:t>
            </w:r>
          </w:p>
        </w:tc>
        <w:tc>
          <w:tcPr>
            <w:tcW w:w="1300" w:type="dxa"/>
            <w:vAlign w:val="bottom"/>
          </w:tcPr>
          <w:p>
            <w:pPr>
              <w:jc w:val="center"/>
              <w:ind w:right="224"/>
              <w:spacing w:after="0" w:line="180" w:lineRule="exact"/>
              <w:rPr>
                <w:sz w:val="20"/>
                <w:szCs w:val="20"/>
                <w:color w:val="auto"/>
              </w:rPr>
            </w:pPr>
            <w:r>
              <w:rPr>
                <w:rFonts w:ascii="Calibri" w:cs="Calibri" w:eastAsia="Calibri" w:hAnsi="Calibri"/>
                <w:sz w:val="15"/>
                <w:szCs w:val="15"/>
                <w:b w:val="1"/>
                <w:bCs w:val="1"/>
                <w:color w:val="auto"/>
              </w:rPr>
              <w:t>-7.6%</w:t>
            </w:r>
          </w:p>
        </w:tc>
        <w:tc>
          <w:tcPr>
            <w:tcW w:w="720" w:type="dxa"/>
            <w:vAlign w:val="bottom"/>
            <w:tcBorders>
              <w:right w:val="single" w:sz="8" w:color="auto"/>
            </w:tcBorders>
          </w:tcPr>
          <w:p>
            <w:pPr>
              <w:jc w:val="center"/>
              <w:ind w:right="264"/>
              <w:spacing w:after="0" w:line="180" w:lineRule="exact"/>
              <w:rPr>
                <w:sz w:val="20"/>
                <w:szCs w:val="20"/>
                <w:color w:val="auto"/>
              </w:rPr>
            </w:pPr>
            <w:r>
              <w:rPr>
                <w:rFonts w:ascii="Calibri" w:cs="Calibri" w:eastAsia="Calibri" w:hAnsi="Calibri"/>
                <w:sz w:val="15"/>
                <w:szCs w:val="15"/>
                <w:b w:val="1"/>
                <w:bCs w:val="1"/>
                <w:color w:val="auto"/>
              </w:rPr>
              <w:t>12.5%</w:t>
            </w:r>
          </w:p>
        </w:tc>
      </w:tr>
      <w:tr>
        <w:trPr>
          <w:trHeight w:val="27"/>
        </w:trPr>
        <w:tc>
          <w:tcPr>
            <w:tcW w:w="522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179"/>
        </w:trPr>
        <w:tc>
          <w:tcPr>
            <w:tcW w:w="5220" w:type="dxa"/>
            <w:vAlign w:val="bottom"/>
            <w:tcBorders>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b w:val="1"/>
                <w:bCs w:val="1"/>
                <w:color w:val="auto"/>
              </w:rPr>
              <w:t>Regulatory Capital Rato (A) / (B)</w:t>
            </w:r>
          </w:p>
        </w:tc>
        <w:tc>
          <w:tcPr>
            <w:tcW w:w="1560" w:type="dxa"/>
            <w:vAlign w:val="bottom"/>
          </w:tcPr>
          <w:p>
            <w:pPr>
              <w:jc w:val="right"/>
              <w:ind w:right="164"/>
              <w:spacing w:after="0" w:line="180" w:lineRule="exact"/>
              <w:rPr>
                <w:sz w:val="20"/>
                <w:szCs w:val="20"/>
                <w:color w:val="auto"/>
              </w:rPr>
            </w:pPr>
            <w:r>
              <w:rPr>
                <w:rFonts w:ascii="Calibri" w:cs="Calibri" w:eastAsia="Calibri" w:hAnsi="Calibri"/>
                <w:sz w:val="15"/>
                <w:szCs w:val="15"/>
                <w:b w:val="1"/>
                <w:bCs w:val="1"/>
                <w:color w:val="auto"/>
              </w:rPr>
              <w:t>1.51</w:t>
            </w:r>
          </w:p>
        </w:tc>
        <w:tc>
          <w:tcPr>
            <w:tcW w:w="1340" w:type="dxa"/>
            <w:vAlign w:val="bottom"/>
          </w:tcPr>
          <w:p>
            <w:pPr>
              <w:jc w:val="right"/>
              <w:ind w:right="164"/>
              <w:spacing w:after="0" w:line="180" w:lineRule="exact"/>
              <w:rPr>
                <w:sz w:val="20"/>
                <w:szCs w:val="20"/>
                <w:color w:val="auto"/>
              </w:rPr>
            </w:pPr>
            <w:r>
              <w:rPr>
                <w:rFonts w:ascii="Calibri" w:cs="Calibri" w:eastAsia="Calibri" w:hAnsi="Calibri"/>
                <w:sz w:val="15"/>
                <w:szCs w:val="15"/>
                <w:b w:val="1"/>
                <w:bCs w:val="1"/>
                <w:color w:val="auto"/>
              </w:rPr>
              <w:t>1.35</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1.43</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7"/>
        </w:trPr>
        <w:tc>
          <w:tcPr>
            <w:tcW w:w="522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7"/>
        </w:trPr>
        <w:tc>
          <w:tcPr>
            <w:tcW w:w="5220" w:type="dxa"/>
            <w:vAlign w:val="bottom"/>
            <w:tcBorders>
              <w:left w:val="single" w:sz="8" w:color="auto"/>
              <w:bottom w:val="single" w:sz="8" w:color="auto"/>
              <w:right w:val="single" w:sz="8" w:color="auto"/>
            </w:tcBorders>
          </w:tcPr>
          <w:p>
            <w:pPr>
              <w:ind w:left="40"/>
              <w:spacing w:after="0" w:line="204" w:lineRule="exact"/>
              <w:rPr>
                <w:sz w:val="20"/>
                <w:szCs w:val="20"/>
                <w:color w:val="auto"/>
              </w:rPr>
            </w:pPr>
            <w:r>
              <w:rPr>
                <w:rFonts w:ascii="Calibri" w:cs="Calibri" w:eastAsia="Calibri" w:hAnsi="Calibri"/>
                <w:sz w:val="14"/>
                <w:szCs w:val="14"/>
                <w:b w:val="1"/>
                <w:bCs w:val="1"/>
                <w:color w:val="auto"/>
              </w:rPr>
              <w:t xml:space="preserve">Required Regulatory Capital Rato </w:t>
            </w:r>
            <w:r>
              <w:rPr>
                <w:rFonts w:ascii="Calibri" w:cs="Calibri" w:eastAsia="Calibri" w:hAnsi="Calibri"/>
                <w:sz w:val="22"/>
                <w:szCs w:val="22"/>
                <w:b w:val="1"/>
                <w:bCs w:val="1"/>
                <w:color w:val="auto"/>
                <w:vertAlign w:val="superscript"/>
              </w:rPr>
              <w:t>(10)</w:t>
            </w:r>
          </w:p>
        </w:tc>
        <w:tc>
          <w:tcPr>
            <w:tcW w:w="1560" w:type="dxa"/>
            <w:vAlign w:val="bottom"/>
            <w:tcBorders>
              <w:bottom w:val="single" w:sz="8" w:color="auto"/>
            </w:tcBorders>
          </w:tcPr>
          <w:p>
            <w:pPr>
              <w:jc w:val="right"/>
              <w:ind w:right="164"/>
              <w:spacing w:after="0" w:line="180" w:lineRule="exact"/>
              <w:rPr>
                <w:sz w:val="20"/>
                <w:szCs w:val="20"/>
                <w:color w:val="auto"/>
              </w:rPr>
            </w:pPr>
            <w:r>
              <w:rPr>
                <w:rFonts w:ascii="Calibri" w:cs="Calibri" w:eastAsia="Calibri" w:hAnsi="Calibri"/>
                <w:sz w:val="15"/>
                <w:szCs w:val="15"/>
                <w:b w:val="1"/>
                <w:bCs w:val="1"/>
                <w:color w:val="auto"/>
              </w:rPr>
              <w:t>1.00</w:t>
            </w:r>
          </w:p>
        </w:tc>
        <w:tc>
          <w:tcPr>
            <w:tcW w:w="1340" w:type="dxa"/>
            <w:vAlign w:val="bottom"/>
            <w:tcBorders>
              <w:bottom w:val="single" w:sz="8" w:color="auto"/>
            </w:tcBorders>
          </w:tcPr>
          <w:p>
            <w:pPr>
              <w:jc w:val="right"/>
              <w:ind w:right="164"/>
              <w:spacing w:after="0" w:line="180" w:lineRule="exact"/>
              <w:rPr>
                <w:sz w:val="20"/>
                <w:szCs w:val="20"/>
                <w:color w:val="auto"/>
              </w:rPr>
            </w:pPr>
            <w:r>
              <w:rPr>
                <w:rFonts w:ascii="Calibri" w:cs="Calibri" w:eastAsia="Calibri" w:hAnsi="Calibri"/>
                <w:sz w:val="15"/>
                <w:szCs w:val="15"/>
                <w:b w:val="1"/>
                <w:bCs w:val="1"/>
                <w:color w:val="auto"/>
              </w:rPr>
              <w:t>1.00</w:t>
            </w:r>
          </w:p>
        </w:tc>
        <w:tc>
          <w:tcPr>
            <w:tcW w:w="1140" w:type="dxa"/>
            <w:vAlign w:val="bottom"/>
            <w:tcBorders>
              <w:bottom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1.00</w:t>
            </w: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ind w:left="140" w:hanging="129"/>
        <w:spacing w:after="0" w:line="203" w:lineRule="auto"/>
        <w:tabs>
          <w:tab w:leader="none" w:pos="140" w:val="left"/>
        </w:tabs>
        <w:numPr>
          <w:ilvl w:val="0"/>
          <w:numId w:val="60"/>
        </w:numPr>
        <w:rPr>
          <w:rFonts w:ascii="Calibri" w:cs="Calibri" w:eastAsia="Calibri" w:hAnsi="Calibri"/>
          <w:sz w:val="10"/>
          <w:szCs w:val="10"/>
          <w:color w:val="auto"/>
        </w:rPr>
      </w:pPr>
      <w:r>
        <w:rPr>
          <w:rFonts w:ascii="Calibri" w:cs="Calibri" w:eastAsia="Calibri" w:hAnsi="Calibri"/>
          <w:sz w:val="10"/>
          <w:szCs w:val="10"/>
          <w:color w:val="auto"/>
        </w:rPr>
        <w:t>Legal and other capital reserves include restricted capital reserves (PEN 14,745 million) and optonal capital reserves (PEN 6,661 million).</w:t>
      </w:r>
    </w:p>
    <w:p>
      <w:pPr>
        <w:ind w:left="140" w:hanging="129"/>
        <w:spacing w:after="0" w:line="223" w:lineRule="auto"/>
        <w:tabs>
          <w:tab w:leader="none" w:pos="140" w:val="left"/>
        </w:tabs>
        <w:numPr>
          <w:ilvl w:val="0"/>
          <w:numId w:val="60"/>
        </w:numPr>
        <w:rPr>
          <w:rFonts w:ascii="Calibri" w:cs="Calibri" w:eastAsia="Calibri" w:hAnsi="Calibri"/>
          <w:sz w:val="10"/>
          <w:szCs w:val="10"/>
          <w:color w:val="auto"/>
        </w:rPr>
      </w:pPr>
      <w:r>
        <w:rPr>
          <w:rFonts w:ascii="Calibri" w:cs="Calibri" w:eastAsia="Calibri" w:hAnsi="Calibri"/>
          <w:sz w:val="10"/>
          <w:szCs w:val="10"/>
          <w:color w:val="auto"/>
        </w:rPr>
        <w:t>Minority interest includes Tier I (PEN 421 million)</w:t>
      </w:r>
    </w:p>
    <w:p>
      <w:pPr>
        <w:ind w:left="140" w:hanging="129"/>
        <w:spacing w:after="0" w:line="223" w:lineRule="auto"/>
        <w:tabs>
          <w:tab w:leader="none" w:pos="140" w:val="left"/>
        </w:tabs>
        <w:numPr>
          <w:ilvl w:val="0"/>
          <w:numId w:val="60"/>
        </w:numPr>
        <w:rPr>
          <w:rFonts w:ascii="Calibri" w:cs="Calibri" w:eastAsia="Calibri" w:hAnsi="Calibri"/>
          <w:sz w:val="10"/>
          <w:szCs w:val="10"/>
          <w:color w:val="auto"/>
        </w:rPr>
      </w:pPr>
      <w:r>
        <w:rPr>
          <w:rFonts w:ascii="Calibri" w:cs="Calibri" w:eastAsia="Calibri" w:hAnsi="Calibri"/>
          <w:sz w:val="10"/>
          <w:szCs w:val="10"/>
          <w:color w:val="auto"/>
        </w:rPr>
        <w:t>Up to 1.25% of total risk-weighted assets of Banco de Credito del Peru, Solucion Empresa Administradora Hipotecaria, Mibanco and ASB Bank Corp.</w:t>
      </w:r>
    </w:p>
    <w:p>
      <w:pPr>
        <w:ind w:left="140" w:hanging="129"/>
        <w:spacing w:after="0" w:line="223" w:lineRule="auto"/>
        <w:tabs>
          <w:tab w:leader="none" w:pos="140" w:val="left"/>
        </w:tabs>
        <w:numPr>
          <w:ilvl w:val="0"/>
          <w:numId w:val="60"/>
        </w:numPr>
        <w:rPr>
          <w:rFonts w:ascii="Calibri" w:cs="Calibri" w:eastAsia="Calibri" w:hAnsi="Calibri"/>
          <w:sz w:val="10"/>
          <w:szCs w:val="10"/>
          <w:color w:val="auto"/>
        </w:rPr>
      </w:pPr>
      <w:r>
        <w:rPr>
          <w:rFonts w:ascii="Calibri" w:cs="Calibri" w:eastAsia="Calibri" w:hAnsi="Calibri"/>
          <w:sz w:val="10"/>
          <w:szCs w:val="10"/>
          <w:color w:val="auto"/>
        </w:rPr>
        <w:t>Tier II + Tier III cannot be more than 50% of total regulatory capital.</w:t>
      </w:r>
    </w:p>
    <w:p>
      <w:pPr>
        <w:ind w:left="140" w:hanging="129"/>
        <w:spacing w:after="0" w:line="223" w:lineRule="auto"/>
        <w:tabs>
          <w:tab w:leader="none" w:pos="140" w:val="left"/>
        </w:tabs>
        <w:numPr>
          <w:ilvl w:val="0"/>
          <w:numId w:val="60"/>
        </w:numPr>
        <w:rPr>
          <w:rFonts w:ascii="Calibri" w:cs="Calibri" w:eastAsia="Calibri" w:hAnsi="Calibri"/>
          <w:sz w:val="10"/>
          <w:szCs w:val="10"/>
          <w:color w:val="auto"/>
        </w:rPr>
      </w:pPr>
      <w:r>
        <w:rPr>
          <w:rFonts w:ascii="Calibri" w:cs="Calibri" w:eastAsia="Calibri" w:hAnsi="Calibri"/>
          <w:sz w:val="10"/>
          <w:szCs w:val="10"/>
          <w:color w:val="auto"/>
        </w:rPr>
        <w:t>Tier I = capital + restricted capital reserves + Tier I minority interest - goodwill - (0.5 x investment in equity and subordinated debt of fnancial and insurance companies) + perpetual subordinated debt.</w:t>
      </w:r>
    </w:p>
    <w:p>
      <w:pPr>
        <w:ind w:left="140" w:hanging="129"/>
        <w:spacing w:after="0" w:line="223" w:lineRule="auto"/>
        <w:tabs>
          <w:tab w:leader="none" w:pos="140" w:val="left"/>
        </w:tabs>
        <w:numPr>
          <w:ilvl w:val="0"/>
          <w:numId w:val="60"/>
        </w:numPr>
        <w:rPr>
          <w:rFonts w:ascii="Calibri" w:cs="Calibri" w:eastAsia="Calibri" w:hAnsi="Calibri"/>
          <w:sz w:val="10"/>
          <w:szCs w:val="10"/>
          <w:color w:val="auto"/>
        </w:rPr>
      </w:pPr>
      <w:r>
        <w:rPr>
          <w:rFonts w:ascii="Calibri" w:cs="Calibri" w:eastAsia="Calibri" w:hAnsi="Calibri"/>
          <w:sz w:val="10"/>
          <w:szCs w:val="10"/>
          <w:color w:val="auto"/>
        </w:rPr>
        <w:t>Tier II = subordinated debt + TierII minority interest ter + loan loss reserves - (0.5 x investment in equity and subordinated debt of fnancial and insurance companies).</w:t>
      </w:r>
    </w:p>
    <w:p>
      <w:pPr>
        <w:ind w:left="140" w:hanging="129"/>
        <w:spacing w:after="0" w:line="223" w:lineRule="auto"/>
        <w:tabs>
          <w:tab w:leader="none" w:pos="140" w:val="left"/>
        </w:tabs>
        <w:numPr>
          <w:ilvl w:val="0"/>
          <w:numId w:val="60"/>
        </w:numPr>
        <w:rPr>
          <w:rFonts w:ascii="Calibri" w:cs="Calibri" w:eastAsia="Calibri" w:hAnsi="Calibri"/>
          <w:sz w:val="10"/>
          <w:szCs w:val="10"/>
          <w:color w:val="auto"/>
        </w:rPr>
      </w:pPr>
      <w:r>
        <w:rPr>
          <w:rFonts w:ascii="Calibri" w:cs="Calibri" w:eastAsia="Calibri" w:hAnsi="Calibri"/>
          <w:sz w:val="10"/>
          <w:szCs w:val="10"/>
          <w:color w:val="auto"/>
        </w:rPr>
        <w:t>Tier III = Subordinated debt covering market risk only.</w:t>
      </w:r>
    </w:p>
    <w:p>
      <w:pPr>
        <w:ind w:left="140" w:hanging="129"/>
        <w:spacing w:after="0" w:line="223" w:lineRule="auto"/>
        <w:tabs>
          <w:tab w:leader="none" w:pos="140" w:val="left"/>
        </w:tabs>
        <w:numPr>
          <w:ilvl w:val="0"/>
          <w:numId w:val="60"/>
        </w:numPr>
        <w:rPr>
          <w:rFonts w:ascii="Calibri" w:cs="Calibri" w:eastAsia="Calibri" w:hAnsi="Calibri"/>
          <w:sz w:val="10"/>
          <w:szCs w:val="10"/>
          <w:color w:val="auto"/>
        </w:rPr>
      </w:pPr>
      <w:r>
        <w:rPr>
          <w:rFonts w:ascii="Calibri" w:cs="Calibri" w:eastAsia="Calibri" w:hAnsi="Calibri"/>
          <w:sz w:val="10"/>
          <w:szCs w:val="10"/>
          <w:color w:val="auto"/>
        </w:rPr>
        <w:t>Includes regulatory capital requirements of the fnancial consolidated group.</w:t>
      </w:r>
    </w:p>
    <w:p>
      <w:pPr>
        <w:ind w:left="140" w:hanging="129"/>
        <w:spacing w:after="0" w:line="223" w:lineRule="auto"/>
        <w:tabs>
          <w:tab w:leader="none" w:pos="140" w:val="left"/>
        </w:tabs>
        <w:numPr>
          <w:ilvl w:val="0"/>
          <w:numId w:val="60"/>
        </w:numPr>
        <w:rPr>
          <w:rFonts w:ascii="Calibri" w:cs="Calibri" w:eastAsia="Calibri" w:hAnsi="Calibri"/>
          <w:sz w:val="10"/>
          <w:szCs w:val="10"/>
          <w:color w:val="auto"/>
        </w:rPr>
      </w:pPr>
      <w:r>
        <w:rPr>
          <w:rFonts w:ascii="Calibri" w:cs="Calibri" w:eastAsia="Calibri" w:hAnsi="Calibri"/>
          <w:sz w:val="10"/>
          <w:szCs w:val="10"/>
          <w:color w:val="auto"/>
        </w:rPr>
        <w:t>Includes regulatory capital requirements of the insurance consolidated group.</w:t>
      </w:r>
    </w:p>
    <w:p>
      <w:pPr>
        <w:ind w:left="200" w:hanging="189"/>
        <w:spacing w:after="0" w:line="223" w:lineRule="auto"/>
        <w:tabs>
          <w:tab w:leader="none" w:pos="200" w:val="left"/>
        </w:tabs>
        <w:numPr>
          <w:ilvl w:val="0"/>
          <w:numId w:val="60"/>
        </w:numPr>
        <w:rPr>
          <w:rFonts w:ascii="Calibri" w:cs="Calibri" w:eastAsia="Calibri" w:hAnsi="Calibri"/>
          <w:sz w:val="10"/>
          <w:szCs w:val="10"/>
          <w:color w:val="auto"/>
        </w:rPr>
      </w:pPr>
      <w:r>
        <w:rPr>
          <w:rFonts w:ascii="Calibri" w:cs="Calibri" w:eastAsia="Calibri" w:hAnsi="Calibri"/>
          <w:sz w:val="10"/>
          <w:szCs w:val="10"/>
          <w:color w:val="auto"/>
        </w:rPr>
        <w:t>Regulatory Capital / Total Regulatory Capital Requirements (legal minimum = 1.00).</w:t>
      </w:r>
    </w:p>
    <w:p>
      <w:pPr>
        <w:spacing w:after="0" w:line="331"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3910" cy="146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80"/>
          </w:cols>
          <w:pgMar w:left="300" w:top="365" w:right="319" w:bottom="1440" w:gutter="0" w:footer="0" w:header="0"/>
        </w:sectPr>
      </w:pPr>
    </w:p>
    <w:bookmarkStart w:id="63" w:name="page64"/>
    <w:bookmarkEnd w:id="63"/>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153910" cy="2305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12. Appendix</w:t>
      </w:r>
    </w:p>
    <w:p>
      <w:pPr>
        <w:spacing w:after="0" w:line="242" w:lineRule="exact"/>
        <w:rPr>
          <w:sz w:val="20"/>
          <w:szCs w:val="20"/>
          <w:color w:val="auto"/>
        </w:rPr>
      </w:pPr>
    </w:p>
    <w:p>
      <w:pPr>
        <w:ind w:left="3549"/>
        <w:spacing w:after="0"/>
        <w:rPr>
          <w:sz w:val="20"/>
          <w:szCs w:val="20"/>
          <w:color w:val="auto"/>
        </w:rPr>
      </w:pPr>
      <w:r>
        <w:rPr>
          <w:rFonts w:ascii="Calibri" w:cs="Calibri" w:eastAsia="Calibri" w:hAnsi="Calibri"/>
          <w:sz w:val="17"/>
          <w:szCs w:val="17"/>
          <w:b w:val="1"/>
          <w:bCs w:val="1"/>
          <w:color w:val="auto"/>
        </w:rPr>
        <w:t>Regulatory and Capital Adecuacy Ratos at BCP Stand-alone</w:t>
      </w:r>
    </w:p>
    <w:p>
      <w:pPr>
        <w:ind w:left="3529"/>
        <w:spacing w:after="0" w:line="236" w:lineRule="auto"/>
        <w:rPr>
          <w:sz w:val="20"/>
          <w:szCs w:val="20"/>
          <w:color w:val="auto"/>
        </w:rPr>
      </w:pPr>
      <w:r>
        <w:rPr>
          <w:rFonts w:ascii="Calibri" w:cs="Calibri" w:eastAsia="Calibri" w:hAnsi="Calibri"/>
          <w:sz w:val="17"/>
          <w:szCs w:val="17"/>
          <w:b w:val="1"/>
          <w:bCs w:val="1"/>
          <w:color w:val="auto"/>
        </w:rPr>
        <w:t>(S/ thousands, IFRS, under regulaton as of December 2022)</w:t>
      </w:r>
    </w:p>
    <w:p>
      <w:pPr>
        <w:spacing w:after="0" w:line="212" w:lineRule="exact"/>
        <w:rPr>
          <w:sz w:val="20"/>
          <w:szCs w:val="20"/>
          <w:color w:val="auto"/>
        </w:rPr>
      </w:pPr>
    </w:p>
    <w:tbl>
      <w:tblPr>
        <w:tblLayout w:type="fixed"/>
        <w:tblInd w:w="19" w:type="dxa"/>
        <w:tblCellMar>
          <w:top w:w="0" w:type="dxa"/>
          <w:left w:w="0" w:type="dxa"/>
          <w:bottom w:w="0" w:type="dxa"/>
          <w:right w:w="0" w:type="dxa"/>
        </w:tblCellMar>
      </w:tblPr>
      <w:tr>
        <w:trPr>
          <w:trHeight w:val="202"/>
        </w:trPr>
        <w:tc>
          <w:tcPr>
            <w:tcW w:w="51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Regulatory Capital and Capital Adequacy Ratos - SBS</w:t>
            </w:r>
          </w:p>
        </w:tc>
        <w:tc>
          <w:tcPr>
            <w:tcW w:w="1600" w:type="dxa"/>
            <w:vAlign w:val="bottom"/>
            <w:tcBorders>
              <w:top w:val="single" w:sz="8" w:color="auto"/>
            </w:tcBorders>
            <w:shd w:val="clear" w:color="auto" w:fill="2AD2C9"/>
          </w:tcPr>
          <w:p>
            <w:pPr>
              <w:spacing w:after="0"/>
              <w:rPr>
                <w:sz w:val="17"/>
                <w:szCs w:val="17"/>
                <w:color w:val="auto"/>
              </w:rPr>
            </w:pPr>
          </w:p>
        </w:tc>
        <w:tc>
          <w:tcPr>
            <w:tcW w:w="1360" w:type="dxa"/>
            <w:vAlign w:val="bottom"/>
            <w:tcBorders>
              <w:top w:val="single" w:sz="8" w:color="auto"/>
            </w:tcBorders>
            <w:shd w:val="clear" w:color="auto" w:fill="2AD2C9"/>
          </w:tcPr>
          <w:p>
            <w:pPr>
              <w:jc w:val="right"/>
              <w:ind w:right="684"/>
              <w:spacing w:after="0"/>
              <w:rPr>
                <w:sz w:val="20"/>
                <w:szCs w:val="20"/>
                <w:color w:val="auto"/>
              </w:rPr>
            </w:pPr>
            <w:r>
              <w:rPr>
                <w:rFonts w:ascii="Calibri" w:cs="Calibri" w:eastAsia="Calibri" w:hAnsi="Calibri"/>
                <w:sz w:val="15"/>
                <w:szCs w:val="15"/>
                <w:b w:val="1"/>
                <w:bCs w:val="1"/>
                <w:color w:val="FFFFFF"/>
              </w:rPr>
              <w:t>As of</w:t>
            </w:r>
          </w:p>
        </w:tc>
        <w:tc>
          <w:tcPr>
            <w:tcW w:w="1160" w:type="dxa"/>
            <w:vAlign w:val="bottom"/>
            <w:tcBorders>
              <w:top w:val="single" w:sz="8" w:color="auto"/>
              <w:right w:val="single" w:sz="8" w:color="auto"/>
            </w:tcBorders>
            <w:shd w:val="clear" w:color="auto" w:fill="2AD2C9"/>
          </w:tcPr>
          <w:p>
            <w:pPr>
              <w:spacing w:after="0"/>
              <w:rPr>
                <w:sz w:val="17"/>
                <w:szCs w:val="17"/>
                <w:color w:val="auto"/>
              </w:rPr>
            </w:pPr>
          </w:p>
        </w:tc>
        <w:tc>
          <w:tcPr>
            <w:tcW w:w="1960" w:type="dxa"/>
            <w:vAlign w:val="bottom"/>
            <w:tcBorders>
              <w:top w:val="single" w:sz="8" w:color="auto"/>
              <w:right w:val="single" w:sz="8" w:color="auto"/>
            </w:tcBorders>
            <w:gridSpan w:val="2"/>
            <w:shd w:val="clear" w:color="auto" w:fill="2AD2C9"/>
          </w:tcPr>
          <w:p>
            <w:pPr>
              <w:ind w:left="680"/>
              <w:spacing w:after="0"/>
              <w:rPr>
                <w:sz w:val="20"/>
                <w:szCs w:val="20"/>
                <w:color w:val="auto"/>
              </w:rPr>
            </w:pPr>
            <w:r>
              <w:rPr>
                <w:rFonts w:ascii="Calibri" w:cs="Calibri" w:eastAsia="Calibri" w:hAnsi="Calibri"/>
                <w:sz w:val="15"/>
                <w:szCs w:val="15"/>
                <w:b w:val="1"/>
                <w:bCs w:val="1"/>
                <w:color w:val="FFFFFF"/>
              </w:rPr>
              <w:t>% change</w:t>
            </w:r>
          </w:p>
        </w:tc>
        <w:tc>
          <w:tcPr>
            <w:tcW w:w="0" w:type="dxa"/>
            <w:vAlign w:val="bottom"/>
          </w:tcPr>
          <w:p>
            <w:pPr>
              <w:spacing w:after="0"/>
              <w:rPr>
                <w:sz w:val="1"/>
                <w:szCs w:val="1"/>
                <w:color w:val="auto"/>
              </w:rPr>
            </w:pPr>
          </w:p>
        </w:tc>
      </w:tr>
      <w:tr>
        <w:trPr>
          <w:trHeight w:val="237"/>
        </w:trPr>
        <w:tc>
          <w:tcPr>
            <w:tcW w:w="5180" w:type="dxa"/>
            <w:vAlign w:val="bottom"/>
            <w:tcBorders>
              <w:left w:val="single" w:sz="8" w:color="auto"/>
              <w:bottom w:val="single" w:sz="8" w:color="2AD2C9"/>
              <w:right w:val="single" w:sz="8" w:color="auto"/>
            </w:tcBorders>
            <w:shd w:val="clear" w:color="auto" w:fill="2AD2C9"/>
          </w:tcPr>
          <w:p>
            <w:pPr>
              <w:ind w:left="20"/>
              <w:spacing w:after="0"/>
              <w:rPr>
                <w:sz w:val="20"/>
                <w:szCs w:val="20"/>
                <w:color w:val="auto"/>
              </w:rPr>
            </w:pPr>
            <w:r>
              <w:rPr>
                <w:rFonts w:ascii="Calibri" w:cs="Calibri" w:eastAsia="Calibri" w:hAnsi="Calibri"/>
                <w:sz w:val="15"/>
                <w:szCs w:val="15"/>
                <w:b w:val="1"/>
                <w:bCs w:val="1"/>
                <w:color w:val="FFFFFF"/>
              </w:rPr>
              <w:t>S/ 000</w:t>
            </w:r>
          </w:p>
        </w:tc>
        <w:tc>
          <w:tcPr>
            <w:tcW w:w="1600" w:type="dxa"/>
            <w:vAlign w:val="bottom"/>
            <w:tcBorders>
              <w:bottom w:val="single" w:sz="8" w:color="2AD2C9"/>
            </w:tcBorders>
            <w:shd w:val="clear" w:color="auto" w:fill="2AD2C9"/>
          </w:tcPr>
          <w:p>
            <w:pPr>
              <w:jc w:val="right"/>
              <w:ind w:right="624"/>
              <w:spacing w:after="0"/>
              <w:rPr>
                <w:sz w:val="20"/>
                <w:szCs w:val="20"/>
                <w:color w:val="auto"/>
              </w:rPr>
            </w:pPr>
            <w:r>
              <w:rPr>
                <w:rFonts w:ascii="Calibri" w:cs="Calibri" w:eastAsia="Calibri" w:hAnsi="Calibri"/>
                <w:sz w:val="15"/>
                <w:szCs w:val="15"/>
                <w:b w:val="1"/>
                <w:bCs w:val="1"/>
                <w:color w:val="FFFFFF"/>
              </w:rPr>
              <w:t>Mar 22</w:t>
            </w:r>
          </w:p>
        </w:tc>
        <w:tc>
          <w:tcPr>
            <w:tcW w:w="1360" w:type="dxa"/>
            <w:vAlign w:val="bottom"/>
            <w:tcBorders>
              <w:bottom w:val="single" w:sz="8" w:color="2AD2C9"/>
            </w:tcBorders>
            <w:shd w:val="clear" w:color="auto" w:fill="2AD2C9"/>
          </w:tcPr>
          <w:p>
            <w:pPr>
              <w:jc w:val="right"/>
              <w:ind w:right="624"/>
              <w:spacing w:after="0"/>
              <w:rPr>
                <w:sz w:val="20"/>
                <w:szCs w:val="20"/>
                <w:color w:val="auto"/>
              </w:rPr>
            </w:pPr>
            <w:r>
              <w:rPr>
                <w:rFonts w:ascii="Calibri" w:cs="Calibri" w:eastAsia="Calibri" w:hAnsi="Calibri"/>
                <w:sz w:val="15"/>
                <w:szCs w:val="15"/>
                <w:b w:val="1"/>
                <w:bCs w:val="1"/>
                <w:color w:val="FFFFFF"/>
              </w:rPr>
              <w:t>Dec 22</w:t>
            </w:r>
          </w:p>
        </w:tc>
        <w:tc>
          <w:tcPr>
            <w:tcW w:w="1160" w:type="dxa"/>
            <w:vAlign w:val="bottom"/>
            <w:tcBorders>
              <w:bottom w:val="single" w:sz="8" w:color="2AD2C9"/>
              <w:right w:val="single" w:sz="8" w:color="auto"/>
            </w:tcBorders>
            <w:shd w:val="clear" w:color="auto" w:fill="2AD2C9"/>
          </w:tcPr>
          <w:p>
            <w:pPr>
              <w:jc w:val="right"/>
              <w:ind w:right="404"/>
              <w:spacing w:after="0"/>
              <w:rPr>
                <w:sz w:val="20"/>
                <w:szCs w:val="20"/>
                <w:color w:val="auto"/>
              </w:rPr>
            </w:pPr>
            <w:r>
              <w:rPr>
                <w:rFonts w:ascii="Calibri" w:cs="Calibri" w:eastAsia="Calibri" w:hAnsi="Calibri"/>
                <w:sz w:val="15"/>
                <w:szCs w:val="15"/>
                <w:b w:val="1"/>
                <w:bCs w:val="1"/>
                <w:color w:val="FFFFFF"/>
              </w:rPr>
              <w:t>Mar 23</w:t>
            </w:r>
          </w:p>
        </w:tc>
        <w:tc>
          <w:tcPr>
            <w:tcW w:w="980" w:type="dxa"/>
            <w:vAlign w:val="bottom"/>
            <w:tcBorders>
              <w:bottom w:val="single" w:sz="8" w:color="2AD2C9"/>
            </w:tcBorders>
            <w:shd w:val="clear" w:color="auto" w:fill="2AD2C9"/>
          </w:tcPr>
          <w:p>
            <w:pPr>
              <w:jc w:val="center"/>
              <w:spacing w:after="0"/>
              <w:rPr>
                <w:sz w:val="20"/>
                <w:szCs w:val="20"/>
                <w:color w:val="auto"/>
              </w:rPr>
            </w:pPr>
            <w:r>
              <w:rPr>
                <w:rFonts w:ascii="Calibri" w:cs="Calibri" w:eastAsia="Calibri" w:hAnsi="Calibri"/>
                <w:sz w:val="15"/>
                <w:szCs w:val="15"/>
                <w:b w:val="1"/>
                <w:bCs w:val="1"/>
                <w:color w:val="FFFFFF"/>
              </w:rPr>
              <w:t>QoQ</w:t>
            </w:r>
          </w:p>
        </w:tc>
        <w:tc>
          <w:tcPr>
            <w:tcW w:w="980" w:type="dxa"/>
            <w:vAlign w:val="bottom"/>
            <w:tcBorders>
              <w:bottom w:val="single" w:sz="8" w:color="2AD2C9"/>
              <w:right w:val="single" w:sz="8" w:color="auto"/>
            </w:tcBorders>
            <w:shd w:val="clear" w:color="auto" w:fill="2AD2C9"/>
          </w:tcPr>
          <w:p>
            <w:pPr>
              <w:jc w:val="center"/>
              <w:spacing w:after="0"/>
              <w:rPr>
                <w:sz w:val="20"/>
                <w:szCs w:val="20"/>
                <w:color w:val="auto"/>
              </w:rPr>
            </w:pPr>
            <w:r>
              <w:rPr>
                <w:rFonts w:ascii="Calibri" w:cs="Calibri" w:eastAsia="Calibri" w:hAnsi="Calibri"/>
                <w:sz w:val="15"/>
                <w:szCs w:val="15"/>
                <w:b w:val="1"/>
                <w:bCs w:val="1"/>
                <w:color w:val="FFFFFF"/>
                <w:w w:val="92"/>
              </w:rPr>
              <w:t>YoY</w:t>
            </w:r>
          </w:p>
        </w:tc>
        <w:tc>
          <w:tcPr>
            <w:tcW w:w="0" w:type="dxa"/>
            <w:vAlign w:val="bottom"/>
          </w:tcPr>
          <w:p>
            <w:pPr>
              <w:spacing w:after="0"/>
              <w:rPr>
                <w:sz w:val="1"/>
                <w:szCs w:val="1"/>
                <w:color w:val="auto"/>
              </w:rPr>
            </w:pPr>
          </w:p>
        </w:tc>
      </w:tr>
      <w:tr>
        <w:trPr>
          <w:trHeight w:val="179"/>
        </w:trPr>
        <w:tc>
          <w:tcPr>
            <w:tcW w:w="5180" w:type="dxa"/>
            <w:vAlign w:val="bottom"/>
            <w:tcBorders>
              <w:top w:val="single" w:sz="8" w:color="auto"/>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Capital Stock</w:t>
            </w:r>
          </w:p>
        </w:tc>
        <w:tc>
          <w:tcPr>
            <w:tcW w:w="1600" w:type="dxa"/>
            <w:vAlign w:val="bottom"/>
            <w:tcBorders>
              <w:top w:val="single" w:sz="8" w:color="auto"/>
            </w:tcBorders>
          </w:tcPr>
          <w:p>
            <w:pPr>
              <w:jc w:val="right"/>
              <w:ind w:right="164"/>
              <w:spacing w:after="0" w:line="180" w:lineRule="exact"/>
              <w:rPr>
                <w:sz w:val="20"/>
                <w:szCs w:val="20"/>
                <w:color w:val="auto"/>
              </w:rPr>
            </w:pPr>
            <w:r>
              <w:rPr>
                <w:rFonts w:ascii="Calibri" w:cs="Calibri" w:eastAsia="Calibri" w:hAnsi="Calibri"/>
                <w:sz w:val="15"/>
                <w:szCs w:val="15"/>
                <w:color w:val="auto"/>
              </w:rPr>
              <w:t>12,176,365</w:t>
            </w:r>
          </w:p>
        </w:tc>
        <w:tc>
          <w:tcPr>
            <w:tcW w:w="1360" w:type="dxa"/>
            <w:vAlign w:val="bottom"/>
            <w:tcBorders>
              <w:top w:val="single" w:sz="8" w:color="auto"/>
            </w:tcBorders>
          </w:tcPr>
          <w:p>
            <w:pPr>
              <w:jc w:val="right"/>
              <w:ind w:right="144"/>
              <w:spacing w:after="0" w:line="180" w:lineRule="exact"/>
              <w:rPr>
                <w:sz w:val="20"/>
                <w:szCs w:val="20"/>
                <w:color w:val="auto"/>
              </w:rPr>
            </w:pPr>
            <w:r>
              <w:rPr>
                <w:rFonts w:ascii="Calibri" w:cs="Calibri" w:eastAsia="Calibri" w:hAnsi="Calibri"/>
                <w:sz w:val="15"/>
                <w:szCs w:val="15"/>
                <w:color w:val="auto"/>
              </w:rPr>
              <w:t>12,176,365</w:t>
            </w:r>
          </w:p>
        </w:tc>
        <w:tc>
          <w:tcPr>
            <w:tcW w:w="1160" w:type="dxa"/>
            <w:vAlign w:val="bottom"/>
            <w:tcBorders>
              <w:top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12,973,175</w:t>
            </w:r>
          </w:p>
        </w:tc>
        <w:tc>
          <w:tcPr>
            <w:tcW w:w="980" w:type="dxa"/>
            <w:vAlign w:val="bottom"/>
            <w:tcBorders>
              <w:top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6.5%</w:t>
            </w:r>
          </w:p>
        </w:tc>
        <w:tc>
          <w:tcPr>
            <w:tcW w:w="980" w:type="dxa"/>
            <w:vAlign w:val="bottom"/>
            <w:tcBorders>
              <w:top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6.5%</w:t>
            </w:r>
          </w:p>
        </w:tc>
        <w:tc>
          <w:tcPr>
            <w:tcW w:w="0" w:type="dxa"/>
            <w:vAlign w:val="bottom"/>
          </w:tcPr>
          <w:p>
            <w:pPr>
              <w:spacing w:after="0"/>
              <w:rPr>
                <w:sz w:val="1"/>
                <w:szCs w:val="1"/>
                <w:color w:val="auto"/>
              </w:rPr>
            </w:pPr>
          </w:p>
        </w:tc>
      </w:tr>
      <w:tr>
        <w:trPr>
          <w:trHeight w:val="197"/>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Legal and Other capital reserves</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7,516,510</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6,759,527</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7,038,881</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4.1%</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8"/>
              </w:rPr>
              <w:t>-6.4%</w:t>
            </w: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Accumulated earnings with capitalizaton agreement</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n.a.</w:t>
            </w:r>
          </w:p>
        </w:tc>
        <w:tc>
          <w:tcPr>
            <w:tcW w:w="0" w:type="dxa"/>
            <w:vAlign w:val="bottom"/>
          </w:tcPr>
          <w:p>
            <w:pPr>
              <w:spacing w:after="0"/>
              <w:rPr>
                <w:sz w:val="1"/>
                <w:szCs w:val="1"/>
                <w:color w:val="auto"/>
              </w:rPr>
            </w:pPr>
          </w:p>
        </w:tc>
      </w:tr>
      <w:tr>
        <w:trPr>
          <w:trHeight w:val="229"/>
        </w:trPr>
        <w:tc>
          <w:tcPr>
            <w:tcW w:w="5180" w:type="dxa"/>
            <w:vAlign w:val="bottom"/>
            <w:tcBorders>
              <w:left w:val="single" w:sz="8" w:color="auto"/>
              <w:right w:val="single" w:sz="8" w:color="auto"/>
            </w:tcBorders>
          </w:tcPr>
          <w:p>
            <w:pPr>
              <w:ind w:left="20"/>
              <w:spacing w:after="0" w:line="229" w:lineRule="exact"/>
              <w:rPr>
                <w:sz w:val="20"/>
                <w:szCs w:val="20"/>
                <w:color w:val="auto"/>
              </w:rPr>
            </w:pPr>
            <w:r>
              <w:rPr>
                <w:rFonts w:ascii="Calibri" w:cs="Calibri" w:eastAsia="Calibri" w:hAnsi="Calibri"/>
                <w:sz w:val="15"/>
                <w:szCs w:val="15"/>
                <w:color w:val="auto"/>
              </w:rPr>
              <w:t xml:space="preserve">Loan loss reserves </w:t>
            </w:r>
            <w:r>
              <w:rPr>
                <w:rFonts w:ascii="Calibri" w:cs="Calibri" w:eastAsia="Calibri" w:hAnsi="Calibri"/>
                <w:sz w:val="25"/>
                <w:szCs w:val="25"/>
                <w:color w:val="auto"/>
                <w:vertAlign w:val="superscript"/>
              </w:rPr>
              <w:t>(1)</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1,707,458</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1,838,178</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1,634,876</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-11.1%</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8"/>
              </w:rPr>
              <w:t>-4.3%</w:t>
            </w:r>
          </w:p>
        </w:tc>
        <w:tc>
          <w:tcPr>
            <w:tcW w:w="0" w:type="dxa"/>
            <w:vAlign w:val="bottom"/>
          </w:tcPr>
          <w:p>
            <w:pPr>
              <w:spacing w:after="0"/>
              <w:rPr>
                <w:sz w:val="1"/>
                <w:szCs w:val="1"/>
                <w:color w:val="auto"/>
              </w:rPr>
            </w:pPr>
          </w:p>
        </w:tc>
      </w:tr>
      <w:tr>
        <w:trPr>
          <w:trHeight w:val="179"/>
        </w:trPr>
        <w:tc>
          <w:tcPr>
            <w:tcW w:w="518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Perpetual subordinated debt</w:t>
            </w:r>
          </w:p>
        </w:tc>
        <w:tc>
          <w:tcPr>
            <w:tcW w:w="160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w:t>
            </w:r>
          </w:p>
        </w:tc>
        <w:tc>
          <w:tcPr>
            <w:tcW w:w="136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w:t>
            </w:r>
          </w:p>
        </w:tc>
        <w:tc>
          <w:tcPr>
            <w:tcW w:w="116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w:t>
            </w:r>
          </w:p>
        </w:tc>
        <w:tc>
          <w:tcPr>
            <w:tcW w:w="980" w:type="dxa"/>
            <w:vAlign w:val="bottom"/>
          </w:tcPr>
          <w:p>
            <w:pPr>
              <w:jc w:val="center"/>
              <w:spacing w:after="0" w:line="180" w:lineRule="exact"/>
              <w:rPr>
                <w:sz w:val="20"/>
                <w:szCs w:val="20"/>
                <w:color w:val="auto"/>
              </w:rPr>
            </w:pPr>
            <w:r>
              <w:rPr>
                <w:rFonts w:ascii="Calibri" w:cs="Calibri" w:eastAsia="Calibri" w:hAnsi="Calibri"/>
                <w:sz w:val="15"/>
                <w:szCs w:val="15"/>
                <w:color w:val="auto"/>
              </w:rPr>
              <w:t>0.0%</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7"/>
              </w:rPr>
              <w:t>n.a.</w:t>
            </w: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Subordinated Debt</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5,007,300</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5,148,900</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5,078,700</w:t>
            </w:r>
          </w:p>
        </w:tc>
        <w:tc>
          <w:tcPr>
            <w:tcW w:w="980" w:type="dxa"/>
            <w:vAlign w:val="bottom"/>
          </w:tcPr>
          <w:p>
            <w:pPr>
              <w:jc w:val="center"/>
              <w:spacing w:after="0"/>
              <w:rPr>
                <w:sz w:val="20"/>
                <w:szCs w:val="20"/>
                <w:color w:val="auto"/>
              </w:rPr>
            </w:pPr>
            <w:r>
              <w:rPr>
                <w:rFonts w:ascii="Calibri" w:cs="Calibri" w:eastAsia="Calibri" w:hAnsi="Calibri"/>
                <w:sz w:val="15"/>
                <w:szCs w:val="15"/>
                <w:color w:val="auto"/>
                <w:w w:val="98"/>
              </w:rPr>
              <w:t>-1.4%</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1.4%</w:t>
            </w: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Investment in subsidiaries and others, net of unrealized proft and net income in</w:t>
            </w:r>
          </w:p>
        </w:tc>
        <w:tc>
          <w:tcPr>
            <w:tcW w:w="1600" w:type="dxa"/>
            <w:vAlign w:val="bottom"/>
            <w:vMerge w:val="restart"/>
          </w:tcPr>
          <w:p>
            <w:pPr>
              <w:jc w:val="right"/>
              <w:ind w:right="164"/>
              <w:spacing w:after="0"/>
              <w:rPr>
                <w:sz w:val="20"/>
                <w:szCs w:val="20"/>
                <w:color w:val="auto"/>
              </w:rPr>
            </w:pPr>
            <w:r>
              <w:rPr>
                <w:rFonts w:ascii="Calibri" w:cs="Calibri" w:eastAsia="Calibri" w:hAnsi="Calibri"/>
                <w:sz w:val="15"/>
                <w:szCs w:val="15"/>
                <w:color w:val="auto"/>
              </w:rPr>
              <w:t>(2,432,571)</w:t>
            </w:r>
          </w:p>
        </w:tc>
        <w:tc>
          <w:tcPr>
            <w:tcW w:w="1360" w:type="dxa"/>
            <w:vAlign w:val="bottom"/>
            <w:vMerge w:val="restart"/>
          </w:tcPr>
          <w:p>
            <w:pPr>
              <w:jc w:val="right"/>
              <w:ind w:right="144"/>
              <w:spacing w:after="0"/>
              <w:rPr>
                <w:sz w:val="20"/>
                <w:szCs w:val="20"/>
                <w:color w:val="auto"/>
              </w:rPr>
            </w:pPr>
            <w:r>
              <w:rPr>
                <w:rFonts w:ascii="Calibri" w:cs="Calibri" w:eastAsia="Calibri" w:hAnsi="Calibri"/>
                <w:sz w:val="15"/>
                <w:szCs w:val="15"/>
                <w:color w:val="auto"/>
              </w:rPr>
              <w:t>(2,436,525)</w:t>
            </w:r>
          </w:p>
        </w:tc>
        <w:tc>
          <w:tcPr>
            <w:tcW w:w="116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5"/>
                <w:szCs w:val="15"/>
                <w:color w:val="auto"/>
              </w:rPr>
              <w:t>(2,838,434)</w:t>
            </w:r>
          </w:p>
        </w:tc>
        <w:tc>
          <w:tcPr>
            <w:tcW w:w="980" w:type="dxa"/>
            <w:vAlign w:val="bottom"/>
            <w:vMerge w:val="restart"/>
          </w:tcPr>
          <w:p>
            <w:pPr>
              <w:jc w:val="center"/>
              <w:spacing w:after="0"/>
              <w:rPr>
                <w:sz w:val="20"/>
                <w:szCs w:val="20"/>
                <w:color w:val="auto"/>
              </w:rPr>
            </w:pPr>
            <w:r>
              <w:rPr>
                <w:rFonts w:ascii="Calibri" w:cs="Calibri" w:eastAsia="Calibri" w:hAnsi="Calibri"/>
                <w:sz w:val="15"/>
                <w:szCs w:val="15"/>
                <w:color w:val="auto"/>
              </w:rPr>
              <w:t>16.5%</w:t>
            </w:r>
          </w:p>
        </w:tc>
        <w:tc>
          <w:tcPr>
            <w:tcW w:w="9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5"/>
                <w:szCs w:val="15"/>
                <w:color w:val="auto"/>
              </w:rPr>
              <w:t>16.7%</w:t>
            </w:r>
          </w:p>
        </w:tc>
        <w:tc>
          <w:tcPr>
            <w:tcW w:w="0" w:type="dxa"/>
            <w:vAlign w:val="bottom"/>
          </w:tcPr>
          <w:p>
            <w:pPr>
              <w:spacing w:after="0"/>
              <w:rPr>
                <w:sz w:val="1"/>
                <w:szCs w:val="1"/>
                <w:color w:val="auto"/>
              </w:rPr>
            </w:pPr>
          </w:p>
        </w:tc>
      </w:tr>
      <w:tr>
        <w:trPr>
          <w:trHeight w:val="91"/>
        </w:trPr>
        <w:tc>
          <w:tcPr>
            <w:tcW w:w="5180" w:type="dxa"/>
            <w:vAlign w:val="bottom"/>
            <w:tcBorders>
              <w:left w:val="single" w:sz="8" w:color="auto"/>
              <w:right w:val="single" w:sz="8" w:color="auto"/>
            </w:tcBorders>
            <w:vMerge w:val="restart"/>
          </w:tcPr>
          <w:p>
            <w:pPr>
              <w:ind w:left="20"/>
              <w:spacing w:after="0" w:line="181" w:lineRule="exact"/>
              <w:rPr>
                <w:sz w:val="20"/>
                <w:szCs w:val="20"/>
                <w:color w:val="auto"/>
              </w:rPr>
            </w:pPr>
            <w:r>
              <w:rPr>
                <w:rFonts w:ascii="Calibri" w:cs="Calibri" w:eastAsia="Calibri" w:hAnsi="Calibri"/>
                <w:sz w:val="15"/>
                <w:szCs w:val="15"/>
                <w:color w:val="auto"/>
              </w:rPr>
              <w:t>subsidiarie</w:t>
            </w:r>
          </w:p>
        </w:tc>
        <w:tc>
          <w:tcPr>
            <w:tcW w:w="16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180" w:type="dxa"/>
            <w:vAlign w:val="bottom"/>
            <w:tcBorders>
              <w:left w:val="single" w:sz="8" w:color="auto"/>
              <w:right w:val="single" w:sz="8" w:color="auto"/>
            </w:tcBorders>
            <w:vMerge w:val="continue"/>
          </w:tcPr>
          <w:p>
            <w:pPr>
              <w:spacing w:after="0"/>
              <w:rPr>
                <w:sz w:val="7"/>
                <w:szCs w:val="7"/>
                <w:color w:val="auto"/>
              </w:rPr>
            </w:pPr>
          </w:p>
        </w:tc>
        <w:tc>
          <w:tcPr>
            <w:tcW w:w="16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Investment in subsidiaries and others</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(2,535,289)</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(2,844,248)</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(2,895,934)</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1.8%</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14.2%</w:t>
            </w: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Unrealized proft and net income in subsidiaries</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102,718</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407,723</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57,500</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-85.9%</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-44.0%</w:t>
            </w: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Goodwill</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(122,083)</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(122,083)</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(122,083)</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0.0%</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0.0%</w:t>
            </w: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b w:val="1"/>
                <w:bCs w:val="1"/>
                <w:color w:val="auto"/>
              </w:rPr>
              <w:t>Total Regulatory Capital - SBS</w:t>
            </w:r>
          </w:p>
        </w:tc>
        <w:tc>
          <w:tcPr>
            <w:tcW w:w="160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23,852,979</w:t>
            </w:r>
          </w:p>
        </w:tc>
        <w:tc>
          <w:tcPr>
            <w:tcW w:w="1360" w:type="dxa"/>
            <w:vAlign w:val="bottom"/>
          </w:tcPr>
          <w:p>
            <w:pPr>
              <w:jc w:val="right"/>
              <w:ind w:right="144"/>
              <w:spacing w:after="0"/>
              <w:rPr>
                <w:sz w:val="20"/>
                <w:szCs w:val="20"/>
                <w:color w:val="auto"/>
              </w:rPr>
            </w:pPr>
            <w:r>
              <w:rPr>
                <w:rFonts w:ascii="Calibri" w:cs="Calibri" w:eastAsia="Calibri" w:hAnsi="Calibri"/>
                <w:sz w:val="15"/>
                <w:szCs w:val="15"/>
                <w:b w:val="1"/>
                <w:bCs w:val="1"/>
                <w:color w:val="auto"/>
              </w:rPr>
              <w:t>23,364,361</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23,765,115</w:t>
            </w:r>
          </w:p>
        </w:tc>
        <w:tc>
          <w:tcPr>
            <w:tcW w:w="980" w:type="dxa"/>
            <w:vAlign w:val="bottom"/>
          </w:tcPr>
          <w:p>
            <w:pPr>
              <w:jc w:val="center"/>
              <w:spacing w:after="0"/>
              <w:rPr>
                <w:sz w:val="20"/>
                <w:szCs w:val="20"/>
                <w:color w:val="auto"/>
              </w:rPr>
            </w:pPr>
            <w:r>
              <w:rPr>
                <w:rFonts w:ascii="Calibri" w:cs="Calibri" w:eastAsia="Calibri" w:hAnsi="Calibri"/>
                <w:sz w:val="15"/>
                <w:szCs w:val="15"/>
                <w:b w:val="1"/>
                <w:bCs w:val="1"/>
                <w:color w:val="auto"/>
                <w:w w:val="99"/>
              </w:rPr>
              <w:t>1.7%</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7"/>
              </w:rPr>
              <w:t>-0.4%</w:t>
            </w:r>
          </w:p>
        </w:tc>
        <w:tc>
          <w:tcPr>
            <w:tcW w:w="0" w:type="dxa"/>
            <w:vAlign w:val="bottom"/>
          </w:tcPr>
          <w:p>
            <w:pPr>
              <w:spacing w:after="0"/>
              <w:rPr>
                <w:sz w:val="1"/>
                <w:szCs w:val="1"/>
                <w:color w:val="auto"/>
              </w:rPr>
            </w:pPr>
          </w:p>
        </w:tc>
      </w:tr>
      <w:tr>
        <w:trPr>
          <w:trHeight w:val="35"/>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18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Of-balance sheet</w:t>
            </w:r>
          </w:p>
        </w:tc>
        <w:tc>
          <w:tcPr>
            <w:tcW w:w="160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87,775,815</w:t>
            </w:r>
          </w:p>
        </w:tc>
        <w:tc>
          <w:tcPr>
            <w:tcW w:w="136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93,211,649</w:t>
            </w:r>
          </w:p>
        </w:tc>
        <w:tc>
          <w:tcPr>
            <w:tcW w:w="116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91,770,539</w:t>
            </w:r>
          </w:p>
        </w:tc>
        <w:tc>
          <w:tcPr>
            <w:tcW w:w="98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-1.5%</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4.6%</w:t>
            </w:r>
          </w:p>
        </w:tc>
        <w:tc>
          <w:tcPr>
            <w:tcW w:w="0" w:type="dxa"/>
            <w:vAlign w:val="bottom"/>
          </w:tcPr>
          <w:p>
            <w:pPr>
              <w:spacing w:after="0"/>
              <w:rPr>
                <w:sz w:val="1"/>
                <w:szCs w:val="1"/>
                <w:color w:val="auto"/>
              </w:rPr>
            </w:pPr>
          </w:p>
        </w:tc>
      </w:tr>
      <w:tr>
        <w:trPr>
          <w:trHeight w:val="27"/>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80" w:type="dxa"/>
            <w:vAlign w:val="bottom"/>
            <w:tcBorders>
              <w:left w:val="single" w:sz="8" w:color="auto"/>
              <w:right w:val="single" w:sz="8" w:color="auto"/>
            </w:tcBorders>
          </w:tcPr>
          <w:p>
            <w:pPr>
              <w:ind w:left="20"/>
              <w:spacing w:after="0" w:line="197" w:lineRule="exact"/>
              <w:rPr>
                <w:sz w:val="20"/>
                <w:szCs w:val="20"/>
                <w:color w:val="auto"/>
              </w:rPr>
            </w:pPr>
            <w:r>
              <w:rPr>
                <w:rFonts w:ascii="Calibri" w:cs="Calibri" w:eastAsia="Calibri" w:hAnsi="Calibri"/>
                <w:sz w:val="13"/>
                <w:szCs w:val="13"/>
                <w:color w:val="auto"/>
              </w:rPr>
              <w:t xml:space="preserve">Regulatory Tier 1 Capital </w:t>
            </w:r>
            <w:r>
              <w:rPr>
                <w:rFonts w:ascii="Calibri" w:cs="Calibri" w:eastAsia="Calibri" w:hAnsi="Calibri"/>
                <w:sz w:val="21"/>
                <w:szCs w:val="21"/>
                <w:color w:val="auto"/>
                <w:vertAlign w:val="superscript"/>
              </w:rPr>
              <w:t>(2)</w:t>
            </w:r>
          </w:p>
        </w:tc>
        <w:tc>
          <w:tcPr>
            <w:tcW w:w="160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16,220,724</w:t>
            </w:r>
          </w:p>
        </w:tc>
        <w:tc>
          <w:tcPr>
            <w:tcW w:w="136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16,219,133</w:t>
            </w:r>
          </w:p>
        </w:tc>
        <w:tc>
          <w:tcPr>
            <w:tcW w:w="116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17,094,343</w:t>
            </w:r>
          </w:p>
        </w:tc>
        <w:tc>
          <w:tcPr>
            <w:tcW w:w="980" w:type="dxa"/>
            <w:vAlign w:val="bottom"/>
          </w:tcPr>
          <w:p>
            <w:pPr>
              <w:jc w:val="center"/>
              <w:spacing w:after="0" w:line="180" w:lineRule="exact"/>
              <w:rPr>
                <w:sz w:val="20"/>
                <w:szCs w:val="20"/>
                <w:color w:val="auto"/>
              </w:rPr>
            </w:pPr>
            <w:r>
              <w:rPr>
                <w:rFonts w:ascii="Calibri" w:cs="Calibri" w:eastAsia="Calibri" w:hAnsi="Calibri"/>
                <w:sz w:val="15"/>
                <w:szCs w:val="15"/>
                <w:color w:val="auto"/>
              </w:rPr>
              <w:t>5.4%</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5.4%</w:t>
            </w:r>
          </w:p>
        </w:tc>
        <w:tc>
          <w:tcPr>
            <w:tcW w:w="0" w:type="dxa"/>
            <w:vAlign w:val="bottom"/>
          </w:tcPr>
          <w:p>
            <w:pPr>
              <w:spacing w:after="0"/>
              <w:rPr>
                <w:sz w:val="1"/>
                <w:szCs w:val="1"/>
                <w:color w:val="auto"/>
              </w:rPr>
            </w:pPr>
          </w:p>
        </w:tc>
      </w:tr>
      <w:tr>
        <w:trPr>
          <w:trHeight w:val="214"/>
        </w:trPr>
        <w:tc>
          <w:tcPr>
            <w:tcW w:w="5180" w:type="dxa"/>
            <w:vAlign w:val="bottom"/>
            <w:tcBorders>
              <w:left w:val="single" w:sz="8" w:color="auto"/>
              <w:bottom w:val="single" w:sz="8" w:color="auto"/>
              <w:right w:val="single" w:sz="8" w:color="auto"/>
            </w:tcBorders>
          </w:tcPr>
          <w:p>
            <w:pPr>
              <w:ind w:left="20"/>
              <w:spacing w:after="0" w:line="211" w:lineRule="exact"/>
              <w:rPr>
                <w:sz w:val="20"/>
                <w:szCs w:val="20"/>
                <w:color w:val="auto"/>
              </w:rPr>
            </w:pPr>
            <w:r>
              <w:rPr>
                <w:rFonts w:ascii="Calibri" w:cs="Calibri" w:eastAsia="Calibri" w:hAnsi="Calibri"/>
                <w:sz w:val="14"/>
                <w:szCs w:val="14"/>
                <w:color w:val="auto"/>
              </w:rPr>
              <w:t xml:space="preserve">Regulatory Tier 2 Capital </w:t>
            </w:r>
            <w:r>
              <w:rPr>
                <w:rFonts w:ascii="Calibri" w:cs="Calibri" w:eastAsia="Calibri" w:hAnsi="Calibri"/>
                <w:sz w:val="23"/>
                <w:szCs w:val="23"/>
                <w:color w:val="auto"/>
                <w:vertAlign w:val="superscript"/>
              </w:rPr>
              <w:t>(3)</w:t>
            </w:r>
          </w:p>
        </w:tc>
        <w:tc>
          <w:tcPr>
            <w:tcW w:w="1600" w:type="dxa"/>
            <w:vAlign w:val="bottom"/>
            <w:tcBorders>
              <w:bottom w:val="single" w:sz="8" w:color="auto"/>
            </w:tcBorders>
          </w:tcPr>
          <w:p>
            <w:pPr>
              <w:jc w:val="right"/>
              <w:ind w:right="164"/>
              <w:spacing w:after="0" w:line="180" w:lineRule="exact"/>
              <w:rPr>
                <w:sz w:val="20"/>
                <w:szCs w:val="20"/>
                <w:color w:val="auto"/>
              </w:rPr>
            </w:pPr>
            <w:r>
              <w:rPr>
                <w:rFonts w:ascii="Calibri" w:cs="Calibri" w:eastAsia="Calibri" w:hAnsi="Calibri"/>
                <w:sz w:val="15"/>
                <w:szCs w:val="15"/>
                <w:color w:val="auto"/>
              </w:rPr>
              <w:t>7,632,256</w:t>
            </w:r>
          </w:p>
        </w:tc>
        <w:tc>
          <w:tcPr>
            <w:tcW w:w="1360" w:type="dxa"/>
            <w:vAlign w:val="bottom"/>
            <w:tcBorders>
              <w:bottom w:val="single" w:sz="8" w:color="auto"/>
            </w:tcBorders>
          </w:tcPr>
          <w:p>
            <w:pPr>
              <w:jc w:val="right"/>
              <w:ind w:right="144"/>
              <w:spacing w:after="0" w:line="180" w:lineRule="exact"/>
              <w:rPr>
                <w:sz w:val="20"/>
                <w:szCs w:val="20"/>
                <w:color w:val="auto"/>
              </w:rPr>
            </w:pPr>
            <w:r>
              <w:rPr>
                <w:rFonts w:ascii="Calibri" w:cs="Calibri" w:eastAsia="Calibri" w:hAnsi="Calibri"/>
                <w:sz w:val="15"/>
                <w:szCs w:val="15"/>
                <w:color w:val="auto"/>
              </w:rPr>
              <w:t>7,145,228</w:t>
            </w:r>
          </w:p>
        </w:tc>
        <w:tc>
          <w:tcPr>
            <w:tcW w:w="1160" w:type="dxa"/>
            <w:vAlign w:val="bottom"/>
            <w:tcBorders>
              <w:bottom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6,670,772</w:t>
            </w:r>
          </w:p>
        </w:tc>
        <w:tc>
          <w:tcPr>
            <w:tcW w:w="98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8"/>
              </w:rPr>
              <w:t>-6.6%</w:t>
            </w:r>
          </w:p>
        </w:tc>
        <w:tc>
          <w:tcPr>
            <w:tcW w:w="980" w:type="dxa"/>
            <w:vAlign w:val="bottom"/>
            <w:tcBorders>
              <w:bottom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-12.6%</w:t>
            </w:r>
          </w:p>
        </w:tc>
        <w:tc>
          <w:tcPr>
            <w:tcW w:w="0" w:type="dxa"/>
            <w:vAlign w:val="bottom"/>
          </w:tcPr>
          <w:p>
            <w:pPr>
              <w:spacing w:after="0"/>
              <w:rPr>
                <w:sz w:val="1"/>
                <w:szCs w:val="1"/>
                <w:color w:val="auto"/>
              </w:rPr>
            </w:pPr>
          </w:p>
        </w:tc>
      </w:tr>
      <w:tr>
        <w:trPr>
          <w:trHeight w:val="184"/>
        </w:trPr>
        <w:tc>
          <w:tcPr>
            <w:tcW w:w="5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18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Total risk-weighted assets - SBS (4)</w:t>
            </w:r>
          </w:p>
        </w:tc>
        <w:tc>
          <w:tcPr>
            <w:tcW w:w="1600" w:type="dxa"/>
            <w:vAlign w:val="bottom"/>
          </w:tcPr>
          <w:p>
            <w:pPr>
              <w:jc w:val="right"/>
              <w:ind w:right="164"/>
              <w:spacing w:after="0" w:line="180" w:lineRule="exact"/>
              <w:rPr>
                <w:sz w:val="20"/>
                <w:szCs w:val="20"/>
                <w:color w:val="auto"/>
              </w:rPr>
            </w:pPr>
            <w:r>
              <w:rPr>
                <w:rFonts w:ascii="Calibri" w:cs="Calibri" w:eastAsia="Calibri" w:hAnsi="Calibri"/>
                <w:sz w:val="15"/>
                <w:szCs w:val="15"/>
                <w:b w:val="1"/>
                <w:bCs w:val="1"/>
                <w:color w:val="auto"/>
              </w:rPr>
              <w:t>151,045,319</w:t>
            </w:r>
          </w:p>
        </w:tc>
        <w:tc>
          <w:tcPr>
            <w:tcW w:w="1360" w:type="dxa"/>
            <w:vAlign w:val="bottom"/>
          </w:tcPr>
          <w:p>
            <w:pPr>
              <w:jc w:val="right"/>
              <w:ind w:right="144"/>
              <w:spacing w:after="0" w:line="180" w:lineRule="exact"/>
              <w:rPr>
                <w:sz w:val="20"/>
                <w:szCs w:val="20"/>
                <w:color w:val="auto"/>
              </w:rPr>
            </w:pPr>
            <w:r>
              <w:rPr>
                <w:rFonts w:ascii="Calibri" w:cs="Calibri" w:eastAsia="Calibri" w:hAnsi="Calibri"/>
                <w:sz w:val="15"/>
                <w:szCs w:val="15"/>
                <w:b w:val="1"/>
                <w:bCs w:val="1"/>
                <w:color w:val="auto"/>
              </w:rPr>
              <w:t>161,938,838</w:t>
            </w:r>
          </w:p>
        </w:tc>
        <w:tc>
          <w:tcPr>
            <w:tcW w:w="116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159,163,098</w:t>
            </w:r>
          </w:p>
        </w:tc>
        <w:tc>
          <w:tcPr>
            <w:tcW w:w="980" w:type="dxa"/>
            <w:vAlign w:val="bottom"/>
          </w:tcPr>
          <w:p>
            <w:pPr>
              <w:jc w:val="center"/>
              <w:spacing w:after="0" w:line="180" w:lineRule="exact"/>
              <w:rPr>
                <w:sz w:val="20"/>
                <w:szCs w:val="20"/>
                <w:color w:val="auto"/>
              </w:rPr>
            </w:pPr>
            <w:r>
              <w:rPr>
                <w:rFonts w:ascii="Calibri" w:cs="Calibri" w:eastAsia="Calibri" w:hAnsi="Calibri"/>
                <w:sz w:val="15"/>
                <w:szCs w:val="15"/>
                <w:b w:val="1"/>
                <w:bCs w:val="1"/>
                <w:color w:val="auto"/>
                <w:w w:val="97"/>
              </w:rPr>
              <w:t>-1.7%</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w w:val="99"/>
              </w:rPr>
              <w:t>5.4%</w:t>
            </w:r>
          </w:p>
        </w:tc>
        <w:tc>
          <w:tcPr>
            <w:tcW w:w="0" w:type="dxa"/>
            <w:vAlign w:val="bottom"/>
          </w:tcPr>
          <w:p>
            <w:pPr>
              <w:spacing w:after="0"/>
              <w:rPr>
                <w:sz w:val="1"/>
                <w:szCs w:val="1"/>
                <w:color w:val="auto"/>
              </w:rPr>
            </w:pPr>
          </w:p>
        </w:tc>
      </w:tr>
      <w:tr>
        <w:trPr>
          <w:trHeight w:val="27"/>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18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Credit risk-weighted assets</w:t>
            </w:r>
          </w:p>
        </w:tc>
        <w:tc>
          <w:tcPr>
            <w:tcW w:w="160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135,397,192</w:t>
            </w:r>
          </w:p>
        </w:tc>
        <w:tc>
          <w:tcPr>
            <w:tcW w:w="136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145,968,020</w:t>
            </w:r>
          </w:p>
        </w:tc>
        <w:tc>
          <w:tcPr>
            <w:tcW w:w="116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142,566,176</w:t>
            </w:r>
          </w:p>
        </w:tc>
        <w:tc>
          <w:tcPr>
            <w:tcW w:w="98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-2.3%</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5.3%</w:t>
            </w:r>
          </w:p>
        </w:tc>
        <w:tc>
          <w:tcPr>
            <w:tcW w:w="0" w:type="dxa"/>
            <w:vAlign w:val="bottom"/>
          </w:tcPr>
          <w:p>
            <w:pPr>
              <w:spacing w:after="0"/>
              <w:rPr>
                <w:sz w:val="1"/>
                <w:szCs w:val="1"/>
                <w:color w:val="auto"/>
              </w:rPr>
            </w:pPr>
          </w:p>
        </w:tc>
      </w:tr>
      <w:tr>
        <w:trPr>
          <w:trHeight w:val="222"/>
        </w:trPr>
        <w:tc>
          <w:tcPr>
            <w:tcW w:w="5180" w:type="dxa"/>
            <w:vAlign w:val="bottom"/>
            <w:tcBorders>
              <w:left w:val="single" w:sz="8" w:color="auto"/>
              <w:right w:val="single" w:sz="8" w:color="auto"/>
            </w:tcBorders>
          </w:tcPr>
          <w:p>
            <w:pPr>
              <w:ind w:left="20"/>
              <w:spacing w:after="0" w:line="221" w:lineRule="exact"/>
              <w:rPr>
                <w:sz w:val="20"/>
                <w:szCs w:val="20"/>
                <w:color w:val="auto"/>
              </w:rPr>
            </w:pPr>
            <w:r>
              <w:rPr>
                <w:rFonts w:ascii="Calibri" w:cs="Calibri" w:eastAsia="Calibri" w:hAnsi="Calibri"/>
                <w:sz w:val="15"/>
                <w:szCs w:val="15"/>
                <w:color w:val="auto"/>
              </w:rPr>
              <w:t xml:space="preserve">Market risk-weighted assets </w:t>
            </w:r>
            <w:r>
              <w:rPr>
                <w:rFonts w:ascii="Calibri" w:cs="Calibri" w:eastAsia="Calibri" w:hAnsi="Calibri"/>
                <w:sz w:val="24"/>
                <w:szCs w:val="24"/>
                <w:color w:val="auto"/>
                <w:vertAlign w:val="superscript"/>
              </w:rPr>
              <w:t>(5)</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2,231,891</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1,560,281</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1,715,934</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10.0%</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-23.1%</w:t>
            </w:r>
          </w:p>
        </w:tc>
        <w:tc>
          <w:tcPr>
            <w:tcW w:w="0" w:type="dxa"/>
            <w:vAlign w:val="bottom"/>
          </w:tcPr>
          <w:p>
            <w:pPr>
              <w:spacing w:after="0"/>
              <w:rPr>
                <w:sz w:val="1"/>
                <w:szCs w:val="1"/>
                <w:color w:val="auto"/>
              </w:rPr>
            </w:pPr>
          </w:p>
        </w:tc>
      </w:tr>
      <w:tr>
        <w:trPr>
          <w:trHeight w:val="179"/>
        </w:trPr>
        <w:tc>
          <w:tcPr>
            <w:tcW w:w="518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Operatonal risk-weighted assets</w:t>
            </w:r>
          </w:p>
        </w:tc>
        <w:tc>
          <w:tcPr>
            <w:tcW w:w="160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13,416,236</w:t>
            </w:r>
          </w:p>
        </w:tc>
        <w:tc>
          <w:tcPr>
            <w:tcW w:w="136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14,410,537</w:t>
            </w:r>
          </w:p>
        </w:tc>
        <w:tc>
          <w:tcPr>
            <w:tcW w:w="116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14,880,988</w:t>
            </w:r>
          </w:p>
        </w:tc>
        <w:tc>
          <w:tcPr>
            <w:tcW w:w="980" w:type="dxa"/>
            <w:vAlign w:val="bottom"/>
          </w:tcPr>
          <w:p>
            <w:pPr>
              <w:jc w:val="center"/>
              <w:spacing w:after="0" w:line="180" w:lineRule="exact"/>
              <w:rPr>
                <w:sz w:val="20"/>
                <w:szCs w:val="20"/>
                <w:color w:val="auto"/>
              </w:rPr>
            </w:pPr>
            <w:r>
              <w:rPr>
                <w:rFonts w:ascii="Calibri" w:cs="Calibri" w:eastAsia="Calibri" w:hAnsi="Calibri"/>
                <w:sz w:val="15"/>
                <w:szCs w:val="15"/>
                <w:color w:val="auto"/>
              </w:rPr>
              <w:t>3.3%</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10.9%</w:t>
            </w:r>
          </w:p>
        </w:tc>
        <w:tc>
          <w:tcPr>
            <w:tcW w:w="0" w:type="dxa"/>
            <w:vAlign w:val="bottom"/>
          </w:tcPr>
          <w:p>
            <w:pPr>
              <w:spacing w:after="0"/>
              <w:rPr>
                <w:sz w:val="1"/>
                <w:szCs w:val="1"/>
                <w:color w:val="auto"/>
              </w:rPr>
            </w:pPr>
          </w:p>
        </w:tc>
      </w:tr>
      <w:tr>
        <w:trPr>
          <w:trHeight w:val="35"/>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18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Total capital requirement - SBS</w:t>
            </w:r>
          </w:p>
        </w:tc>
        <w:tc>
          <w:tcPr>
            <w:tcW w:w="1600" w:type="dxa"/>
            <w:vAlign w:val="bottom"/>
          </w:tcPr>
          <w:p>
            <w:pPr>
              <w:jc w:val="right"/>
              <w:ind w:right="164"/>
              <w:spacing w:after="0" w:line="180" w:lineRule="exact"/>
              <w:rPr>
                <w:sz w:val="20"/>
                <w:szCs w:val="20"/>
                <w:color w:val="auto"/>
              </w:rPr>
            </w:pPr>
            <w:r>
              <w:rPr>
                <w:rFonts w:ascii="Calibri" w:cs="Calibri" w:eastAsia="Calibri" w:hAnsi="Calibri"/>
                <w:sz w:val="15"/>
                <w:szCs w:val="15"/>
                <w:b w:val="1"/>
                <w:bCs w:val="1"/>
                <w:color w:val="auto"/>
              </w:rPr>
              <w:t>14,355,691</w:t>
            </w:r>
          </w:p>
        </w:tc>
        <w:tc>
          <w:tcPr>
            <w:tcW w:w="1360" w:type="dxa"/>
            <w:vAlign w:val="bottom"/>
          </w:tcPr>
          <w:p>
            <w:pPr>
              <w:jc w:val="right"/>
              <w:ind w:right="144"/>
              <w:spacing w:after="0" w:line="180" w:lineRule="exact"/>
              <w:rPr>
                <w:sz w:val="20"/>
                <w:szCs w:val="20"/>
                <w:color w:val="auto"/>
              </w:rPr>
            </w:pPr>
            <w:r>
              <w:rPr>
                <w:rFonts w:ascii="Calibri" w:cs="Calibri" w:eastAsia="Calibri" w:hAnsi="Calibri"/>
                <w:sz w:val="15"/>
                <w:szCs w:val="15"/>
                <w:b w:val="1"/>
                <w:bCs w:val="1"/>
                <w:color w:val="auto"/>
              </w:rPr>
              <w:t>17,730,539</w:t>
            </w:r>
          </w:p>
        </w:tc>
        <w:tc>
          <w:tcPr>
            <w:tcW w:w="116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17,312,244</w:t>
            </w:r>
          </w:p>
        </w:tc>
        <w:tc>
          <w:tcPr>
            <w:tcW w:w="980" w:type="dxa"/>
            <w:vAlign w:val="bottom"/>
          </w:tcPr>
          <w:p>
            <w:pPr>
              <w:jc w:val="center"/>
              <w:spacing w:after="0" w:line="180" w:lineRule="exact"/>
              <w:rPr>
                <w:sz w:val="20"/>
                <w:szCs w:val="20"/>
                <w:color w:val="auto"/>
              </w:rPr>
            </w:pPr>
            <w:r>
              <w:rPr>
                <w:rFonts w:ascii="Calibri" w:cs="Calibri" w:eastAsia="Calibri" w:hAnsi="Calibri"/>
                <w:sz w:val="15"/>
                <w:szCs w:val="15"/>
                <w:b w:val="1"/>
                <w:bCs w:val="1"/>
                <w:color w:val="auto"/>
                <w:w w:val="97"/>
              </w:rPr>
              <w:t>-2.4%</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rPr>
              <w:t>20.6%</w:t>
            </w:r>
          </w:p>
        </w:tc>
        <w:tc>
          <w:tcPr>
            <w:tcW w:w="0" w:type="dxa"/>
            <w:vAlign w:val="bottom"/>
          </w:tcPr>
          <w:p>
            <w:pPr>
              <w:spacing w:after="0"/>
              <w:rPr>
                <w:sz w:val="1"/>
                <w:szCs w:val="1"/>
                <w:color w:val="auto"/>
              </w:rPr>
            </w:pPr>
          </w:p>
        </w:tc>
      </w:tr>
      <w:tr>
        <w:trPr>
          <w:trHeight w:val="27"/>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18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Credit risk capital requirement</w:t>
            </w:r>
          </w:p>
        </w:tc>
        <w:tc>
          <w:tcPr>
            <w:tcW w:w="160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10,831,775</w:t>
            </w:r>
          </w:p>
        </w:tc>
        <w:tc>
          <w:tcPr>
            <w:tcW w:w="136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12,407,282</w:t>
            </w:r>
          </w:p>
        </w:tc>
        <w:tc>
          <w:tcPr>
            <w:tcW w:w="116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12,118,125</w:t>
            </w:r>
          </w:p>
        </w:tc>
        <w:tc>
          <w:tcPr>
            <w:tcW w:w="98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-2.3%</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11.9%</w:t>
            </w:r>
          </w:p>
        </w:tc>
        <w:tc>
          <w:tcPr>
            <w:tcW w:w="0" w:type="dxa"/>
            <w:vAlign w:val="bottom"/>
          </w:tcPr>
          <w:p>
            <w:pPr>
              <w:spacing w:after="0"/>
              <w:rPr>
                <w:sz w:val="1"/>
                <w:szCs w:val="1"/>
                <w:color w:val="auto"/>
              </w:rPr>
            </w:pPr>
          </w:p>
        </w:tc>
      </w:tr>
      <w:tr>
        <w:trPr>
          <w:trHeight w:val="197"/>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Market risk capital requirement</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223,189</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156,028</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171,593</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10.0%</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-23.1%</w:t>
            </w: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Operatonal risk capital requirement</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1,341,624</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1,441,054</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1,488,099</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3.3%</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10.9%</w:t>
            </w: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Additonal capital requirements</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1,959,102</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3,726,175</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3,534,427</w:t>
            </w:r>
          </w:p>
        </w:tc>
        <w:tc>
          <w:tcPr>
            <w:tcW w:w="980" w:type="dxa"/>
            <w:vAlign w:val="bottom"/>
          </w:tcPr>
          <w:p>
            <w:pPr>
              <w:jc w:val="center"/>
              <w:spacing w:after="0"/>
              <w:rPr>
                <w:sz w:val="20"/>
                <w:szCs w:val="20"/>
                <w:color w:val="auto"/>
              </w:rPr>
            </w:pPr>
            <w:r>
              <w:rPr>
                <w:rFonts w:ascii="Calibri" w:cs="Calibri" w:eastAsia="Calibri" w:hAnsi="Calibri"/>
                <w:sz w:val="15"/>
                <w:szCs w:val="15"/>
                <w:color w:val="auto"/>
                <w:w w:val="98"/>
              </w:rPr>
              <w:t>-5.1%</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80.4%</w:t>
            </w:r>
          </w:p>
        </w:tc>
        <w:tc>
          <w:tcPr>
            <w:tcW w:w="0" w:type="dxa"/>
            <w:vAlign w:val="bottom"/>
          </w:tcPr>
          <w:p>
            <w:pPr>
              <w:spacing w:after="0"/>
              <w:rPr>
                <w:sz w:val="1"/>
                <w:szCs w:val="1"/>
                <w:color w:val="auto"/>
              </w:rPr>
            </w:pPr>
          </w:p>
        </w:tc>
      </w:tr>
      <w:tr>
        <w:trPr>
          <w:trHeight w:val="35"/>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80" w:type="dxa"/>
            <w:vAlign w:val="bottom"/>
            <w:tcBorders>
              <w:left w:val="single" w:sz="8" w:color="auto"/>
              <w:bottom w:val="single" w:sz="8" w:color="auto"/>
              <w:right w:val="single" w:sz="8" w:color="auto"/>
            </w:tcBorders>
          </w:tcPr>
          <w:p>
            <w:pPr>
              <w:ind w:left="20"/>
              <w:spacing w:after="0" w:line="204" w:lineRule="exact"/>
              <w:rPr>
                <w:sz w:val="20"/>
                <w:szCs w:val="20"/>
                <w:color w:val="auto"/>
              </w:rPr>
            </w:pPr>
            <w:r>
              <w:rPr>
                <w:rFonts w:ascii="Calibri" w:cs="Calibri" w:eastAsia="Calibri" w:hAnsi="Calibri"/>
                <w:sz w:val="14"/>
                <w:szCs w:val="14"/>
                <w:b w:val="1"/>
                <w:bCs w:val="1"/>
                <w:color w:val="auto"/>
              </w:rPr>
              <w:t xml:space="preserve">Common Equity Tier 1 - Basel IFRS </w:t>
            </w:r>
            <w:r>
              <w:rPr>
                <w:rFonts w:ascii="Calibri" w:cs="Calibri" w:eastAsia="Calibri" w:hAnsi="Calibri"/>
                <w:sz w:val="22"/>
                <w:szCs w:val="22"/>
                <w:b w:val="1"/>
                <w:bCs w:val="1"/>
                <w:color w:val="auto"/>
                <w:vertAlign w:val="superscript"/>
              </w:rPr>
              <w:t>(6)</w:t>
            </w:r>
          </w:p>
        </w:tc>
        <w:tc>
          <w:tcPr>
            <w:tcW w:w="1600" w:type="dxa"/>
            <w:vAlign w:val="bottom"/>
            <w:tcBorders>
              <w:bottom w:val="single" w:sz="8" w:color="auto"/>
            </w:tcBorders>
          </w:tcPr>
          <w:p>
            <w:pPr>
              <w:jc w:val="right"/>
              <w:ind w:right="164"/>
              <w:spacing w:after="0" w:line="180" w:lineRule="exact"/>
              <w:rPr>
                <w:sz w:val="20"/>
                <w:szCs w:val="20"/>
                <w:color w:val="auto"/>
              </w:rPr>
            </w:pPr>
            <w:r>
              <w:rPr>
                <w:rFonts w:ascii="Calibri" w:cs="Calibri" w:eastAsia="Calibri" w:hAnsi="Calibri"/>
                <w:sz w:val="15"/>
                <w:szCs w:val="15"/>
                <w:b w:val="1"/>
                <w:bCs w:val="1"/>
                <w:color w:val="auto"/>
              </w:rPr>
              <w:t>16,477,382</w:t>
            </w:r>
          </w:p>
        </w:tc>
        <w:tc>
          <w:tcPr>
            <w:tcW w:w="1360" w:type="dxa"/>
            <w:vAlign w:val="bottom"/>
            <w:tcBorders>
              <w:bottom w:val="single" w:sz="8" w:color="auto"/>
            </w:tcBorders>
          </w:tcPr>
          <w:p>
            <w:pPr>
              <w:jc w:val="right"/>
              <w:ind w:right="144"/>
              <w:spacing w:after="0" w:line="180" w:lineRule="exact"/>
              <w:rPr>
                <w:sz w:val="20"/>
                <w:szCs w:val="20"/>
                <w:color w:val="auto"/>
              </w:rPr>
            </w:pPr>
            <w:r>
              <w:rPr>
                <w:rFonts w:ascii="Calibri" w:cs="Calibri" w:eastAsia="Calibri" w:hAnsi="Calibri"/>
                <w:sz w:val="15"/>
                <w:szCs w:val="15"/>
                <w:b w:val="1"/>
                <w:bCs w:val="1"/>
                <w:color w:val="auto"/>
              </w:rPr>
              <w:t>18,949,687</w:t>
            </w:r>
          </w:p>
        </w:tc>
        <w:tc>
          <w:tcPr>
            <w:tcW w:w="1160" w:type="dxa"/>
            <w:vAlign w:val="bottom"/>
            <w:tcBorders>
              <w:bottom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17,588,721</w:t>
            </w:r>
          </w:p>
        </w:tc>
        <w:tc>
          <w:tcPr>
            <w:tcW w:w="98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w w:val="97"/>
              </w:rPr>
              <w:t>-7.2%</w:t>
            </w:r>
          </w:p>
        </w:tc>
        <w:tc>
          <w:tcPr>
            <w:tcW w:w="980" w:type="dxa"/>
            <w:vAlign w:val="bottom"/>
            <w:tcBorders>
              <w:bottom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rPr>
              <w:t>19.8%</w:t>
            </w:r>
          </w:p>
        </w:tc>
        <w:tc>
          <w:tcPr>
            <w:tcW w:w="0" w:type="dxa"/>
            <w:vAlign w:val="bottom"/>
          </w:tcPr>
          <w:p>
            <w:pPr>
              <w:spacing w:after="0"/>
              <w:rPr>
                <w:sz w:val="1"/>
                <w:szCs w:val="1"/>
                <w:color w:val="auto"/>
              </w:rPr>
            </w:pPr>
          </w:p>
        </w:tc>
      </w:tr>
      <w:tr>
        <w:trPr>
          <w:trHeight w:val="179"/>
        </w:trPr>
        <w:tc>
          <w:tcPr>
            <w:tcW w:w="518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Capital and reserves</w:t>
            </w:r>
          </w:p>
        </w:tc>
        <w:tc>
          <w:tcPr>
            <w:tcW w:w="160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19,180,633</w:t>
            </w:r>
          </w:p>
        </w:tc>
        <w:tc>
          <w:tcPr>
            <w:tcW w:w="136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18,423,649</w:t>
            </w:r>
          </w:p>
        </w:tc>
        <w:tc>
          <w:tcPr>
            <w:tcW w:w="116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19,499,813</w:t>
            </w:r>
          </w:p>
        </w:tc>
        <w:tc>
          <w:tcPr>
            <w:tcW w:w="980" w:type="dxa"/>
            <w:vAlign w:val="bottom"/>
          </w:tcPr>
          <w:p>
            <w:pPr>
              <w:jc w:val="center"/>
              <w:spacing w:after="0" w:line="180" w:lineRule="exact"/>
              <w:rPr>
                <w:sz w:val="20"/>
                <w:szCs w:val="20"/>
                <w:color w:val="auto"/>
              </w:rPr>
            </w:pPr>
            <w:r>
              <w:rPr>
                <w:rFonts w:ascii="Calibri" w:cs="Calibri" w:eastAsia="Calibri" w:hAnsi="Calibri"/>
                <w:sz w:val="15"/>
                <w:szCs w:val="15"/>
                <w:color w:val="auto"/>
              </w:rPr>
              <w:t>5.8%</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5.8%</w:t>
            </w:r>
          </w:p>
        </w:tc>
        <w:tc>
          <w:tcPr>
            <w:tcW w:w="0" w:type="dxa"/>
            <w:vAlign w:val="bottom"/>
          </w:tcPr>
          <w:p>
            <w:pPr>
              <w:spacing w:after="0"/>
              <w:rPr>
                <w:sz w:val="1"/>
                <w:szCs w:val="1"/>
                <w:color w:val="auto"/>
              </w:rPr>
            </w:pPr>
          </w:p>
        </w:tc>
      </w:tr>
      <w:tr>
        <w:trPr>
          <w:trHeight w:val="197"/>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Retained earnings</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1,740,668</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5,249,495</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2,746,522</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-47.7%</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n.a.</w:t>
            </w: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Unrealized gains (losses)</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(780,063)</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(549,319)</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(467,041)</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-15.0%</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93.7%</w:t>
            </w: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Goodwill and intangibles</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(1,266,218)</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(1,472,073)</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(1,454,205)</w:t>
            </w:r>
          </w:p>
        </w:tc>
        <w:tc>
          <w:tcPr>
            <w:tcW w:w="980" w:type="dxa"/>
            <w:vAlign w:val="bottom"/>
          </w:tcPr>
          <w:p>
            <w:pPr>
              <w:jc w:val="center"/>
              <w:spacing w:after="0"/>
              <w:rPr>
                <w:sz w:val="20"/>
                <w:szCs w:val="20"/>
                <w:color w:val="auto"/>
              </w:rPr>
            </w:pPr>
            <w:r>
              <w:rPr>
                <w:rFonts w:ascii="Calibri" w:cs="Calibri" w:eastAsia="Calibri" w:hAnsi="Calibri"/>
                <w:sz w:val="15"/>
                <w:szCs w:val="15"/>
                <w:color w:val="auto"/>
                <w:w w:val="98"/>
              </w:rPr>
              <w:t>-1.2%</w:t>
            </w: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Investments in subsidiaries</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(2,397,638)</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(2,702,065)</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(2,736,368)</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1.3%</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5.2%</w:t>
            </w:r>
          </w:p>
        </w:tc>
        <w:tc>
          <w:tcPr>
            <w:tcW w:w="0" w:type="dxa"/>
            <w:vAlign w:val="bottom"/>
          </w:tcPr>
          <w:p>
            <w:pPr>
              <w:spacing w:after="0"/>
              <w:rPr>
                <w:sz w:val="1"/>
                <w:szCs w:val="1"/>
                <w:color w:val="auto"/>
              </w:rPr>
            </w:pPr>
          </w:p>
        </w:tc>
      </w:tr>
      <w:tr>
        <w:trPr>
          <w:trHeight w:val="35"/>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80" w:type="dxa"/>
            <w:vAlign w:val="bottom"/>
            <w:tcBorders>
              <w:left w:val="single" w:sz="8" w:color="auto"/>
              <w:bottom w:val="single" w:sz="8" w:color="auto"/>
              <w:right w:val="single" w:sz="8" w:color="auto"/>
            </w:tcBorders>
          </w:tcPr>
          <w:p>
            <w:pPr>
              <w:ind w:left="20"/>
              <w:spacing w:after="0" w:line="204" w:lineRule="exact"/>
              <w:rPr>
                <w:sz w:val="20"/>
                <w:szCs w:val="20"/>
                <w:color w:val="auto"/>
              </w:rPr>
            </w:pPr>
            <w:r>
              <w:rPr>
                <w:rFonts w:ascii="Calibri" w:cs="Calibri" w:eastAsia="Calibri" w:hAnsi="Calibri"/>
                <w:sz w:val="14"/>
                <w:szCs w:val="14"/>
                <w:b w:val="1"/>
                <w:bCs w:val="1"/>
                <w:color w:val="auto"/>
              </w:rPr>
              <w:t xml:space="preserve">Risk-Weighted Assets - Basel IFRS </w:t>
            </w:r>
            <w:r>
              <w:rPr>
                <w:rFonts w:ascii="Calibri" w:cs="Calibri" w:eastAsia="Calibri" w:hAnsi="Calibri"/>
                <w:sz w:val="22"/>
                <w:szCs w:val="22"/>
                <w:b w:val="1"/>
                <w:bCs w:val="1"/>
                <w:color w:val="auto"/>
                <w:vertAlign w:val="superscript"/>
              </w:rPr>
              <w:t>(7)</w:t>
            </w:r>
          </w:p>
        </w:tc>
        <w:tc>
          <w:tcPr>
            <w:tcW w:w="1600" w:type="dxa"/>
            <w:vAlign w:val="bottom"/>
            <w:tcBorders>
              <w:bottom w:val="single" w:sz="8" w:color="auto"/>
            </w:tcBorders>
          </w:tcPr>
          <w:p>
            <w:pPr>
              <w:jc w:val="right"/>
              <w:ind w:right="164"/>
              <w:spacing w:after="0" w:line="180" w:lineRule="exact"/>
              <w:rPr>
                <w:sz w:val="20"/>
                <w:szCs w:val="20"/>
                <w:color w:val="auto"/>
              </w:rPr>
            </w:pPr>
            <w:r>
              <w:rPr>
                <w:rFonts w:ascii="Calibri" w:cs="Calibri" w:eastAsia="Calibri" w:hAnsi="Calibri"/>
                <w:sz w:val="15"/>
                <w:szCs w:val="15"/>
                <w:b w:val="1"/>
                <w:bCs w:val="1"/>
                <w:color w:val="auto"/>
              </w:rPr>
              <w:t>141,697,998</w:t>
            </w:r>
          </w:p>
        </w:tc>
        <w:tc>
          <w:tcPr>
            <w:tcW w:w="1360" w:type="dxa"/>
            <w:vAlign w:val="bottom"/>
            <w:tcBorders>
              <w:bottom w:val="single" w:sz="8" w:color="auto"/>
            </w:tcBorders>
          </w:tcPr>
          <w:p>
            <w:pPr>
              <w:jc w:val="right"/>
              <w:ind w:right="144"/>
              <w:spacing w:after="0" w:line="180" w:lineRule="exact"/>
              <w:rPr>
                <w:sz w:val="20"/>
                <w:szCs w:val="20"/>
                <w:color w:val="auto"/>
              </w:rPr>
            </w:pPr>
            <w:r>
              <w:rPr>
                <w:rFonts w:ascii="Calibri" w:cs="Calibri" w:eastAsia="Calibri" w:hAnsi="Calibri"/>
                <w:sz w:val="15"/>
                <w:szCs w:val="15"/>
                <w:b w:val="1"/>
                <w:bCs w:val="1"/>
                <w:color w:val="auto"/>
              </w:rPr>
              <w:t>150,535,662</w:t>
            </w:r>
          </w:p>
        </w:tc>
        <w:tc>
          <w:tcPr>
            <w:tcW w:w="1160" w:type="dxa"/>
            <w:vAlign w:val="bottom"/>
            <w:tcBorders>
              <w:bottom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160,419,724</w:t>
            </w:r>
          </w:p>
        </w:tc>
        <w:tc>
          <w:tcPr>
            <w:tcW w:w="98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w w:val="99"/>
              </w:rPr>
              <w:t>6.6%</w:t>
            </w:r>
          </w:p>
        </w:tc>
        <w:tc>
          <w:tcPr>
            <w:tcW w:w="980" w:type="dxa"/>
            <w:vAlign w:val="bottom"/>
            <w:tcBorders>
              <w:bottom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rPr>
              <w:t>13.2%</w:t>
            </w:r>
          </w:p>
        </w:tc>
        <w:tc>
          <w:tcPr>
            <w:tcW w:w="0" w:type="dxa"/>
            <w:vAlign w:val="bottom"/>
          </w:tcPr>
          <w:p>
            <w:pPr>
              <w:spacing w:after="0"/>
              <w:rPr>
                <w:sz w:val="1"/>
                <w:szCs w:val="1"/>
                <w:color w:val="auto"/>
              </w:rPr>
            </w:pPr>
          </w:p>
        </w:tc>
      </w:tr>
      <w:tr>
        <w:trPr>
          <w:trHeight w:val="179"/>
        </w:trPr>
        <w:tc>
          <w:tcPr>
            <w:tcW w:w="518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Total risk-weighted assets</w:t>
            </w:r>
          </w:p>
        </w:tc>
        <w:tc>
          <w:tcPr>
            <w:tcW w:w="160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151,045,319</w:t>
            </w:r>
          </w:p>
        </w:tc>
        <w:tc>
          <w:tcPr>
            <w:tcW w:w="136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161,938,838</w:t>
            </w:r>
          </w:p>
        </w:tc>
        <w:tc>
          <w:tcPr>
            <w:tcW w:w="116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159,163,098</w:t>
            </w:r>
          </w:p>
        </w:tc>
        <w:tc>
          <w:tcPr>
            <w:tcW w:w="98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-1.7%</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5.4%</w:t>
            </w:r>
          </w:p>
        </w:tc>
        <w:tc>
          <w:tcPr>
            <w:tcW w:w="0" w:type="dxa"/>
            <w:vAlign w:val="bottom"/>
          </w:tcPr>
          <w:p>
            <w:pPr>
              <w:spacing w:after="0"/>
              <w:rPr>
                <w:sz w:val="1"/>
                <w:szCs w:val="1"/>
                <w:color w:val="auto"/>
              </w:rPr>
            </w:pPr>
          </w:p>
        </w:tc>
      </w:tr>
      <w:tr>
        <w:trPr>
          <w:trHeight w:val="197"/>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 RWA Intangible assets, excluding goodwill.</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10,798,886</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13,065,877</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-100.0%</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-100.0%</w:t>
            </w: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w w:val="99"/>
              </w:rPr>
              <w:t>(+) RWA Deferred tax assets generated as a result of temporary diferences in income</w:t>
            </w:r>
          </w:p>
        </w:tc>
        <w:tc>
          <w:tcPr>
            <w:tcW w:w="1600" w:type="dxa"/>
            <w:vAlign w:val="bottom"/>
            <w:vMerge w:val="restart"/>
          </w:tcPr>
          <w:p>
            <w:pPr>
              <w:jc w:val="right"/>
              <w:ind w:right="164"/>
              <w:spacing w:after="0"/>
              <w:rPr>
                <w:sz w:val="20"/>
                <w:szCs w:val="20"/>
                <w:color w:val="auto"/>
              </w:rPr>
            </w:pPr>
            <w:r>
              <w:rPr>
                <w:rFonts w:ascii="Calibri" w:cs="Calibri" w:eastAsia="Calibri" w:hAnsi="Calibri"/>
                <w:sz w:val="15"/>
                <w:szCs w:val="15"/>
                <w:color w:val="auto"/>
              </w:rPr>
              <w:t>882,435</w:t>
            </w:r>
          </w:p>
        </w:tc>
        <w:tc>
          <w:tcPr>
            <w:tcW w:w="1360" w:type="dxa"/>
            <w:vAlign w:val="bottom"/>
            <w:vMerge w:val="restart"/>
          </w:tcPr>
          <w:p>
            <w:pPr>
              <w:jc w:val="right"/>
              <w:ind w:right="144"/>
              <w:spacing w:after="0"/>
              <w:rPr>
                <w:sz w:val="20"/>
                <w:szCs w:val="20"/>
                <w:color w:val="auto"/>
              </w:rPr>
            </w:pPr>
            <w:r>
              <w:rPr>
                <w:rFonts w:ascii="Calibri" w:cs="Calibri" w:eastAsia="Calibri" w:hAnsi="Calibri"/>
                <w:sz w:val="15"/>
                <w:szCs w:val="15"/>
                <w:color w:val="auto"/>
              </w:rPr>
              <w:t>917,317</w:t>
            </w:r>
          </w:p>
        </w:tc>
        <w:tc>
          <w:tcPr>
            <w:tcW w:w="116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5"/>
                <w:szCs w:val="15"/>
                <w:color w:val="auto"/>
              </w:rPr>
              <w:t>-</w:t>
            </w:r>
          </w:p>
        </w:tc>
        <w:tc>
          <w:tcPr>
            <w:tcW w:w="980" w:type="dxa"/>
            <w:vAlign w:val="bottom"/>
            <w:vMerge w:val="restart"/>
          </w:tcPr>
          <w:p>
            <w:pPr>
              <w:jc w:val="center"/>
              <w:spacing w:after="0"/>
              <w:rPr>
                <w:sz w:val="20"/>
                <w:szCs w:val="20"/>
                <w:color w:val="auto"/>
              </w:rPr>
            </w:pPr>
            <w:r>
              <w:rPr>
                <w:rFonts w:ascii="Calibri" w:cs="Calibri" w:eastAsia="Calibri" w:hAnsi="Calibri"/>
                <w:sz w:val="15"/>
                <w:szCs w:val="15"/>
                <w:color w:val="auto"/>
              </w:rPr>
              <w:t>-100.0%</w:t>
            </w:r>
          </w:p>
        </w:tc>
        <w:tc>
          <w:tcPr>
            <w:tcW w:w="9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5"/>
                <w:szCs w:val="15"/>
                <w:color w:val="auto"/>
              </w:rPr>
              <w:t>-100.0%</w:t>
            </w:r>
          </w:p>
        </w:tc>
        <w:tc>
          <w:tcPr>
            <w:tcW w:w="0" w:type="dxa"/>
            <w:vAlign w:val="bottom"/>
          </w:tcPr>
          <w:p>
            <w:pPr>
              <w:spacing w:after="0"/>
              <w:rPr>
                <w:sz w:val="1"/>
                <w:szCs w:val="1"/>
                <w:color w:val="auto"/>
              </w:rPr>
            </w:pPr>
          </w:p>
        </w:tc>
      </w:tr>
      <w:tr>
        <w:trPr>
          <w:trHeight w:val="91"/>
        </w:trPr>
        <w:tc>
          <w:tcPr>
            <w:tcW w:w="5180" w:type="dxa"/>
            <w:vAlign w:val="bottom"/>
            <w:tcBorders>
              <w:left w:val="single" w:sz="8" w:color="auto"/>
              <w:right w:val="single" w:sz="8" w:color="auto"/>
            </w:tcBorders>
            <w:vMerge w:val="restart"/>
          </w:tcPr>
          <w:p>
            <w:pPr>
              <w:ind w:left="160"/>
              <w:spacing w:after="0" w:line="181" w:lineRule="exact"/>
              <w:rPr>
                <w:sz w:val="20"/>
                <w:szCs w:val="20"/>
                <w:color w:val="auto"/>
              </w:rPr>
            </w:pPr>
            <w:r>
              <w:rPr>
                <w:rFonts w:ascii="Calibri" w:cs="Calibri" w:eastAsia="Calibri" w:hAnsi="Calibri"/>
                <w:sz w:val="15"/>
                <w:szCs w:val="15"/>
                <w:color w:val="auto"/>
              </w:rPr>
              <w:t>tax, in excess of 10% of CET1</w:t>
            </w:r>
          </w:p>
        </w:tc>
        <w:tc>
          <w:tcPr>
            <w:tcW w:w="16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180" w:type="dxa"/>
            <w:vAlign w:val="bottom"/>
            <w:tcBorders>
              <w:left w:val="single" w:sz="8" w:color="auto"/>
              <w:right w:val="single" w:sz="8" w:color="auto"/>
            </w:tcBorders>
            <w:vMerge w:val="continue"/>
          </w:tcPr>
          <w:p>
            <w:pPr>
              <w:spacing w:after="0"/>
              <w:rPr>
                <w:sz w:val="7"/>
                <w:szCs w:val="7"/>
                <w:color w:val="auto"/>
              </w:rPr>
            </w:pPr>
          </w:p>
        </w:tc>
        <w:tc>
          <w:tcPr>
            <w:tcW w:w="16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 RWA Deferred tax assets generated as a result of past losses</w:t>
            </w:r>
          </w:p>
        </w:tc>
        <w:tc>
          <w:tcPr>
            <w:tcW w:w="1600" w:type="dxa"/>
            <w:vAlign w:val="bottom"/>
          </w:tcPr>
          <w:p>
            <w:pPr>
              <w:jc w:val="right"/>
              <w:ind w:right="164"/>
              <w:spacing w:after="0"/>
              <w:rPr>
                <w:sz w:val="20"/>
                <w:szCs w:val="20"/>
                <w:color w:val="auto"/>
              </w:rPr>
            </w:pPr>
            <w:r>
              <w:rPr>
                <w:rFonts w:ascii="Calibri" w:cs="Calibri" w:eastAsia="Calibri" w:hAnsi="Calibri"/>
                <w:sz w:val="15"/>
                <w:szCs w:val="15"/>
                <w:color w:val="auto"/>
              </w:rPr>
              <w:t>-</w:t>
            </w:r>
          </w:p>
        </w:tc>
        <w:tc>
          <w:tcPr>
            <w:tcW w:w="1360" w:type="dxa"/>
            <w:vAlign w:val="bottom"/>
          </w:tcPr>
          <w:p>
            <w:pPr>
              <w:jc w:val="right"/>
              <w:ind w:right="144"/>
              <w:spacing w:after="0"/>
              <w:rPr>
                <w:sz w:val="20"/>
                <w:szCs w:val="20"/>
                <w:color w:val="auto"/>
              </w:rPr>
            </w:pPr>
            <w:r>
              <w:rPr>
                <w:rFonts w:ascii="Calibri" w:cs="Calibri" w:eastAsia="Calibri" w:hAnsi="Calibri"/>
                <w:sz w:val="15"/>
                <w:szCs w:val="15"/>
                <w:color w:val="auto"/>
              </w:rPr>
              <w:t>-</w:t>
            </w:r>
          </w:p>
        </w:tc>
        <w:tc>
          <w:tcPr>
            <w:tcW w:w="1160" w:type="dxa"/>
            <w:vAlign w:val="bottom"/>
            <w:tcBorders>
              <w:right w:val="single" w:sz="8" w:color="auto"/>
            </w:tcBorders>
          </w:tcPr>
          <w:p>
            <w:pPr>
              <w:spacing w:after="0"/>
              <w:rPr>
                <w:sz w:val="17"/>
                <w:szCs w:val="17"/>
                <w:color w:val="auto"/>
              </w:rPr>
            </w:pPr>
          </w:p>
        </w:tc>
        <w:tc>
          <w:tcPr>
            <w:tcW w:w="980" w:type="dxa"/>
            <w:vAlign w:val="bottom"/>
          </w:tcPr>
          <w:p>
            <w:pPr>
              <w:jc w:val="center"/>
              <w:spacing w:after="0"/>
              <w:rPr>
                <w:sz w:val="20"/>
                <w:szCs w:val="20"/>
                <w:color w:val="auto"/>
              </w:rPr>
            </w:pPr>
            <w:r>
              <w:rPr>
                <w:rFonts w:ascii="Calibri" w:cs="Calibri" w:eastAsia="Calibri" w:hAnsi="Calibri"/>
                <w:sz w:val="15"/>
                <w:szCs w:val="15"/>
                <w:color w:val="auto"/>
              </w:rPr>
              <w:t>0.0%</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n.a.</w:t>
            </w:r>
          </w:p>
        </w:tc>
        <w:tc>
          <w:tcPr>
            <w:tcW w:w="0" w:type="dxa"/>
            <w:vAlign w:val="bottom"/>
          </w:tcPr>
          <w:p>
            <w:pPr>
              <w:spacing w:after="0"/>
              <w:rPr>
                <w:sz w:val="1"/>
                <w:szCs w:val="1"/>
                <w:color w:val="auto"/>
              </w:rPr>
            </w:pPr>
          </w:p>
        </w:tc>
      </w:tr>
      <w:tr>
        <w:trPr>
          <w:trHeight w:val="239"/>
        </w:trPr>
        <w:tc>
          <w:tcPr>
            <w:tcW w:w="5180" w:type="dxa"/>
            <w:vAlign w:val="bottom"/>
            <w:tcBorders>
              <w:left w:val="single" w:sz="8" w:color="auto"/>
              <w:bottom w:val="single" w:sz="8" w:color="auto"/>
              <w:right w:val="single" w:sz="8" w:color="auto"/>
            </w:tcBorders>
          </w:tcPr>
          <w:p>
            <w:pPr>
              <w:ind w:left="20"/>
              <w:spacing w:after="0" w:line="236" w:lineRule="exact"/>
              <w:rPr>
                <w:sz w:val="20"/>
                <w:szCs w:val="20"/>
                <w:color w:val="auto"/>
              </w:rPr>
            </w:pPr>
            <w:r>
              <w:rPr>
                <w:rFonts w:ascii="Calibri" w:cs="Calibri" w:eastAsia="Calibri" w:hAnsi="Calibri"/>
                <w:sz w:val="15"/>
                <w:szCs w:val="15"/>
                <w:color w:val="auto"/>
              </w:rPr>
              <w:t xml:space="preserve">(+) IFRS Adjustments </w:t>
            </w:r>
            <w:r>
              <w:rPr>
                <w:rFonts w:ascii="Calibri" w:cs="Calibri" w:eastAsia="Calibri" w:hAnsi="Calibri"/>
                <w:sz w:val="25"/>
                <w:szCs w:val="25"/>
                <w:color w:val="auto"/>
                <w:vertAlign w:val="superscript"/>
              </w:rPr>
              <w:t>(8)</w:t>
            </w:r>
          </w:p>
        </w:tc>
        <w:tc>
          <w:tcPr>
            <w:tcW w:w="1600" w:type="dxa"/>
            <w:vAlign w:val="bottom"/>
            <w:tcBorders>
              <w:bottom w:val="single" w:sz="8" w:color="auto"/>
            </w:tcBorders>
          </w:tcPr>
          <w:p>
            <w:pPr>
              <w:jc w:val="right"/>
              <w:ind w:right="164"/>
              <w:spacing w:after="0"/>
              <w:rPr>
                <w:sz w:val="20"/>
                <w:szCs w:val="20"/>
                <w:color w:val="auto"/>
              </w:rPr>
            </w:pPr>
            <w:r>
              <w:rPr>
                <w:rFonts w:ascii="Calibri" w:cs="Calibri" w:eastAsia="Calibri" w:hAnsi="Calibri"/>
                <w:sz w:val="15"/>
                <w:szCs w:val="15"/>
                <w:color w:val="auto"/>
              </w:rPr>
              <w:t>569,130</w:t>
            </w:r>
          </w:p>
        </w:tc>
        <w:tc>
          <w:tcPr>
            <w:tcW w:w="1360" w:type="dxa"/>
            <w:vAlign w:val="bottom"/>
            <w:tcBorders>
              <w:bottom w:val="single" w:sz="8" w:color="auto"/>
            </w:tcBorders>
          </w:tcPr>
          <w:p>
            <w:pPr>
              <w:jc w:val="right"/>
              <w:ind w:right="144"/>
              <w:spacing w:after="0"/>
              <w:rPr>
                <w:sz w:val="20"/>
                <w:szCs w:val="20"/>
                <w:color w:val="auto"/>
              </w:rPr>
            </w:pPr>
            <w:r>
              <w:rPr>
                <w:rFonts w:ascii="Calibri" w:cs="Calibri" w:eastAsia="Calibri" w:hAnsi="Calibri"/>
                <w:sz w:val="15"/>
                <w:szCs w:val="15"/>
                <w:color w:val="auto"/>
              </w:rPr>
              <w:t>745,384</w:t>
            </w:r>
          </w:p>
        </w:tc>
        <w:tc>
          <w:tcPr>
            <w:tcW w:w="116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5"/>
                <w:szCs w:val="15"/>
                <w:color w:val="auto"/>
              </w:rPr>
              <w:t>1,256,627</w:t>
            </w:r>
          </w:p>
        </w:tc>
        <w:tc>
          <w:tcPr>
            <w:tcW w:w="98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color w:val="auto"/>
              </w:rPr>
              <w:t>68.6%</w:t>
            </w:r>
          </w:p>
        </w:tc>
        <w:tc>
          <w:tcPr>
            <w:tcW w:w="9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5"/>
                <w:szCs w:val="15"/>
                <w:color w:val="auto"/>
                <w:w w:val="97"/>
              </w:rPr>
              <w:t>120.8%</w:t>
            </w:r>
          </w:p>
        </w:tc>
        <w:tc>
          <w:tcPr>
            <w:tcW w:w="0" w:type="dxa"/>
            <w:vAlign w:val="bottom"/>
          </w:tcPr>
          <w:p>
            <w:pPr>
              <w:spacing w:after="0"/>
              <w:rPr>
                <w:sz w:val="1"/>
                <w:szCs w:val="1"/>
                <w:color w:val="auto"/>
              </w:rPr>
            </w:pPr>
          </w:p>
        </w:tc>
      </w:tr>
      <w:tr>
        <w:trPr>
          <w:trHeight w:val="354"/>
        </w:trPr>
        <w:tc>
          <w:tcPr>
            <w:tcW w:w="5180" w:type="dxa"/>
            <w:vAlign w:val="bottom"/>
          </w:tcPr>
          <w:p>
            <w:pPr>
              <w:ind w:left="20"/>
              <w:spacing w:after="0"/>
              <w:rPr>
                <w:sz w:val="20"/>
                <w:szCs w:val="20"/>
                <w:color w:val="auto"/>
              </w:rPr>
            </w:pPr>
            <w:r>
              <w:rPr>
                <w:rFonts w:ascii="Calibri" w:cs="Calibri" w:eastAsia="Calibri" w:hAnsi="Calibri"/>
                <w:sz w:val="15"/>
                <w:szCs w:val="15"/>
                <w:b w:val="1"/>
                <w:bCs w:val="1"/>
                <w:color w:val="auto"/>
              </w:rPr>
              <w:t>Capital ratos</w:t>
            </w: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51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5180" w:type="dxa"/>
            <w:vAlign w:val="bottom"/>
            <w:tcBorders>
              <w:left w:val="single" w:sz="8" w:color="auto"/>
              <w:right w:val="single" w:sz="8" w:color="auto"/>
            </w:tcBorders>
          </w:tcPr>
          <w:p>
            <w:pPr>
              <w:ind w:left="20"/>
              <w:spacing w:after="0" w:line="197" w:lineRule="exact"/>
              <w:rPr>
                <w:sz w:val="20"/>
                <w:szCs w:val="20"/>
                <w:color w:val="auto"/>
              </w:rPr>
            </w:pPr>
            <w:r>
              <w:rPr>
                <w:rFonts w:ascii="Calibri" w:cs="Calibri" w:eastAsia="Calibri" w:hAnsi="Calibri"/>
                <w:sz w:val="13"/>
                <w:szCs w:val="13"/>
                <w:color w:val="auto"/>
              </w:rPr>
              <w:t xml:space="preserve">Regulatory Tier 1 rato </w:t>
            </w:r>
            <w:r>
              <w:rPr>
                <w:rFonts w:ascii="Calibri" w:cs="Calibri" w:eastAsia="Calibri" w:hAnsi="Calibri"/>
                <w:sz w:val="21"/>
                <w:szCs w:val="21"/>
                <w:color w:val="auto"/>
                <w:vertAlign w:val="superscript"/>
              </w:rPr>
              <w:t>(9)</w:t>
            </w:r>
          </w:p>
        </w:tc>
        <w:tc>
          <w:tcPr>
            <w:tcW w:w="160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10.74%</w:t>
            </w:r>
          </w:p>
        </w:tc>
        <w:tc>
          <w:tcPr>
            <w:tcW w:w="136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10.02%</w:t>
            </w:r>
          </w:p>
        </w:tc>
        <w:tc>
          <w:tcPr>
            <w:tcW w:w="116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10.74%</w:t>
            </w:r>
          </w:p>
        </w:tc>
        <w:tc>
          <w:tcPr>
            <w:tcW w:w="980" w:type="dxa"/>
            <w:vAlign w:val="bottom"/>
          </w:tcPr>
          <w:p>
            <w:pPr>
              <w:jc w:val="center"/>
              <w:spacing w:after="0" w:line="180" w:lineRule="exact"/>
              <w:rPr>
                <w:sz w:val="20"/>
                <w:szCs w:val="20"/>
                <w:color w:val="auto"/>
              </w:rPr>
            </w:pPr>
            <w:r>
              <w:rPr>
                <w:rFonts w:ascii="Calibri" w:cs="Calibri" w:eastAsia="Calibri" w:hAnsi="Calibri"/>
                <w:sz w:val="15"/>
                <w:szCs w:val="15"/>
                <w:color w:val="auto"/>
                <w:w w:val="94"/>
              </w:rPr>
              <w:t>72 bps</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7"/>
              </w:rPr>
              <w:t>0 bps</w:t>
            </w: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20"/>
              <w:spacing w:after="0" w:line="204" w:lineRule="exact"/>
              <w:rPr>
                <w:sz w:val="20"/>
                <w:szCs w:val="20"/>
                <w:color w:val="auto"/>
              </w:rPr>
            </w:pPr>
            <w:r>
              <w:rPr>
                <w:rFonts w:ascii="Calibri" w:cs="Calibri" w:eastAsia="Calibri" w:hAnsi="Calibri"/>
                <w:sz w:val="14"/>
                <w:szCs w:val="14"/>
                <w:color w:val="auto"/>
              </w:rPr>
              <w:t xml:space="preserve">Common Equity Tier 1 rato </w:t>
            </w:r>
            <w:r>
              <w:rPr>
                <w:rFonts w:ascii="Calibri" w:cs="Calibri" w:eastAsia="Calibri" w:hAnsi="Calibri"/>
                <w:sz w:val="22"/>
                <w:szCs w:val="22"/>
                <w:color w:val="auto"/>
                <w:vertAlign w:val="superscript"/>
              </w:rPr>
              <w:t>(10)(11)</w:t>
            </w:r>
          </w:p>
        </w:tc>
        <w:tc>
          <w:tcPr>
            <w:tcW w:w="160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11.63%</w:t>
            </w:r>
          </w:p>
        </w:tc>
        <w:tc>
          <w:tcPr>
            <w:tcW w:w="136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12.59%</w:t>
            </w:r>
          </w:p>
        </w:tc>
        <w:tc>
          <w:tcPr>
            <w:tcW w:w="116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11.93%</w:t>
            </w:r>
          </w:p>
        </w:tc>
        <w:tc>
          <w:tcPr>
            <w:tcW w:w="98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-66 bps</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9"/>
              </w:rPr>
              <w:t>30 bps</w:t>
            </w:r>
          </w:p>
        </w:tc>
        <w:tc>
          <w:tcPr>
            <w:tcW w:w="0" w:type="dxa"/>
            <w:vAlign w:val="bottom"/>
          </w:tcPr>
          <w:p>
            <w:pPr>
              <w:spacing w:after="0"/>
              <w:rPr>
                <w:sz w:val="1"/>
                <w:szCs w:val="1"/>
                <w:color w:val="auto"/>
              </w:rPr>
            </w:pPr>
          </w:p>
        </w:tc>
      </w:tr>
      <w:tr>
        <w:trPr>
          <w:trHeight w:val="204"/>
        </w:trPr>
        <w:tc>
          <w:tcPr>
            <w:tcW w:w="5180" w:type="dxa"/>
            <w:vAlign w:val="bottom"/>
            <w:tcBorders>
              <w:left w:val="single" w:sz="8" w:color="auto"/>
              <w:right w:val="single" w:sz="8" w:color="auto"/>
            </w:tcBorders>
          </w:tcPr>
          <w:p>
            <w:pPr>
              <w:ind w:left="20"/>
              <w:spacing w:after="0" w:line="204" w:lineRule="exact"/>
              <w:rPr>
                <w:sz w:val="20"/>
                <w:szCs w:val="20"/>
                <w:color w:val="auto"/>
              </w:rPr>
            </w:pPr>
            <w:r>
              <w:rPr>
                <w:rFonts w:ascii="Calibri" w:cs="Calibri" w:eastAsia="Calibri" w:hAnsi="Calibri"/>
                <w:sz w:val="14"/>
                <w:szCs w:val="14"/>
                <w:color w:val="auto"/>
              </w:rPr>
              <w:t xml:space="preserve">Regulatory Global Capital rato </w:t>
            </w:r>
            <w:r>
              <w:rPr>
                <w:rFonts w:ascii="Calibri" w:cs="Calibri" w:eastAsia="Calibri" w:hAnsi="Calibri"/>
                <w:sz w:val="22"/>
                <w:szCs w:val="22"/>
                <w:color w:val="auto"/>
                <w:vertAlign w:val="superscript"/>
              </w:rPr>
              <w:t>(12)</w:t>
            </w:r>
          </w:p>
        </w:tc>
        <w:tc>
          <w:tcPr>
            <w:tcW w:w="160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15.79%</w:t>
            </w:r>
          </w:p>
        </w:tc>
        <w:tc>
          <w:tcPr>
            <w:tcW w:w="136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14.43%</w:t>
            </w:r>
          </w:p>
        </w:tc>
        <w:tc>
          <w:tcPr>
            <w:tcW w:w="116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14.93%</w:t>
            </w:r>
          </w:p>
        </w:tc>
        <w:tc>
          <w:tcPr>
            <w:tcW w:w="980" w:type="dxa"/>
            <w:vAlign w:val="bottom"/>
          </w:tcPr>
          <w:p>
            <w:pPr>
              <w:jc w:val="center"/>
              <w:spacing w:after="0" w:line="180" w:lineRule="exact"/>
              <w:rPr>
                <w:sz w:val="20"/>
                <w:szCs w:val="20"/>
                <w:color w:val="auto"/>
              </w:rPr>
            </w:pPr>
            <w:r>
              <w:rPr>
                <w:rFonts w:ascii="Calibri" w:cs="Calibri" w:eastAsia="Calibri" w:hAnsi="Calibri"/>
                <w:sz w:val="15"/>
                <w:szCs w:val="15"/>
                <w:color w:val="auto"/>
                <w:w w:val="94"/>
              </w:rPr>
              <w:t>50 bps</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8"/>
              </w:rPr>
              <w:t>-86 bps</w:t>
            </w:r>
          </w:p>
        </w:tc>
        <w:tc>
          <w:tcPr>
            <w:tcW w:w="0" w:type="dxa"/>
            <w:vAlign w:val="bottom"/>
          </w:tcPr>
          <w:p>
            <w:pPr>
              <w:spacing w:after="0"/>
              <w:rPr>
                <w:sz w:val="1"/>
                <w:szCs w:val="1"/>
                <w:color w:val="auto"/>
              </w:rPr>
            </w:pPr>
          </w:p>
        </w:tc>
      </w:tr>
      <w:tr>
        <w:trPr>
          <w:trHeight w:val="179"/>
        </w:trPr>
        <w:tc>
          <w:tcPr>
            <w:tcW w:w="518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Risk-weighted assets / Regulatory capital</w:t>
            </w:r>
          </w:p>
        </w:tc>
        <w:tc>
          <w:tcPr>
            <w:tcW w:w="1600" w:type="dxa"/>
            <w:vAlign w:val="bottom"/>
          </w:tcPr>
          <w:p>
            <w:pPr>
              <w:jc w:val="right"/>
              <w:ind w:right="164"/>
              <w:spacing w:after="0" w:line="180" w:lineRule="exact"/>
              <w:rPr>
                <w:sz w:val="20"/>
                <w:szCs w:val="20"/>
                <w:color w:val="auto"/>
              </w:rPr>
            </w:pPr>
            <w:r>
              <w:rPr>
                <w:rFonts w:ascii="Calibri" w:cs="Calibri" w:eastAsia="Calibri" w:hAnsi="Calibri"/>
                <w:sz w:val="15"/>
                <w:szCs w:val="15"/>
                <w:color w:val="auto"/>
              </w:rPr>
              <w:t>6.33</w:t>
            </w:r>
          </w:p>
        </w:tc>
        <w:tc>
          <w:tcPr>
            <w:tcW w:w="1360" w:type="dxa"/>
            <w:vAlign w:val="bottom"/>
          </w:tcPr>
          <w:p>
            <w:pPr>
              <w:jc w:val="right"/>
              <w:ind w:right="144"/>
              <w:spacing w:after="0" w:line="180" w:lineRule="exact"/>
              <w:rPr>
                <w:sz w:val="20"/>
                <w:szCs w:val="20"/>
                <w:color w:val="auto"/>
              </w:rPr>
            </w:pPr>
            <w:r>
              <w:rPr>
                <w:rFonts w:ascii="Calibri" w:cs="Calibri" w:eastAsia="Calibri" w:hAnsi="Calibri"/>
                <w:sz w:val="15"/>
                <w:szCs w:val="15"/>
                <w:color w:val="auto"/>
              </w:rPr>
              <w:t>6.93</w:t>
            </w:r>
          </w:p>
        </w:tc>
        <w:tc>
          <w:tcPr>
            <w:tcW w:w="116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6.70</w:t>
            </w:r>
          </w:p>
        </w:tc>
        <w:tc>
          <w:tcPr>
            <w:tcW w:w="98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-3.4%</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5.8%</w:t>
            </w:r>
          </w:p>
        </w:tc>
        <w:tc>
          <w:tcPr>
            <w:tcW w:w="0" w:type="dxa"/>
            <w:vAlign w:val="bottom"/>
          </w:tcPr>
          <w:p>
            <w:pPr>
              <w:spacing w:after="0"/>
              <w:rPr>
                <w:sz w:val="1"/>
                <w:szCs w:val="1"/>
                <w:color w:val="auto"/>
              </w:rPr>
            </w:pPr>
          </w:p>
        </w:tc>
      </w:tr>
      <w:tr>
        <w:trPr>
          <w:trHeight w:val="35"/>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ind w:left="129" w:hanging="129"/>
        <w:spacing w:after="0" w:line="203" w:lineRule="auto"/>
        <w:tabs>
          <w:tab w:leader="none" w:pos="129" w:val="left"/>
        </w:tabs>
        <w:numPr>
          <w:ilvl w:val="0"/>
          <w:numId w:val="61"/>
        </w:numPr>
        <w:rPr>
          <w:rFonts w:ascii="Calibri" w:cs="Calibri" w:eastAsia="Calibri" w:hAnsi="Calibri"/>
          <w:sz w:val="10"/>
          <w:szCs w:val="10"/>
          <w:color w:val="auto"/>
        </w:rPr>
      </w:pPr>
      <w:r>
        <w:rPr>
          <w:rFonts w:ascii="Calibri" w:cs="Calibri" w:eastAsia="Calibri" w:hAnsi="Calibri"/>
          <w:sz w:val="10"/>
          <w:szCs w:val="10"/>
          <w:color w:val="auto"/>
        </w:rPr>
        <w:t>Up to 1.25% of total risk-weighted assets.</w:t>
      </w:r>
    </w:p>
    <w:p>
      <w:pPr>
        <w:ind w:left="9" w:right="160" w:hanging="9"/>
        <w:spacing w:after="0" w:line="223" w:lineRule="auto"/>
        <w:tabs>
          <w:tab w:leader="none" w:pos="141" w:val="left"/>
        </w:tabs>
        <w:numPr>
          <w:ilvl w:val="0"/>
          <w:numId w:val="61"/>
        </w:numPr>
        <w:rPr>
          <w:rFonts w:ascii="Calibri" w:cs="Calibri" w:eastAsia="Calibri" w:hAnsi="Calibri"/>
          <w:sz w:val="10"/>
          <w:szCs w:val="10"/>
          <w:color w:val="auto"/>
        </w:rPr>
      </w:pPr>
      <w:r>
        <w:rPr>
          <w:rFonts w:ascii="Calibri" w:cs="Calibri" w:eastAsia="Calibri" w:hAnsi="Calibri"/>
          <w:sz w:val="10"/>
          <w:szCs w:val="10"/>
          <w:color w:val="auto"/>
        </w:rPr>
        <w:t>Regulatory Tier 1 Capital = Capital + Legal and other capital reserves + Accumulated earnings with capitalizaton agreement + (0.5 x Unrealized proft and net income in subsidiaries) - Goodwill - (0.5 x Investment in subsidiaries) + Perpetual subordinated debt (maximum amount that can be included is 17.65% of Capital + Reserves + Accumulated earnings with capitalizaton agreement + Unrealized proft and net income in subsidiaries - Goodwill).</w:t>
      </w:r>
    </w:p>
    <w:p>
      <w:pPr>
        <w:ind w:left="129" w:hanging="129"/>
        <w:spacing w:after="0" w:line="223" w:lineRule="auto"/>
        <w:tabs>
          <w:tab w:leader="none" w:pos="129" w:val="left"/>
        </w:tabs>
        <w:numPr>
          <w:ilvl w:val="0"/>
          <w:numId w:val="61"/>
        </w:numPr>
        <w:rPr>
          <w:rFonts w:ascii="Calibri" w:cs="Calibri" w:eastAsia="Calibri" w:hAnsi="Calibri"/>
          <w:sz w:val="10"/>
          <w:szCs w:val="10"/>
          <w:color w:val="auto"/>
        </w:rPr>
      </w:pPr>
      <w:r>
        <w:rPr>
          <w:rFonts w:ascii="Calibri" w:cs="Calibri" w:eastAsia="Calibri" w:hAnsi="Calibri"/>
          <w:sz w:val="10"/>
          <w:szCs w:val="10"/>
          <w:color w:val="auto"/>
        </w:rPr>
        <w:t>Regulatory Tier 2 Capital = Subordinated debt + Loan loss reserves + Unrestricted Reserves + (0.5 x Unrealized proft and net income in subsidiaries) - (0.5 x Investment in subsidiaries).</w:t>
      </w:r>
    </w:p>
    <w:p>
      <w:pPr>
        <w:ind w:left="129" w:hanging="129"/>
        <w:spacing w:after="0" w:line="223" w:lineRule="auto"/>
        <w:tabs>
          <w:tab w:leader="none" w:pos="129" w:val="left"/>
        </w:tabs>
        <w:numPr>
          <w:ilvl w:val="0"/>
          <w:numId w:val="61"/>
        </w:numPr>
        <w:rPr>
          <w:rFonts w:ascii="Calibri" w:cs="Calibri" w:eastAsia="Calibri" w:hAnsi="Calibri"/>
          <w:sz w:val="10"/>
          <w:szCs w:val="10"/>
          <w:color w:val="auto"/>
        </w:rPr>
      </w:pPr>
      <w:r>
        <w:rPr>
          <w:rFonts w:ascii="Calibri" w:cs="Calibri" w:eastAsia="Calibri" w:hAnsi="Calibri"/>
          <w:sz w:val="10"/>
          <w:szCs w:val="10"/>
          <w:color w:val="auto"/>
        </w:rPr>
        <w:t>Since July 2012, Total Risk-weighted assets = Credit risk-weighted assets * 1.00 + Capital requirement to cover market risk * 10 + Capital requirement to cover operatonal risk * 10 * 1.00 (since July 2014)</w:t>
      </w:r>
    </w:p>
    <w:p>
      <w:pPr>
        <w:ind w:left="129" w:hanging="129"/>
        <w:spacing w:after="0" w:line="223" w:lineRule="auto"/>
        <w:tabs>
          <w:tab w:leader="none" w:pos="129" w:val="left"/>
        </w:tabs>
        <w:numPr>
          <w:ilvl w:val="0"/>
          <w:numId w:val="61"/>
        </w:numPr>
        <w:rPr>
          <w:rFonts w:ascii="Calibri" w:cs="Calibri" w:eastAsia="Calibri" w:hAnsi="Calibri"/>
          <w:sz w:val="10"/>
          <w:szCs w:val="10"/>
          <w:color w:val="auto"/>
        </w:rPr>
      </w:pPr>
      <w:r>
        <w:rPr>
          <w:rFonts w:ascii="Calibri" w:cs="Calibri" w:eastAsia="Calibri" w:hAnsi="Calibri"/>
          <w:sz w:val="10"/>
          <w:szCs w:val="10"/>
          <w:color w:val="auto"/>
        </w:rPr>
        <w:t>It includes capital requirement to cover price and rate risk.</w:t>
      </w:r>
    </w:p>
    <w:p>
      <w:pPr>
        <w:ind w:left="9" w:right="340" w:hanging="9"/>
        <w:spacing w:after="0" w:line="223" w:lineRule="auto"/>
        <w:tabs>
          <w:tab w:leader="none" w:pos="141" w:val="left"/>
        </w:tabs>
        <w:numPr>
          <w:ilvl w:val="0"/>
          <w:numId w:val="61"/>
        </w:numPr>
        <w:rPr>
          <w:rFonts w:ascii="Calibri" w:cs="Calibri" w:eastAsia="Calibri" w:hAnsi="Calibri"/>
          <w:sz w:val="10"/>
          <w:szCs w:val="10"/>
          <w:color w:val="auto"/>
        </w:rPr>
      </w:pPr>
      <w:r>
        <w:rPr>
          <w:rFonts w:ascii="Calibri" w:cs="Calibri" w:eastAsia="Calibri" w:hAnsi="Calibri"/>
          <w:sz w:val="10"/>
          <w:szCs w:val="10"/>
          <w:color w:val="auto"/>
        </w:rPr>
        <w:t>Common Equity Tier I = Capital + Reserves – 100% of applicable deductons (investment in subsidiaries, goodwill, intangibles and net deferred taxes that rely on future proftability) + retained earnings + unrealized gains. Figures difer from previously reported cause current calculatons are based on IFRS fgures.</w:t>
      </w:r>
    </w:p>
    <w:p>
      <w:pPr>
        <w:ind w:left="9" w:right="160" w:hanging="9"/>
        <w:spacing w:after="0" w:line="223" w:lineRule="auto"/>
        <w:tabs>
          <w:tab w:leader="none" w:pos="141" w:val="left"/>
        </w:tabs>
        <w:numPr>
          <w:ilvl w:val="0"/>
          <w:numId w:val="61"/>
        </w:numPr>
        <w:rPr>
          <w:rFonts w:ascii="Calibri" w:cs="Calibri" w:eastAsia="Calibri" w:hAnsi="Calibri"/>
          <w:sz w:val="10"/>
          <w:szCs w:val="10"/>
          <w:color w:val="auto"/>
        </w:rPr>
      </w:pPr>
      <w:r>
        <w:rPr>
          <w:rFonts w:ascii="Calibri" w:cs="Calibri" w:eastAsia="Calibri" w:hAnsi="Calibri"/>
          <w:sz w:val="10"/>
          <w:szCs w:val="10"/>
          <w:color w:val="auto"/>
        </w:rPr>
        <w:t>Adjusted Risk-Weighted Assets = Risk-weighted assets - (RWA Intangible assets, excluding goodwill, + RWA Deferred tax assets generated as a result of temporary diferences in income tax, in excess of 10% of CET1, + RWA Deferred tax assets generated as a result of past losses). Figures difer from previously reported cause current calculatons are based on IFRS fgures.</w:t>
      </w:r>
    </w:p>
    <w:p>
      <w:pPr>
        <w:ind w:left="129" w:hanging="129"/>
        <w:spacing w:after="0" w:line="223" w:lineRule="auto"/>
        <w:tabs>
          <w:tab w:leader="none" w:pos="129" w:val="left"/>
        </w:tabs>
        <w:numPr>
          <w:ilvl w:val="0"/>
          <w:numId w:val="61"/>
        </w:numPr>
        <w:rPr>
          <w:rFonts w:ascii="Calibri" w:cs="Calibri" w:eastAsia="Calibri" w:hAnsi="Calibri"/>
          <w:sz w:val="10"/>
          <w:szCs w:val="10"/>
          <w:color w:val="auto"/>
        </w:rPr>
      </w:pPr>
      <w:r>
        <w:rPr>
          <w:rFonts w:ascii="Calibri" w:cs="Calibri" w:eastAsia="Calibri" w:hAnsi="Calibri"/>
          <w:sz w:val="10"/>
          <w:szCs w:val="10"/>
          <w:color w:val="auto"/>
        </w:rPr>
        <w:t>Regulatory Tier 1 Capital / Total Risk-weighted assets</w:t>
      </w:r>
    </w:p>
    <w:p>
      <w:pPr>
        <w:ind w:left="129" w:hanging="129"/>
        <w:spacing w:after="0" w:line="223" w:lineRule="auto"/>
        <w:tabs>
          <w:tab w:leader="none" w:pos="129" w:val="left"/>
        </w:tabs>
        <w:numPr>
          <w:ilvl w:val="0"/>
          <w:numId w:val="61"/>
        </w:numPr>
        <w:rPr>
          <w:rFonts w:ascii="Calibri" w:cs="Calibri" w:eastAsia="Calibri" w:hAnsi="Calibri"/>
          <w:sz w:val="10"/>
          <w:szCs w:val="10"/>
          <w:color w:val="auto"/>
        </w:rPr>
      </w:pPr>
      <w:r>
        <w:rPr>
          <w:rFonts w:ascii="Calibri" w:cs="Calibri" w:eastAsia="Calibri" w:hAnsi="Calibri"/>
          <w:sz w:val="10"/>
          <w:szCs w:val="10"/>
          <w:color w:val="auto"/>
        </w:rPr>
        <w:t>Common Equity Tier I / Adjusted Risk-Weighted Assets Risk-Weighted Assets</w:t>
      </w:r>
    </w:p>
    <w:p>
      <w:pPr>
        <w:ind w:left="189" w:hanging="189"/>
        <w:spacing w:after="0" w:line="223" w:lineRule="auto"/>
        <w:tabs>
          <w:tab w:leader="none" w:pos="189" w:val="left"/>
        </w:tabs>
        <w:numPr>
          <w:ilvl w:val="0"/>
          <w:numId w:val="61"/>
        </w:numPr>
        <w:rPr>
          <w:rFonts w:ascii="Calibri" w:cs="Calibri" w:eastAsia="Calibri" w:hAnsi="Calibri"/>
          <w:sz w:val="10"/>
          <w:szCs w:val="10"/>
          <w:color w:val="auto"/>
        </w:rPr>
      </w:pPr>
      <w:r>
        <w:rPr>
          <w:rFonts w:ascii="Calibri" w:cs="Calibri" w:eastAsia="Calibri" w:hAnsi="Calibri"/>
          <w:sz w:val="10"/>
          <w:szCs w:val="10"/>
          <w:color w:val="auto"/>
        </w:rPr>
        <w:t>Total Regulatory Capital / Total Risk-weighted assets (legal minimum = 10% since July 2011)</w:t>
      </w:r>
    </w:p>
    <w:p>
      <w:pPr>
        <w:ind w:left="9" w:right="480" w:hanging="9"/>
        <w:spacing w:after="0" w:line="223" w:lineRule="auto"/>
        <w:tabs>
          <w:tab w:leader="none" w:pos="190" w:val="left"/>
        </w:tabs>
        <w:numPr>
          <w:ilvl w:val="0"/>
          <w:numId w:val="61"/>
        </w:numPr>
        <w:rPr>
          <w:rFonts w:ascii="Calibri" w:cs="Calibri" w:eastAsia="Calibri" w:hAnsi="Calibri"/>
          <w:sz w:val="10"/>
          <w:szCs w:val="10"/>
          <w:color w:val="auto"/>
        </w:rPr>
      </w:pPr>
      <w:r>
        <w:rPr>
          <w:rFonts w:ascii="Calibri" w:cs="Calibri" w:eastAsia="Calibri" w:hAnsi="Calibri"/>
          <w:sz w:val="10"/>
          <w:szCs w:val="10"/>
          <w:color w:val="auto"/>
        </w:rPr>
        <w:t>Adjustments for diferences in balance assets under Local Accountng (which regulatory Rwas are calculated) and IFRS in the Right of use account (lease). As of March 2022, the ‘Right of Use’ account increased to S/ 364M, explained the 64% of the adjustment. The rest adjustments correspond to diferences in stock of provisions and Deferred Taxes.</w:t>
      </w:r>
    </w:p>
    <w:p>
      <w:pPr>
        <w:ind w:left="189" w:hanging="189"/>
        <w:spacing w:after="0" w:line="223" w:lineRule="auto"/>
        <w:tabs>
          <w:tab w:leader="none" w:pos="189" w:val="left"/>
        </w:tabs>
        <w:numPr>
          <w:ilvl w:val="0"/>
          <w:numId w:val="61"/>
        </w:numPr>
        <w:rPr>
          <w:rFonts w:ascii="Calibri" w:cs="Calibri" w:eastAsia="Calibri" w:hAnsi="Calibri"/>
          <w:sz w:val="10"/>
          <w:szCs w:val="10"/>
          <w:color w:val="auto"/>
        </w:rPr>
      </w:pPr>
      <w:r>
        <w:rPr>
          <w:rFonts w:ascii="Calibri" w:cs="Calibri" w:eastAsia="Calibri" w:hAnsi="Calibri"/>
          <w:sz w:val="10"/>
          <w:szCs w:val="10"/>
          <w:color w:val="auto"/>
        </w:rPr>
        <w:t>Common Equity Tier I calculated based on IFRS Accountng</w:t>
      </w:r>
    </w:p>
    <w:p>
      <w:pPr>
        <w:spacing w:after="0" w:line="331"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65" w:right="319" w:bottom="1440" w:gutter="0" w:footer="0" w:header="0"/>
        </w:sectPr>
      </w:pPr>
    </w:p>
    <w:bookmarkStart w:id="64" w:name="page65"/>
    <w:bookmarkEnd w:id="64"/>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153910" cy="2305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tbl>
      <w:tblPr>
        <w:tblLayout w:type="fixed"/>
        <w:tblInd w:w="1699" w:type="dxa"/>
        <w:tblCellMar>
          <w:top w:w="0" w:type="dxa"/>
          <w:left w:w="0" w:type="dxa"/>
          <w:bottom w:w="0" w:type="dxa"/>
          <w:right w:w="0" w:type="dxa"/>
        </w:tblCellMar>
      </w:tblPr>
      <w:tr>
        <w:trPr>
          <w:trHeight w:val="183"/>
        </w:trPr>
        <w:tc>
          <w:tcPr>
            <w:tcW w:w="6280" w:type="dxa"/>
            <w:vAlign w:val="bottom"/>
            <w:gridSpan w:val="2"/>
          </w:tcPr>
          <w:p>
            <w:pPr>
              <w:ind w:left="2120"/>
              <w:spacing w:after="0"/>
              <w:rPr>
                <w:sz w:val="20"/>
                <w:szCs w:val="20"/>
                <w:color w:val="auto"/>
              </w:rPr>
            </w:pPr>
            <w:r>
              <w:rPr>
                <w:rFonts w:ascii="Calibri" w:cs="Calibri" w:eastAsia="Calibri" w:hAnsi="Calibri"/>
                <w:sz w:val="15"/>
                <w:szCs w:val="15"/>
                <w:b w:val="1"/>
                <w:bCs w:val="1"/>
                <w:color w:val="auto"/>
              </w:rPr>
              <w:t>Regulatory and Capital Adequacy Ratos at BCP Stand-alone</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gridSpan w:val="2"/>
          </w:tcPr>
          <w:p>
            <w:pPr>
              <w:ind w:left="1960"/>
              <w:spacing w:after="0" w:line="181" w:lineRule="exact"/>
              <w:rPr>
                <w:sz w:val="20"/>
                <w:szCs w:val="20"/>
                <w:color w:val="auto"/>
              </w:rPr>
            </w:pPr>
            <w:r>
              <w:rPr>
                <w:rFonts w:ascii="Calibri" w:cs="Calibri" w:eastAsia="Calibri" w:hAnsi="Calibri"/>
                <w:sz w:val="15"/>
                <w:szCs w:val="15"/>
                <w:b w:val="1"/>
                <w:bCs w:val="1"/>
                <w:color w:val="auto"/>
              </w:rPr>
              <w:t>(S/ thousands, IFRS, under current regulaton as of January 2023)</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shd w:val="clear" w:color="auto" w:fill="33CCCC"/>
          </w:tcPr>
          <w:p>
            <w:pPr>
              <w:ind w:left="40"/>
              <w:spacing w:after="0" w:line="145" w:lineRule="exact"/>
              <w:rPr>
                <w:sz w:val="20"/>
                <w:szCs w:val="20"/>
                <w:color w:val="auto"/>
              </w:rPr>
            </w:pPr>
            <w:r>
              <w:rPr>
                <w:rFonts w:ascii="Calibri" w:cs="Calibri" w:eastAsia="Calibri" w:hAnsi="Calibri"/>
                <w:sz w:val="12"/>
                <w:szCs w:val="12"/>
                <w:b w:val="1"/>
                <w:bCs w:val="1"/>
                <w:color w:val="FFFFFF"/>
              </w:rPr>
              <w:t>Regulatory Capital</w:t>
            </w:r>
          </w:p>
        </w:tc>
        <w:tc>
          <w:tcPr>
            <w:tcW w:w="640" w:type="dxa"/>
            <w:vAlign w:val="bottom"/>
            <w:shd w:val="clear" w:color="auto" w:fill="33CCCC"/>
          </w:tcPr>
          <w:p>
            <w:pPr>
              <w:spacing w:after="0"/>
              <w:rPr>
                <w:sz w:val="12"/>
                <w:szCs w:val="12"/>
                <w:color w:val="auto"/>
              </w:rPr>
            </w:pPr>
          </w:p>
        </w:tc>
        <w:tc>
          <w:tcPr>
            <w:tcW w:w="1600" w:type="dxa"/>
            <w:vAlign w:val="bottom"/>
            <w:tcBorders>
              <w:right w:val="single" w:sz="8" w:color="auto"/>
            </w:tcBorders>
            <w:vMerge w:val="restart"/>
            <w:shd w:val="clear" w:color="auto" w:fill="33CCCC"/>
          </w:tcPr>
          <w:p>
            <w:pPr>
              <w:jc w:val="right"/>
              <w:ind w:right="940"/>
              <w:spacing w:after="0"/>
              <w:rPr>
                <w:sz w:val="20"/>
                <w:szCs w:val="20"/>
                <w:color w:val="auto"/>
              </w:rPr>
            </w:pPr>
            <w:r>
              <w:rPr>
                <w:rFonts w:ascii="Calibri" w:cs="Calibri" w:eastAsia="Calibri" w:hAnsi="Calibri"/>
                <w:sz w:val="12"/>
                <w:szCs w:val="12"/>
                <w:color w:val="FFFFFF"/>
              </w:rPr>
              <w:t>1Q23</w:t>
            </w:r>
          </w:p>
        </w:tc>
        <w:tc>
          <w:tcPr>
            <w:tcW w:w="0" w:type="dxa"/>
            <w:vAlign w:val="bottom"/>
          </w:tcPr>
          <w:p>
            <w:pPr>
              <w:spacing w:after="0"/>
              <w:rPr>
                <w:sz w:val="1"/>
                <w:szCs w:val="1"/>
                <w:color w:val="auto"/>
              </w:rPr>
            </w:pPr>
          </w:p>
        </w:tc>
      </w:tr>
      <w:tr>
        <w:trPr>
          <w:trHeight w:val="78"/>
        </w:trPr>
        <w:tc>
          <w:tcPr>
            <w:tcW w:w="5640" w:type="dxa"/>
            <w:vAlign w:val="bottom"/>
            <w:tcBorders>
              <w:left w:val="single" w:sz="8" w:color="auto"/>
              <w:right w:val="single" w:sz="8" w:color="auto"/>
            </w:tcBorders>
            <w:vMerge w:val="restart"/>
            <w:shd w:val="clear" w:color="auto" w:fill="33CCCC"/>
          </w:tcPr>
          <w:p>
            <w:pPr>
              <w:ind w:left="40"/>
              <w:spacing w:after="0"/>
              <w:rPr>
                <w:sz w:val="20"/>
                <w:szCs w:val="20"/>
                <w:color w:val="auto"/>
              </w:rPr>
            </w:pPr>
            <w:r>
              <w:rPr>
                <w:rFonts w:ascii="Calibri" w:cs="Calibri" w:eastAsia="Calibri" w:hAnsi="Calibri"/>
                <w:sz w:val="12"/>
                <w:szCs w:val="12"/>
                <w:color w:val="FFFFFF"/>
              </w:rPr>
              <w:t>(S/ thousand)</w:t>
            </w:r>
          </w:p>
        </w:tc>
        <w:tc>
          <w:tcPr>
            <w:tcW w:w="640" w:type="dxa"/>
            <w:vAlign w:val="bottom"/>
            <w:shd w:val="clear" w:color="auto" w:fill="33CCCC"/>
          </w:tcPr>
          <w:p>
            <w:pPr>
              <w:spacing w:after="0"/>
              <w:rPr>
                <w:sz w:val="6"/>
                <w:szCs w:val="6"/>
                <w:color w:val="auto"/>
              </w:rPr>
            </w:pPr>
          </w:p>
        </w:tc>
        <w:tc>
          <w:tcPr>
            <w:tcW w:w="1600" w:type="dxa"/>
            <w:vAlign w:val="bottom"/>
            <w:tcBorders>
              <w:right w:val="single" w:sz="8" w:color="auto"/>
            </w:tcBorders>
            <w:vMerge w:val="continue"/>
            <w:shd w:val="clear" w:color="auto" w:fill="33CCCC"/>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5640" w:type="dxa"/>
            <w:vAlign w:val="bottom"/>
            <w:tcBorders>
              <w:left w:val="single" w:sz="8" w:color="auto"/>
              <w:bottom w:val="single" w:sz="8" w:color="33CCCC"/>
              <w:right w:val="single" w:sz="8" w:color="auto"/>
            </w:tcBorders>
            <w:vMerge w:val="continue"/>
            <w:shd w:val="clear" w:color="auto" w:fill="33CCCC"/>
          </w:tcPr>
          <w:p>
            <w:pPr>
              <w:spacing w:after="0"/>
              <w:rPr>
                <w:sz w:val="10"/>
                <w:szCs w:val="10"/>
                <w:color w:val="auto"/>
              </w:rPr>
            </w:pPr>
          </w:p>
        </w:tc>
        <w:tc>
          <w:tcPr>
            <w:tcW w:w="640" w:type="dxa"/>
            <w:vAlign w:val="bottom"/>
            <w:tcBorders>
              <w:bottom w:val="single" w:sz="8" w:color="33CCCC"/>
            </w:tcBorders>
            <w:shd w:val="clear" w:color="auto" w:fill="33CCCC"/>
          </w:tcPr>
          <w:p>
            <w:pPr>
              <w:spacing w:after="0"/>
              <w:rPr>
                <w:sz w:val="10"/>
                <w:szCs w:val="10"/>
                <w:color w:val="auto"/>
              </w:rPr>
            </w:pPr>
          </w:p>
        </w:tc>
        <w:tc>
          <w:tcPr>
            <w:tcW w:w="1600" w:type="dxa"/>
            <w:vAlign w:val="bottom"/>
            <w:tcBorders>
              <w:bottom w:val="single" w:sz="8" w:color="33CCCC"/>
              <w:right w:val="single" w:sz="8" w:color="auto"/>
            </w:tcBorders>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640" w:type="dxa"/>
            <w:vAlign w:val="bottom"/>
            <w:tcBorders>
              <w:top w:val="single" w:sz="8" w:color="auto"/>
              <w:left w:val="single" w:sz="8" w:color="auto"/>
              <w:right w:val="single" w:sz="8" w:color="auto"/>
            </w:tcBorders>
          </w:tcPr>
          <w:p>
            <w:pPr>
              <w:ind w:left="40"/>
              <w:spacing w:after="0" w:line="145" w:lineRule="exact"/>
              <w:rPr>
                <w:sz w:val="20"/>
                <w:szCs w:val="20"/>
                <w:color w:val="auto"/>
              </w:rPr>
            </w:pPr>
            <w:r>
              <w:rPr>
                <w:rFonts w:ascii="Calibri" w:cs="Calibri" w:eastAsia="Calibri" w:hAnsi="Calibri"/>
                <w:sz w:val="12"/>
                <w:szCs w:val="12"/>
                <w:color w:val="auto"/>
              </w:rPr>
              <w:t>Capital Stock</w:t>
            </w:r>
          </w:p>
        </w:tc>
        <w:tc>
          <w:tcPr>
            <w:tcW w:w="640" w:type="dxa"/>
            <w:vAlign w:val="bottom"/>
            <w:tcBorders>
              <w:top w:val="single" w:sz="8" w:color="auto"/>
            </w:tcBorders>
          </w:tcPr>
          <w:p>
            <w:pPr>
              <w:spacing w:after="0"/>
              <w:rPr>
                <w:sz w:val="12"/>
                <w:szCs w:val="12"/>
                <w:color w:val="auto"/>
              </w:rPr>
            </w:pPr>
          </w:p>
        </w:tc>
        <w:tc>
          <w:tcPr>
            <w:tcW w:w="1600" w:type="dxa"/>
            <w:vAlign w:val="bottom"/>
            <w:tcBorders>
              <w:top w:val="single" w:sz="8" w:color="auto"/>
              <w:right w:val="single" w:sz="8" w:color="auto"/>
            </w:tcBorders>
          </w:tcPr>
          <w:p>
            <w:pPr>
              <w:jc w:val="right"/>
              <w:spacing w:after="0" w:line="145" w:lineRule="exact"/>
              <w:rPr>
                <w:sz w:val="20"/>
                <w:szCs w:val="20"/>
                <w:color w:val="auto"/>
              </w:rPr>
            </w:pPr>
            <w:r>
              <w:rPr>
                <w:rFonts w:ascii="Calibri" w:cs="Calibri" w:eastAsia="Calibri" w:hAnsi="Calibri"/>
                <w:sz w:val="12"/>
                <w:szCs w:val="12"/>
                <w:color w:val="auto"/>
              </w:rPr>
              <w:t>12,973,175</w:t>
            </w: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Reserves</w:t>
            </w:r>
          </w:p>
        </w:tc>
        <w:tc>
          <w:tcPr>
            <w:tcW w:w="640" w:type="dxa"/>
            <w:vAlign w:val="bottom"/>
          </w:tcPr>
          <w:p>
            <w:pPr>
              <w:spacing w:after="0"/>
              <w:rPr>
                <w:sz w:val="14"/>
                <w:szCs w:val="14"/>
                <w:color w:val="auto"/>
              </w:rPr>
            </w:pP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7,038,881</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Accumulated earnings</w:t>
            </w:r>
          </w:p>
        </w:tc>
        <w:tc>
          <w:tcPr>
            <w:tcW w:w="640" w:type="dxa"/>
            <w:vAlign w:val="bottom"/>
          </w:tcPr>
          <w:p>
            <w:pPr>
              <w:spacing w:after="0"/>
              <w:rPr>
                <w:sz w:val="14"/>
                <w:szCs w:val="14"/>
                <w:color w:val="auto"/>
              </w:rPr>
            </w:pP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2,050,746</w:t>
            </w:r>
          </w:p>
        </w:tc>
        <w:tc>
          <w:tcPr>
            <w:tcW w:w="0" w:type="dxa"/>
            <w:vAlign w:val="bottom"/>
          </w:tcPr>
          <w:p>
            <w:pPr>
              <w:spacing w:after="0"/>
              <w:rPr>
                <w:sz w:val="1"/>
                <w:szCs w:val="1"/>
                <w:color w:val="auto"/>
              </w:rPr>
            </w:pPr>
          </w:p>
        </w:tc>
      </w:tr>
      <w:tr>
        <w:trPr>
          <w:trHeight w:val="196"/>
        </w:trPr>
        <w:tc>
          <w:tcPr>
            <w:tcW w:w="5640" w:type="dxa"/>
            <w:vAlign w:val="bottom"/>
            <w:tcBorders>
              <w:left w:val="single" w:sz="8" w:color="auto"/>
              <w:right w:val="single" w:sz="8" w:color="auto"/>
            </w:tcBorders>
          </w:tcPr>
          <w:p>
            <w:pPr>
              <w:ind w:left="40"/>
              <w:spacing w:after="0" w:line="196" w:lineRule="exact"/>
              <w:rPr>
                <w:sz w:val="20"/>
                <w:szCs w:val="20"/>
                <w:color w:val="auto"/>
              </w:rPr>
            </w:pPr>
            <w:r>
              <w:rPr>
                <w:rFonts w:ascii="Calibri" w:cs="Calibri" w:eastAsia="Calibri" w:hAnsi="Calibri"/>
                <w:sz w:val="12"/>
                <w:szCs w:val="12"/>
                <w:color w:val="auto"/>
              </w:rPr>
              <w:t xml:space="preserve">Loan loss reserves </w:t>
            </w:r>
            <w:r>
              <w:rPr>
                <w:rFonts w:ascii="Calibri" w:cs="Calibri" w:eastAsia="Calibri" w:hAnsi="Calibri"/>
                <w:sz w:val="20"/>
                <w:szCs w:val="20"/>
                <w:color w:val="auto"/>
                <w:vertAlign w:val="superscript"/>
              </w:rPr>
              <w:t>(1)</w:t>
            </w:r>
          </w:p>
        </w:tc>
        <w:tc>
          <w:tcPr>
            <w:tcW w:w="640" w:type="dxa"/>
            <w:vAlign w:val="bottom"/>
          </w:tcPr>
          <w:p>
            <w:pPr>
              <w:spacing w:after="0"/>
              <w:rPr>
                <w:sz w:val="17"/>
                <w:szCs w:val="17"/>
                <w:color w:val="auto"/>
              </w:rPr>
            </w:pP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1,634,876</w:t>
            </w: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tcPr>
          <w:p>
            <w:pPr>
              <w:ind w:left="40"/>
              <w:spacing w:after="0" w:line="145" w:lineRule="exact"/>
              <w:rPr>
                <w:sz w:val="20"/>
                <w:szCs w:val="20"/>
                <w:color w:val="auto"/>
              </w:rPr>
            </w:pPr>
            <w:r>
              <w:rPr>
                <w:rFonts w:ascii="Calibri" w:cs="Calibri" w:eastAsia="Calibri" w:hAnsi="Calibri"/>
                <w:sz w:val="12"/>
                <w:szCs w:val="12"/>
                <w:color w:val="auto"/>
              </w:rPr>
              <w:t>Perpetual subordinated debt</w:t>
            </w:r>
          </w:p>
        </w:tc>
        <w:tc>
          <w:tcPr>
            <w:tcW w:w="640" w:type="dxa"/>
            <w:vAlign w:val="bottom"/>
          </w:tcPr>
          <w:p>
            <w:pPr>
              <w:spacing w:after="0"/>
              <w:rPr>
                <w:sz w:val="12"/>
                <w:szCs w:val="12"/>
                <w:color w:val="auto"/>
              </w:rPr>
            </w:pPr>
          </w:p>
        </w:tc>
        <w:tc>
          <w:tcPr>
            <w:tcW w:w="1600" w:type="dxa"/>
            <w:vAlign w:val="bottom"/>
            <w:tcBorders>
              <w:right w:val="single" w:sz="8" w:color="auto"/>
            </w:tcBorders>
          </w:tcPr>
          <w:p>
            <w:pPr>
              <w:jc w:val="right"/>
              <w:spacing w:after="0" w:line="145" w:lineRule="exact"/>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Subordinated Debt</w:t>
            </w:r>
          </w:p>
        </w:tc>
        <w:tc>
          <w:tcPr>
            <w:tcW w:w="640" w:type="dxa"/>
            <w:vAlign w:val="bottom"/>
          </w:tcPr>
          <w:p>
            <w:pPr>
              <w:spacing w:after="0"/>
              <w:rPr>
                <w:sz w:val="14"/>
                <w:szCs w:val="14"/>
                <w:color w:val="auto"/>
              </w:rPr>
            </w:pP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5,078,700</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Unrealized Proft or Losses</w:t>
            </w:r>
          </w:p>
        </w:tc>
        <w:tc>
          <w:tcPr>
            <w:tcW w:w="640" w:type="dxa"/>
            <w:vAlign w:val="bottom"/>
          </w:tcPr>
          <w:p>
            <w:pPr>
              <w:spacing w:after="0"/>
              <w:rPr>
                <w:sz w:val="14"/>
                <w:szCs w:val="14"/>
                <w:color w:val="auto"/>
              </w:rPr>
            </w:pP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(1,046,284)</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Investment in subsidiaries and others, net of unrealized proft and net income in subsidiaries</w:t>
            </w:r>
          </w:p>
        </w:tc>
        <w:tc>
          <w:tcPr>
            <w:tcW w:w="640" w:type="dxa"/>
            <w:vAlign w:val="bottom"/>
          </w:tcPr>
          <w:p>
            <w:pPr>
              <w:spacing w:after="0"/>
              <w:rPr>
                <w:sz w:val="14"/>
                <w:szCs w:val="14"/>
                <w:color w:val="auto"/>
              </w:rPr>
            </w:pP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(2,613,563)</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Intangibles</w:t>
            </w:r>
          </w:p>
        </w:tc>
        <w:tc>
          <w:tcPr>
            <w:tcW w:w="640" w:type="dxa"/>
            <w:vAlign w:val="bottom"/>
          </w:tcPr>
          <w:p>
            <w:pPr>
              <w:spacing w:after="0"/>
              <w:rPr>
                <w:sz w:val="14"/>
                <w:szCs w:val="14"/>
                <w:color w:val="auto"/>
              </w:rPr>
            </w:pP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(934,718)</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Goodwill</w:t>
            </w:r>
          </w:p>
        </w:tc>
        <w:tc>
          <w:tcPr>
            <w:tcW w:w="640" w:type="dxa"/>
            <w:vAlign w:val="bottom"/>
          </w:tcPr>
          <w:p>
            <w:pPr>
              <w:spacing w:after="0"/>
              <w:rPr>
                <w:sz w:val="14"/>
                <w:szCs w:val="14"/>
                <w:color w:val="auto"/>
              </w:rPr>
            </w:pP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(122,083)</w:t>
            </w:r>
          </w:p>
        </w:tc>
        <w:tc>
          <w:tcPr>
            <w:tcW w:w="0" w:type="dxa"/>
            <w:vAlign w:val="bottom"/>
          </w:tcPr>
          <w:p>
            <w:pPr>
              <w:spacing w:after="0"/>
              <w:rPr>
                <w:sz w:val="1"/>
                <w:szCs w:val="1"/>
                <w:color w:val="auto"/>
              </w:rPr>
            </w:pPr>
          </w:p>
        </w:tc>
      </w:tr>
      <w:tr>
        <w:trPr>
          <w:trHeight w:val="29"/>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tcPr>
          <w:p>
            <w:pPr>
              <w:ind w:left="40"/>
              <w:spacing w:after="0" w:line="145" w:lineRule="exact"/>
              <w:rPr>
                <w:sz w:val="20"/>
                <w:szCs w:val="20"/>
                <w:color w:val="auto"/>
              </w:rPr>
            </w:pPr>
            <w:r>
              <w:rPr>
                <w:rFonts w:ascii="Calibri" w:cs="Calibri" w:eastAsia="Calibri" w:hAnsi="Calibri"/>
                <w:sz w:val="12"/>
                <w:szCs w:val="12"/>
                <w:b w:val="1"/>
                <w:bCs w:val="1"/>
                <w:color w:val="auto"/>
              </w:rPr>
              <w:t>Total Regulatory Capital</w:t>
            </w:r>
          </w:p>
        </w:tc>
        <w:tc>
          <w:tcPr>
            <w:tcW w:w="640" w:type="dxa"/>
            <w:vAlign w:val="bottom"/>
          </w:tcPr>
          <w:p>
            <w:pPr>
              <w:spacing w:after="0"/>
              <w:rPr>
                <w:sz w:val="12"/>
                <w:szCs w:val="12"/>
                <w:color w:val="auto"/>
              </w:rPr>
            </w:pPr>
          </w:p>
        </w:tc>
        <w:tc>
          <w:tcPr>
            <w:tcW w:w="1600" w:type="dxa"/>
            <w:vAlign w:val="bottom"/>
            <w:tcBorders>
              <w:right w:val="single" w:sz="8" w:color="auto"/>
            </w:tcBorders>
          </w:tcPr>
          <w:p>
            <w:pPr>
              <w:jc w:val="right"/>
              <w:spacing w:after="0" w:line="145" w:lineRule="exact"/>
              <w:rPr>
                <w:sz w:val="20"/>
                <w:szCs w:val="20"/>
                <w:color w:val="auto"/>
              </w:rPr>
            </w:pPr>
            <w:r>
              <w:rPr>
                <w:rFonts w:ascii="Calibri" w:cs="Calibri" w:eastAsia="Calibri" w:hAnsi="Calibri"/>
                <w:sz w:val="12"/>
                <w:szCs w:val="12"/>
                <w:b w:val="1"/>
                <w:bCs w:val="1"/>
                <w:color w:val="auto"/>
              </w:rPr>
              <w:t>24,059,729</w:t>
            </w:r>
          </w:p>
        </w:tc>
        <w:tc>
          <w:tcPr>
            <w:tcW w:w="0" w:type="dxa"/>
            <w:vAlign w:val="bottom"/>
          </w:tcPr>
          <w:p>
            <w:pPr>
              <w:spacing w:after="0"/>
              <w:rPr>
                <w:sz w:val="1"/>
                <w:szCs w:val="1"/>
                <w:color w:val="auto"/>
              </w:rPr>
            </w:pPr>
          </w:p>
        </w:tc>
      </w:tr>
      <w:tr>
        <w:trPr>
          <w:trHeight w:val="28"/>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64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Calibri" w:cs="Calibri" w:eastAsia="Calibri" w:hAnsi="Calibri"/>
                <w:sz w:val="11"/>
                <w:szCs w:val="11"/>
                <w:b w:val="1"/>
                <w:bCs w:val="1"/>
                <w:color w:val="auto"/>
              </w:rPr>
              <w:t xml:space="preserve">Tier 1 Common Equity </w:t>
            </w:r>
            <w:r>
              <w:rPr>
                <w:rFonts w:ascii="Calibri" w:cs="Calibri" w:eastAsia="Calibri" w:hAnsi="Calibri"/>
                <w:sz w:val="18"/>
                <w:szCs w:val="18"/>
                <w:b w:val="1"/>
                <w:bCs w:val="1"/>
                <w:color w:val="auto"/>
                <w:vertAlign w:val="superscript"/>
              </w:rPr>
              <w:t>(2)</w:t>
            </w:r>
          </w:p>
        </w:tc>
        <w:tc>
          <w:tcPr>
            <w:tcW w:w="64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right"/>
              <w:spacing w:after="0" w:line="145" w:lineRule="exact"/>
              <w:rPr>
                <w:sz w:val="20"/>
                <w:szCs w:val="20"/>
                <w:color w:val="auto"/>
              </w:rPr>
            </w:pPr>
            <w:r>
              <w:rPr>
                <w:rFonts w:ascii="Calibri" w:cs="Calibri" w:eastAsia="Calibri" w:hAnsi="Calibri"/>
                <w:sz w:val="12"/>
                <w:szCs w:val="12"/>
                <w:b w:val="1"/>
                <w:bCs w:val="1"/>
                <w:color w:val="auto"/>
              </w:rPr>
              <w:t>17,346,153</w:t>
            </w:r>
          </w:p>
        </w:tc>
        <w:tc>
          <w:tcPr>
            <w:tcW w:w="0" w:type="dxa"/>
            <w:vAlign w:val="bottom"/>
          </w:tcPr>
          <w:p>
            <w:pPr>
              <w:spacing w:after="0"/>
              <w:rPr>
                <w:sz w:val="1"/>
                <w:szCs w:val="1"/>
                <w:color w:val="auto"/>
              </w:rPr>
            </w:pPr>
          </w:p>
        </w:tc>
      </w:tr>
      <w:tr>
        <w:trPr>
          <w:trHeight w:val="173"/>
        </w:trPr>
        <w:tc>
          <w:tcPr>
            <w:tcW w:w="564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Calibri" w:cs="Calibri" w:eastAsia="Calibri" w:hAnsi="Calibri"/>
                <w:sz w:val="11"/>
                <w:szCs w:val="11"/>
                <w:b w:val="1"/>
                <w:bCs w:val="1"/>
                <w:color w:val="auto"/>
              </w:rPr>
              <w:t xml:space="preserve">Regulatory Tier 1 Capital </w:t>
            </w:r>
            <w:r>
              <w:rPr>
                <w:rFonts w:ascii="Calibri" w:cs="Calibri" w:eastAsia="Calibri" w:hAnsi="Calibri"/>
                <w:sz w:val="18"/>
                <w:szCs w:val="18"/>
                <w:b w:val="1"/>
                <w:bCs w:val="1"/>
                <w:color w:val="auto"/>
                <w:vertAlign w:val="superscript"/>
              </w:rPr>
              <w:t>(3)</w:t>
            </w:r>
          </w:p>
        </w:tc>
        <w:tc>
          <w:tcPr>
            <w:tcW w:w="64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right"/>
              <w:spacing w:after="0" w:line="145" w:lineRule="exact"/>
              <w:rPr>
                <w:sz w:val="20"/>
                <w:szCs w:val="20"/>
                <w:color w:val="auto"/>
              </w:rPr>
            </w:pPr>
            <w:r>
              <w:rPr>
                <w:rFonts w:ascii="Calibri" w:cs="Calibri" w:eastAsia="Calibri" w:hAnsi="Calibri"/>
                <w:sz w:val="12"/>
                <w:szCs w:val="12"/>
                <w:b w:val="1"/>
                <w:bCs w:val="1"/>
                <w:color w:val="auto"/>
              </w:rPr>
              <w:t>17,346,153</w:t>
            </w:r>
          </w:p>
        </w:tc>
        <w:tc>
          <w:tcPr>
            <w:tcW w:w="0" w:type="dxa"/>
            <w:vAlign w:val="bottom"/>
          </w:tcPr>
          <w:p>
            <w:pPr>
              <w:spacing w:after="0"/>
              <w:rPr>
                <w:sz w:val="1"/>
                <w:szCs w:val="1"/>
                <w:color w:val="auto"/>
              </w:rPr>
            </w:pPr>
          </w:p>
        </w:tc>
      </w:tr>
      <w:tr>
        <w:trPr>
          <w:trHeight w:val="173"/>
        </w:trPr>
        <w:tc>
          <w:tcPr>
            <w:tcW w:w="564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Calibri" w:cs="Calibri" w:eastAsia="Calibri" w:hAnsi="Calibri"/>
                <w:sz w:val="11"/>
                <w:szCs w:val="11"/>
                <w:b w:val="1"/>
                <w:bCs w:val="1"/>
                <w:color w:val="auto"/>
              </w:rPr>
              <w:t xml:space="preserve">Regulatory Tier 2 Capital </w:t>
            </w:r>
            <w:r>
              <w:rPr>
                <w:rFonts w:ascii="Calibri" w:cs="Calibri" w:eastAsia="Calibri" w:hAnsi="Calibri"/>
                <w:sz w:val="18"/>
                <w:szCs w:val="18"/>
                <w:b w:val="1"/>
                <w:bCs w:val="1"/>
                <w:color w:val="auto"/>
                <w:vertAlign w:val="superscript"/>
              </w:rPr>
              <w:t>(4)</w:t>
            </w:r>
          </w:p>
        </w:tc>
        <w:tc>
          <w:tcPr>
            <w:tcW w:w="64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right"/>
              <w:spacing w:after="0" w:line="145" w:lineRule="exact"/>
              <w:rPr>
                <w:sz w:val="20"/>
                <w:szCs w:val="20"/>
                <w:color w:val="auto"/>
              </w:rPr>
            </w:pPr>
            <w:r>
              <w:rPr>
                <w:rFonts w:ascii="Calibri" w:cs="Calibri" w:eastAsia="Calibri" w:hAnsi="Calibri"/>
                <w:sz w:val="12"/>
                <w:szCs w:val="12"/>
                <w:b w:val="1"/>
                <w:bCs w:val="1"/>
                <w:color w:val="auto"/>
              </w:rPr>
              <w:t>6,713,576</w:t>
            </w:r>
          </w:p>
        </w:tc>
        <w:tc>
          <w:tcPr>
            <w:tcW w:w="0" w:type="dxa"/>
            <w:vAlign w:val="bottom"/>
          </w:tcPr>
          <w:p>
            <w:pPr>
              <w:spacing w:after="0"/>
              <w:rPr>
                <w:sz w:val="1"/>
                <w:szCs w:val="1"/>
                <w:color w:val="auto"/>
              </w:rPr>
            </w:pPr>
          </w:p>
        </w:tc>
      </w:tr>
      <w:tr>
        <w:trPr>
          <w:trHeight w:val="184"/>
        </w:trPr>
        <w:tc>
          <w:tcPr>
            <w:tcW w:w="56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shd w:val="clear" w:color="auto" w:fill="33CCCC"/>
          </w:tcPr>
          <w:p>
            <w:pPr>
              <w:ind w:left="40"/>
              <w:spacing w:after="0" w:line="145" w:lineRule="exact"/>
              <w:rPr>
                <w:sz w:val="20"/>
                <w:szCs w:val="20"/>
                <w:color w:val="auto"/>
              </w:rPr>
            </w:pPr>
            <w:r>
              <w:rPr>
                <w:rFonts w:ascii="Calibri" w:cs="Calibri" w:eastAsia="Calibri" w:hAnsi="Calibri"/>
                <w:sz w:val="12"/>
                <w:szCs w:val="12"/>
                <w:b w:val="1"/>
                <w:bCs w:val="1"/>
                <w:color w:val="FFFFFF"/>
              </w:rPr>
              <w:t>Total risk-weighted assets</w:t>
            </w:r>
          </w:p>
        </w:tc>
        <w:tc>
          <w:tcPr>
            <w:tcW w:w="640" w:type="dxa"/>
            <w:vAlign w:val="bottom"/>
            <w:shd w:val="clear" w:color="auto" w:fill="33CCCC"/>
          </w:tcPr>
          <w:p>
            <w:pPr>
              <w:spacing w:after="0"/>
              <w:rPr>
                <w:sz w:val="12"/>
                <w:szCs w:val="12"/>
                <w:color w:val="auto"/>
              </w:rPr>
            </w:pPr>
          </w:p>
        </w:tc>
        <w:tc>
          <w:tcPr>
            <w:tcW w:w="1600" w:type="dxa"/>
            <w:vAlign w:val="bottom"/>
            <w:tcBorders>
              <w:right w:val="single" w:sz="8" w:color="auto"/>
            </w:tcBorders>
            <w:vMerge w:val="restart"/>
            <w:shd w:val="clear" w:color="auto" w:fill="33CCCC"/>
          </w:tcPr>
          <w:p>
            <w:pPr>
              <w:jc w:val="right"/>
              <w:ind w:right="940"/>
              <w:spacing w:after="0"/>
              <w:rPr>
                <w:sz w:val="20"/>
                <w:szCs w:val="20"/>
                <w:color w:val="auto"/>
              </w:rPr>
            </w:pPr>
            <w:r>
              <w:rPr>
                <w:rFonts w:ascii="Calibri" w:cs="Calibri" w:eastAsia="Calibri" w:hAnsi="Calibri"/>
                <w:sz w:val="12"/>
                <w:szCs w:val="12"/>
                <w:b w:val="1"/>
                <w:bCs w:val="1"/>
                <w:color w:val="FFFFFF"/>
              </w:rPr>
              <w:t>1Q23</w:t>
            </w:r>
          </w:p>
        </w:tc>
        <w:tc>
          <w:tcPr>
            <w:tcW w:w="0" w:type="dxa"/>
            <w:vAlign w:val="bottom"/>
          </w:tcPr>
          <w:p>
            <w:pPr>
              <w:spacing w:after="0"/>
              <w:rPr>
                <w:sz w:val="1"/>
                <w:szCs w:val="1"/>
                <w:color w:val="auto"/>
              </w:rPr>
            </w:pPr>
          </w:p>
        </w:tc>
      </w:tr>
      <w:tr>
        <w:trPr>
          <w:trHeight w:val="78"/>
        </w:trPr>
        <w:tc>
          <w:tcPr>
            <w:tcW w:w="5640" w:type="dxa"/>
            <w:vAlign w:val="bottom"/>
            <w:tcBorders>
              <w:left w:val="single" w:sz="8" w:color="auto"/>
              <w:right w:val="single" w:sz="8" w:color="auto"/>
            </w:tcBorders>
            <w:vMerge w:val="restart"/>
            <w:shd w:val="clear" w:color="auto" w:fill="33CCCC"/>
          </w:tcPr>
          <w:p>
            <w:pPr>
              <w:ind w:left="40"/>
              <w:spacing w:after="0"/>
              <w:rPr>
                <w:sz w:val="20"/>
                <w:szCs w:val="20"/>
                <w:color w:val="auto"/>
              </w:rPr>
            </w:pPr>
            <w:r>
              <w:rPr>
                <w:rFonts w:ascii="Calibri" w:cs="Calibri" w:eastAsia="Calibri" w:hAnsi="Calibri"/>
                <w:sz w:val="12"/>
                <w:szCs w:val="12"/>
                <w:color w:val="FFFFFF"/>
              </w:rPr>
              <w:t>(S/ thousand)</w:t>
            </w:r>
          </w:p>
        </w:tc>
        <w:tc>
          <w:tcPr>
            <w:tcW w:w="640" w:type="dxa"/>
            <w:vAlign w:val="bottom"/>
            <w:shd w:val="clear" w:color="auto" w:fill="33CCCC"/>
          </w:tcPr>
          <w:p>
            <w:pPr>
              <w:spacing w:after="0"/>
              <w:rPr>
                <w:sz w:val="6"/>
                <w:szCs w:val="6"/>
                <w:color w:val="auto"/>
              </w:rPr>
            </w:pPr>
          </w:p>
        </w:tc>
        <w:tc>
          <w:tcPr>
            <w:tcW w:w="1600" w:type="dxa"/>
            <w:vAlign w:val="bottom"/>
            <w:tcBorders>
              <w:right w:val="single" w:sz="8" w:color="auto"/>
            </w:tcBorders>
            <w:vMerge w:val="continue"/>
            <w:shd w:val="clear" w:color="auto" w:fill="33CCCC"/>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5640" w:type="dxa"/>
            <w:vAlign w:val="bottom"/>
            <w:tcBorders>
              <w:left w:val="single" w:sz="8" w:color="auto"/>
              <w:bottom w:val="single" w:sz="8" w:color="33CCCC"/>
              <w:right w:val="single" w:sz="8" w:color="auto"/>
            </w:tcBorders>
            <w:vMerge w:val="continue"/>
            <w:shd w:val="clear" w:color="auto" w:fill="33CCCC"/>
          </w:tcPr>
          <w:p>
            <w:pPr>
              <w:spacing w:after="0"/>
              <w:rPr>
                <w:sz w:val="10"/>
                <w:szCs w:val="10"/>
                <w:color w:val="auto"/>
              </w:rPr>
            </w:pPr>
          </w:p>
        </w:tc>
        <w:tc>
          <w:tcPr>
            <w:tcW w:w="640" w:type="dxa"/>
            <w:vAlign w:val="bottom"/>
            <w:tcBorders>
              <w:bottom w:val="single" w:sz="8" w:color="33CCCC"/>
            </w:tcBorders>
            <w:shd w:val="clear" w:color="auto" w:fill="33CCCC"/>
          </w:tcPr>
          <w:p>
            <w:pPr>
              <w:spacing w:after="0"/>
              <w:rPr>
                <w:sz w:val="10"/>
                <w:szCs w:val="10"/>
                <w:color w:val="auto"/>
              </w:rPr>
            </w:pPr>
          </w:p>
        </w:tc>
        <w:tc>
          <w:tcPr>
            <w:tcW w:w="1600" w:type="dxa"/>
            <w:vAlign w:val="bottom"/>
            <w:tcBorders>
              <w:bottom w:val="single" w:sz="8" w:color="33CCCC"/>
              <w:right w:val="single" w:sz="8" w:color="auto"/>
            </w:tcBorders>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640" w:type="dxa"/>
            <w:vAlign w:val="bottom"/>
            <w:tcBorders>
              <w:top w:val="single" w:sz="8" w:color="auto"/>
              <w:left w:val="single" w:sz="8" w:color="auto"/>
              <w:right w:val="single" w:sz="8" w:color="auto"/>
            </w:tcBorders>
          </w:tcPr>
          <w:p>
            <w:pPr>
              <w:ind w:left="40"/>
              <w:spacing w:after="0" w:line="145" w:lineRule="exact"/>
              <w:rPr>
                <w:sz w:val="20"/>
                <w:szCs w:val="20"/>
                <w:color w:val="auto"/>
              </w:rPr>
            </w:pPr>
            <w:r>
              <w:rPr>
                <w:rFonts w:ascii="Calibri" w:cs="Calibri" w:eastAsia="Calibri" w:hAnsi="Calibri"/>
                <w:sz w:val="12"/>
                <w:szCs w:val="12"/>
                <w:color w:val="auto"/>
              </w:rPr>
              <w:t xml:space="preserve">Market risk-weighted assets </w:t>
            </w:r>
            <w:r>
              <w:rPr>
                <w:rFonts w:ascii="Arial" w:cs="Arial" w:eastAsia="Arial" w:hAnsi="Arial"/>
                <w:sz w:val="10"/>
                <w:szCs w:val="10"/>
                <w:color w:val="auto"/>
              </w:rPr>
              <w:t>(5)</w:t>
            </w:r>
          </w:p>
        </w:tc>
        <w:tc>
          <w:tcPr>
            <w:tcW w:w="640" w:type="dxa"/>
            <w:vAlign w:val="bottom"/>
            <w:tcBorders>
              <w:top w:val="single" w:sz="8" w:color="auto"/>
            </w:tcBorders>
          </w:tcPr>
          <w:p>
            <w:pPr>
              <w:spacing w:after="0"/>
              <w:rPr>
                <w:sz w:val="12"/>
                <w:szCs w:val="12"/>
                <w:color w:val="auto"/>
              </w:rPr>
            </w:pPr>
          </w:p>
        </w:tc>
        <w:tc>
          <w:tcPr>
            <w:tcW w:w="1600" w:type="dxa"/>
            <w:vAlign w:val="bottom"/>
            <w:tcBorders>
              <w:top w:val="single" w:sz="8" w:color="auto"/>
              <w:right w:val="single" w:sz="8" w:color="auto"/>
            </w:tcBorders>
          </w:tcPr>
          <w:p>
            <w:pPr>
              <w:jc w:val="right"/>
              <w:spacing w:after="0" w:line="145" w:lineRule="exact"/>
              <w:rPr>
                <w:sz w:val="20"/>
                <w:szCs w:val="20"/>
                <w:color w:val="auto"/>
              </w:rPr>
            </w:pPr>
            <w:r>
              <w:rPr>
                <w:rFonts w:ascii="Calibri" w:cs="Calibri" w:eastAsia="Calibri" w:hAnsi="Calibri"/>
                <w:sz w:val="12"/>
                <w:szCs w:val="12"/>
                <w:color w:val="auto"/>
              </w:rPr>
              <w:t>1,715,934</w:t>
            </w: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Credit risk-weighted assets</w:t>
            </w:r>
          </w:p>
        </w:tc>
        <w:tc>
          <w:tcPr>
            <w:tcW w:w="640" w:type="dxa"/>
            <w:vAlign w:val="bottom"/>
          </w:tcPr>
          <w:p>
            <w:pPr>
              <w:spacing w:after="0"/>
              <w:rPr>
                <w:sz w:val="14"/>
                <w:szCs w:val="14"/>
                <w:color w:val="auto"/>
              </w:rPr>
            </w:pP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129,623,885</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Operatonal risk-weighted assets</w:t>
            </w:r>
          </w:p>
        </w:tc>
        <w:tc>
          <w:tcPr>
            <w:tcW w:w="640" w:type="dxa"/>
            <w:vAlign w:val="bottom"/>
          </w:tcPr>
          <w:p>
            <w:pPr>
              <w:spacing w:after="0"/>
              <w:rPr>
                <w:sz w:val="14"/>
                <w:szCs w:val="14"/>
                <w:color w:val="auto"/>
              </w:rPr>
            </w:pP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14,880,988</w:t>
            </w:r>
          </w:p>
        </w:tc>
        <w:tc>
          <w:tcPr>
            <w:tcW w:w="0" w:type="dxa"/>
            <w:vAlign w:val="bottom"/>
          </w:tcPr>
          <w:p>
            <w:pPr>
              <w:spacing w:after="0"/>
              <w:rPr>
                <w:sz w:val="1"/>
                <w:szCs w:val="1"/>
                <w:color w:val="auto"/>
              </w:rPr>
            </w:pPr>
          </w:p>
        </w:tc>
      </w:tr>
      <w:tr>
        <w:trPr>
          <w:trHeight w:val="29"/>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tcPr>
          <w:p>
            <w:pPr>
              <w:ind w:left="40"/>
              <w:spacing w:after="0" w:line="145" w:lineRule="exact"/>
              <w:rPr>
                <w:sz w:val="20"/>
                <w:szCs w:val="20"/>
                <w:color w:val="auto"/>
              </w:rPr>
            </w:pPr>
            <w:r>
              <w:rPr>
                <w:rFonts w:ascii="Calibri" w:cs="Calibri" w:eastAsia="Calibri" w:hAnsi="Calibri"/>
                <w:sz w:val="12"/>
                <w:szCs w:val="12"/>
                <w:b w:val="1"/>
                <w:bCs w:val="1"/>
                <w:color w:val="auto"/>
              </w:rPr>
              <w:t>Total</w:t>
            </w:r>
          </w:p>
        </w:tc>
        <w:tc>
          <w:tcPr>
            <w:tcW w:w="640" w:type="dxa"/>
            <w:vAlign w:val="bottom"/>
          </w:tcPr>
          <w:p>
            <w:pPr>
              <w:spacing w:after="0"/>
              <w:rPr>
                <w:sz w:val="12"/>
                <w:szCs w:val="12"/>
                <w:color w:val="auto"/>
              </w:rPr>
            </w:pPr>
          </w:p>
        </w:tc>
        <w:tc>
          <w:tcPr>
            <w:tcW w:w="1600" w:type="dxa"/>
            <w:vAlign w:val="bottom"/>
            <w:tcBorders>
              <w:right w:val="single" w:sz="8" w:color="auto"/>
            </w:tcBorders>
          </w:tcPr>
          <w:p>
            <w:pPr>
              <w:jc w:val="right"/>
              <w:spacing w:after="0" w:line="145" w:lineRule="exact"/>
              <w:rPr>
                <w:sz w:val="20"/>
                <w:szCs w:val="20"/>
                <w:color w:val="auto"/>
              </w:rPr>
            </w:pPr>
            <w:r>
              <w:rPr>
                <w:rFonts w:ascii="Calibri" w:cs="Calibri" w:eastAsia="Calibri" w:hAnsi="Calibri"/>
                <w:sz w:val="12"/>
                <w:szCs w:val="12"/>
                <w:b w:val="1"/>
                <w:bCs w:val="1"/>
                <w:color w:val="auto"/>
              </w:rPr>
              <w:t>146,220,807</w:t>
            </w:r>
          </w:p>
        </w:tc>
        <w:tc>
          <w:tcPr>
            <w:tcW w:w="0" w:type="dxa"/>
            <w:vAlign w:val="bottom"/>
          </w:tcPr>
          <w:p>
            <w:pPr>
              <w:spacing w:after="0"/>
              <w:rPr>
                <w:sz w:val="1"/>
                <w:szCs w:val="1"/>
                <w:color w:val="auto"/>
              </w:rPr>
            </w:pPr>
          </w:p>
        </w:tc>
      </w:tr>
      <w:tr>
        <w:trPr>
          <w:trHeight w:val="28"/>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shd w:val="clear" w:color="auto" w:fill="33CCCC"/>
          </w:tcPr>
          <w:p>
            <w:pPr>
              <w:ind w:left="40"/>
              <w:spacing w:after="0" w:line="145" w:lineRule="exact"/>
              <w:rPr>
                <w:sz w:val="20"/>
                <w:szCs w:val="20"/>
                <w:color w:val="auto"/>
              </w:rPr>
            </w:pPr>
            <w:r>
              <w:rPr>
                <w:rFonts w:ascii="Calibri" w:cs="Calibri" w:eastAsia="Calibri" w:hAnsi="Calibri"/>
                <w:sz w:val="12"/>
                <w:szCs w:val="12"/>
                <w:b w:val="1"/>
                <w:bCs w:val="1"/>
                <w:color w:val="FFFFFF"/>
              </w:rPr>
              <w:t>Capital requirement</w:t>
            </w:r>
          </w:p>
        </w:tc>
        <w:tc>
          <w:tcPr>
            <w:tcW w:w="640" w:type="dxa"/>
            <w:vAlign w:val="bottom"/>
            <w:shd w:val="clear" w:color="auto" w:fill="33CCCC"/>
          </w:tcPr>
          <w:p>
            <w:pPr>
              <w:spacing w:after="0"/>
              <w:rPr>
                <w:sz w:val="12"/>
                <w:szCs w:val="12"/>
                <w:color w:val="auto"/>
              </w:rPr>
            </w:pPr>
          </w:p>
        </w:tc>
        <w:tc>
          <w:tcPr>
            <w:tcW w:w="1600" w:type="dxa"/>
            <w:vAlign w:val="bottom"/>
            <w:tcBorders>
              <w:right w:val="single" w:sz="8" w:color="auto"/>
            </w:tcBorders>
            <w:vMerge w:val="restart"/>
            <w:shd w:val="clear" w:color="auto" w:fill="33CCCC"/>
          </w:tcPr>
          <w:p>
            <w:pPr>
              <w:jc w:val="right"/>
              <w:ind w:right="940"/>
              <w:spacing w:after="0"/>
              <w:rPr>
                <w:sz w:val="20"/>
                <w:szCs w:val="20"/>
                <w:color w:val="auto"/>
              </w:rPr>
            </w:pPr>
            <w:r>
              <w:rPr>
                <w:rFonts w:ascii="Calibri" w:cs="Calibri" w:eastAsia="Calibri" w:hAnsi="Calibri"/>
                <w:sz w:val="12"/>
                <w:szCs w:val="12"/>
                <w:b w:val="1"/>
                <w:bCs w:val="1"/>
                <w:color w:val="FFFFFF"/>
              </w:rPr>
              <w:t>1Q23</w:t>
            </w:r>
          </w:p>
        </w:tc>
        <w:tc>
          <w:tcPr>
            <w:tcW w:w="0" w:type="dxa"/>
            <w:vAlign w:val="bottom"/>
          </w:tcPr>
          <w:p>
            <w:pPr>
              <w:spacing w:after="0"/>
              <w:rPr>
                <w:sz w:val="1"/>
                <w:szCs w:val="1"/>
                <w:color w:val="auto"/>
              </w:rPr>
            </w:pPr>
          </w:p>
        </w:tc>
      </w:tr>
      <w:tr>
        <w:trPr>
          <w:trHeight w:val="78"/>
        </w:trPr>
        <w:tc>
          <w:tcPr>
            <w:tcW w:w="5640" w:type="dxa"/>
            <w:vAlign w:val="bottom"/>
            <w:tcBorders>
              <w:left w:val="single" w:sz="8" w:color="auto"/>
              <w:right w:val="single" w:sz="8" w:color="auto"/>
            </w:tcBorders>
            <w:vMerge w:val="restart"/>
            <w:shd w:val="clear" w:color="auto" w:fill="33CCCC"/>
          </w:tcPr>
          <w:p>
            <w:pPr>
              <w:ind w:left="40"/>
              <w:spacing w:after="0"/>
              <w:rPr>
                <w:sz w:val="20"/>
                <w:szCs w:val="20"/>
                <w:color w:val="auto"/>
              </w:rPr>
            </w:pPr>
            <w:r>
              <w:rPr>
                <w:rFonts w:ascii="Calibri" w:cs="Calibri" w:eastAsia="Calibri" w:hAnsi="Calibri"/>
                <w:sz w:val="12"/>
                <w:szCs w:val="12"/>
                <w:color w:val="FFFFFF"/>
              </w:rPr>
              <w:t>(S/ thousand)</w:t>
            </w:r>
          </w:p>
        </w:tc>
        <w:tc>
          <w:tcPr>
            <w:tcW w:w="640" w:type="dxa"/>
            <w:vAlign w:val="bottom"/>
            <w:shd w:val="clear" w:color="auto" w:fill="33CCCC"/>
          </w:tcPr>
          <w:p>
            <w:pPr>
              <w:spacing w:after="0"/>
              <w:rPr>
                <w:sz w:val="6"/>
                <w:szCs w:val="6"/>
                <w:color w:val="auto"/>
              </w:rPr>
            </w:pPr>
          </w:p>
        </w:tc>
        <w:tc>
          <w:tcPr>
            <w:tcW w:w="1600" w:type="dxa"/>
            <w:vAlign w:val="bottom"/>
            <w:tcBorders>
              <w:right w:val="single" w:sz="8" w:color="auto"/>
            </w:tcBorders>
            <w:vMerge w:val="continue"/>
            <w:shd w:val="clear" w:color="auto" w:fill="33CCCC"/>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5640" w:type="dxa"/>
            <w:vAlign w:val="bottom"/>
            <w:tcBorders>
              <w:left w:val="single" w:sz="8" w:color="auto"/>
              <w:bottom w:val="single" w:sz="8" w:color="33CCCC"/>
              <w:right w:val="single" w:sz="8" w:color="auto"/>
            </w:tcBorders>
            <w:vMerge w:val="continue"/>
            <w:shd w:val="clear" w:color="auto" w:fill="33CCCC"/>
          </w:tcPr>
          <w:p>
            <w:pPr>
              <w:spacing w:after="0"/>
              <w:rPr>
                <w:sz w:val="10"/>
                <w:szCs w:val="10"/>
                <w:color w:val="auto"/>
              </w:rPr>
            </w:pPr>
          </w:p>
        </w:tc>
        <w:tc>
          <w:tcPr>
            <w:tcW w:w="640" w:type="dxa"/>
            <w:vAlign w:val="bottom"/>
            <w:tcBorders>
              <w:bottom w:val="single" w:sz="8" w:color="33CCCC"/>
            </w:tcBorders>
            <w:shd w:val="clear" w:color="auto" w:fill="33CCCC"/>
          </w:tcPr>
          <w:p>
            <w:pPr>
              <w:spacing w:after="0"/>
              <w:rPr>
                <w:sz w:val="10"/>
                <w:szCs w:val="10"/>
                <w:color w:val="auto"/>
              </w:rPr>
            </w:pPr>
          </w:p>
        </w:tc>
        <w:tc>
          <w:tcPr>
            <w:tcW w:w="1600" w:type="dxa"/>
            <w:vAlign w:val="bottom"/>
            <w:tcBorders>
              <w:bottom w:val="single" w:sz="8" w:color="33CCCC"/>
              <w:right w:val="single" w:sz="8" w:color="auto"/>
            </w:tcBorders>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640" w:type="dxa"/>
            <w:vAlign w:val="bottom"/>
            <w:tcBorders>
              <w:top w:val="single" w:sz="8" w:color="auto"/>
              <w:left w:val="single" w:sz="8" w:color="auto"/>
              <w:right w:val="single" w:sz="8" w:color="auto"/>
            </w:tcBorders>
          </w:tcPr>
          <w:p>
            <w:pPr>
              <w:ind w:left="40"/>
              <w:spacing w:after="0" w:line="169" w:lineRule="exact"/>
              <w:rPr>
                <w:sz w:val="20"/>
                <w:szCs w:val="20"/>
                <w:color w:val="auto"/>
              </w:rPr>
            </w:pPr>
            <w:r>
              <w:rPr>
                <w:rFonts w:ascii="Calibri" w:cs="Calibri" w:eastAsia="Calibri" w:hAnsi="Calibri"/>
                <w:sz w:val="11"/>
                <w:szCs w:val="11"/>
                <w:color w:val="auto"/>
              </w:rPr>
              <w:t xml:space="preserve">Market risk capital requirement </w:t>
            </w:r>
            <w:r>
              <w:rPr>
                <w:rFonts w:ascii="Calibri" w:cs="Calibri" w:eastAsia="Calibri" w:hAnsi="Calibri"/>
                <w:sz w:val="18"/>
                <w:szCs w:val="18"/>
                <w:color w:val="auto"/>
                <w:vertAlign w:val="superscript"/>
              </w:rPr>
              <w:t>(5)</w:t>
            </w:r>
          </w:p>
        </w:tc>
        <w:tc>
          <w:tcPr>
            <w:tcW w:w="640" w:type="dxa"/>
            <w:vAlign w:val="bottom"/>
            <w:tcBorders>
              <w:top w:val="single" w:sz="8" w:color="auto"/>
            </w:tcBorders>
          </w:tcPr>
          <w:p>
            <w:pPr>
              <w:spacing w:after="0"/>
              <w:rPr>
                <w:sz w:val="14"/>
                <w:szCs w:val="14"/>
                <w:color w:val="auto"/>
              </w:rPr>
            </w:pPr>
          </w:p>
        </w:tc>
        <w:tc>
          <w:tcPr>
            <w:tcW w:w="1600" w:type="dxa"/>
            <w:vAlign w:val="bottom"/>
            <w:tcBorders>
              <w:top w:val="single" w:sz="8" w:color="auto"/>
              <w:right w:val="single" w:sz="8" w:color="auto"/>
            </w:tcBorders>
          </w:tcPr>
          <w:p>
            <w:pPr>
              <w:jc w:val="right"/>
              <w:spacing w:after="0" w:line="145" w:lineRule="exact"/>
              <w:rPr>
                <w:sz w:val="20"/>
                <w:szCs w:val="20"/>
                <w:color w:val="auto"/>
              </w:rPr>
            </w:pPr>
            <w:r>
              <w:rPr>
                <w:rFonts w:ascii="Calibri" w:cs="Calibri" w:eastAsia="Calibri" w:hAnsi="Calibri"/>
                <w:sz w:val="12"/>
                <w:szCs w:val="12"/>
                <w:color w:val="auto"/>
              </w:rPr>
              <w:t>171,589</w:t>
            </w: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tcPr>
          <w:p>
            <w:pPr>
              <w:ind w:left="40"/>
              <w:spacing w:after="0" w:line="145" w:lineRule="exact"/>
              <w:rPr>
                <w:sz w:val="20"/>
                <w:szCs w:val="20"/>
                <w:color w:val="auto"/>
              </w:rPr>
            </w:pPr>
            <w:r>
              <w:rPr>
                <w:rFonts w:ascii="Calibri" w:cs="Calibri" w:eastAsia="Calibri" w:hAnsi="Calibri"/>
                <w:sz w:val="12"/>
                <w:szCs w:val="12"/>
                <w:color w:val="auto"/>
              </w:rPr>
              <w:t>Credit risk capital requirement</w:t>
            </w:r>
          </w:p>
        </w:tc>
        <w:tc>
          <w:tcPr>
            <w:tcW w:w="640" w:type="dxa"/>
            <w:vAlign w:val="bottom"/>
          </w:tcPr>
          <w:p>
            <w:pPr>
              <w:spacing w:after="0"/>
              <w:rPr>
                <w:sz w:val="12"/>
                <w:szCs w:val="12"/>
                <w:color w:val="auto"/>
              </w:rPr>
            </w:pPr>
          </w:p>
        </w:tc>
        <w:tc>
          <w:tcPr>
            <w:tcW w:w="1600" w:type="dxa"/>
            <w:vAlign w:val="bottom"/>
            <w:tcBorders>
              <w:right w:val="single" w:sz="8" w:color="auto"/>
            </w:tcBorders>
          </w:tcPr>
          <w:p>
            <w:pPr>
              <w:jc w:val="right"/>
              <w:spacing w:after="0" w:line="145" w:lineRule="exact"/>
              <w:rPr>
                <w:sz w:val="20"/>
                <w:szCs w:val="20"/>
                <w:color w:val="auto"/>
              </w:rPr>
            </w:pPr>
            <w:r>
              <w:rPr>
                <w:rFonts w:ascii="Calibri" w:cs="Calibri" w:eastAsia="Calibri" w:hAnsi="Calibri"/>
                <w:sz w:val="12"/>
                <w:szCs w:val="12"/>
                <w:color w:val="auto"/>
              </w:rPr>
              <w:t>11,018,030</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Operatonal risk capital requirement</w:t>
            </w:r>
          </w:p>
        </w:tc>
        <w:tc>
          <w:tcPr>
            <w:tcW w:w="640" w:type="dxa"/>
            <w:vAlign w:val="bottom"/>
          </w:tcPr>
          <w:p>
            <w:pPr>
              <w:spacing w:after="0"/>
              <w:rPr>
                <w:sz w:val="14"/>
                <w:szCs w:val="14"/>
                <w:color w:val="auto"/>
              </w:rPr>
            </w:pP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1,488,062</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Additonal capital requirements</w:t>
            </w:r>
          </w:p>
        </w:tc>
        <w:tc>
          <w:tcPr>
            <w:tcW w:w="640" w:type="dxa"/>
            <w:vAlign w:val="bottom"/>
          </w:tcPr>
          <w:p>
            <w:pPr>
              <w:spacing w:after="0"/>
              <w:rPr>
                <w:sz w:val="14"/>
                <w:szCs w:val="14"/>
                <w:color w:val="auto"/>
              </w:rPr>
            </w:pP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3,534,427</w:t>
            </w:r>
          </w:p>
        </w:tc>
        <w:tc>
          <w:tcPr>
            <w:tcW w:w="0" w:type="dxa"/>
            <w:vAlign w:val="bottom"/>
          </w:tcPr>
          <w:p>
            <w:pPr>
              <w:spacing w:after="0"/>
              <w:rPr>
                <w:sz w:val="1"/>
                <w:szCs w:val="1"/>
                <w:color w:val="auto"/>
              </w:rPr>
            </w:pPr>
          </w:p>
        </w:tc>
      </w:tr>
      <w:tr>
        <w:trPr>
          <w:trHeight w:val="29"/>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tcPr>
          <w:p>
            <w:pPr>
              <w:ind w:left="40"/>
              <w:spacing w:after="0" w:line="145" w:lineRule="exact"/>
              <w:rPr>
                <w:sz w:val="20"/>
                <w:szCs w:val="20"/>
                <w:color w:val="auto"/>
              </w:rPr>
            </w:pPr>
            <w:r>
              <w:rPr>
                <w:rFonts w:ascii="Calibri" w:cs="Calibri" w:eastAsia="Calibri" w:hAnsi="Calibri"/>
                <w:sz w:val="12"/>
                <w:szCs w:val="12"/>
                <w:b w:val="1"/>
                <w:bCs w:val="1"/>
                <w:color w:val="auto"/>
              </w:rPr>
              <w:t>Total</w:t>
            </w:r>
          </w:p>
        </w:tc>
        <w:tc>
          <w:tcPr>
            <w:tcW w:w="640" w:type="dxa"/>
            <w:vAlign w:val="bottom"/>
          </w:tcPr>
          <w:p>
            <w:pPr>
              <w:spacing w:after="0"/>
              <w:rPr>
                <w:sz w:val="12"/>
                <w:szCs w:val="12"/>
                <w:color w:val="auto"/>
              </w:rPr>
            </w:pPr>
          </w:p>
        </w:tc>
        <w:tc>
          <w:tcPr>
            <w:tcW w:w="1600" w:type="dxa"/>
            <w:vAlign w:val="bottom"/>
            <w:tcBorders>
              <w:right w:val="single" w:sz="8" w:color="auto"/>
            </w:tcBorders>
          </w:tcPr>
          <w:p>
            <w:pPr>
              <w:jc w:val="right"/>
              <w:spacing w:after="0" w:line="145" w:lineRule="exact"/>
              <w:rPr>
                <w:sz w:val="20"/>
                <w:szCs w:val="20"/>
                <w:color w:val="auto"/>
              </w:rPr>
            </w:pPr>
            <w:r>
              <w:rPr>
                <w:rFonts w:ascii="Calibri" w:cs="Calibri" w:eastAsia="Calibri" w:hAnsi="Calibri"/>
                <w:sz w:val="12"/>
                <w:szCs w:val="12"/>
                <w:b w:val="1"/>
                <w:bCs w:val="1"/>
                <w:color w:val="auto"/>
              </w:rPr>
              <w:t>16,212,108</w:t>
            </w:r>
          </w:p>
        </w:tc>
        <w:tc>
          <w:tcPr>
            <w:tcW w:w="0" w:type="dxa"/>
            <w:vAlign w:val="bottom"/>
          </w:tcPr>
          <w:p>
            <w:pPr>
              <w:spacing w:after="0"/>
              <w:rPr>
                <w:sz w:val="1"/>
                <w:szCs w:val="1"/>
                <w:color w:val="auto"/>
              </w:rPr>
            </w:pPr>
          </w:p>
        </w:tc>
      </w:tr>
      <w:tr>
        <w:trPr>
          <w:trHeight w:val="28"/>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29" w:hanging="129"/>
        <w:spacing w:after="0"/>
        <w:tabs>
          <w:tab w:leader="none" w:pos="129" w:val="left"/>
        </w:tabs>
        <w:numPr>
          <w:ilvl w:val="0"/>
          <w:numId w:val="62"/>
        </w:numPr>
        <w:rPr>
          <w:rFonts w:ascii="Calibri" w:cs="Calibri" w:eastAsia="Calibri" w:hAnsi="Calibri"/>
          <w:sz w:val="10"/>
          <w:szCs w:val="10"/>
          <w:color w:val="auto"/>
        </w:rPr>
      </w:pPr>
      <w:r>
        <w:rPr>
          <w:rFonts w:ascii="Calibri" w:cs="Calibri" w:eastAsia="Calibri" w:hAnsi="Calibri"/>
          <w:sz w:val="10"/>
          <w:szCs w:val="10"/>
          <w:color w:val="auto"/>
        </w:rPr>
        <w:t>Up to 1.25% of total risk-weighted assets.</w:t>
      </w:r>
    </w:p>
    <w:p>
      <w:pPr>
        <w:ind w:left="9" w:right="160" w:hanging="9"/>
        <w:spacing w:after="0" w:line="223" w:lineRule="auto"/>
        <w:tabs>
          <w:tab w:leader="none" w:pos="141" w:val="left"/>
        </w:tabs>
        <w:numPr>
          <w:ilvl w:val="0"/>
          <w:numId w:val="62"/>
        </w:numPr>
        <w:rPr>
          <w:rFonts w:ascii="Calibri" w:cs="Calibri" w:eastAsia="Calibri" w:hAnsi="Calibri"/>
          <w:sz w:val="10"/>
          <w:szCs w:val="10"/>
          <w:color w:val="auto"/>
        </w:rPr>
      </w:pPr>
      <w:r>
        <w:rPr>
          <w:rFonts w:ascii="Calibri" w:cs="Calibri" w:eastAsia="Calibri" w:hAnsi="Calibri"/>
          <w:sz w:val="10"/>
          <w:szCs w:val="10"/>
          <w:color w:val="auto"/>
        </w:rPr>
        <w:t>Regulatory Tier 1 Capital = Capital + Legal and other capital reserves + Accumulated earnings with capitalizaton agreement + (0.5 x Unrealized proft and net income in subsidiaries) - Goodwill - (0.5 x Investment in subsidiaries) + Perpetual subordinated debt (maximum amount that can be included is 17.65% of Capital + Reserves + Accumulated earnings with capitalizaton agreement + Unrealized proft and net income in subsidiaries - Goodwill).</w:t>
      </w:r>
    </w:p>
    <w:p>
      <w:pPr>
        <w:ind w:left="129" w:hanging="129"/>
        <w:spacing w:after="0" w:line="223" w:lineRule="auto"/>
        <w:tabs>
          <w:tab w:leader="none" w:pos="129" w:val="left"/>
        </w:tabs>
        <w:numPr>
          <w:ilvl w:val="0"/>
          <w:numId w:val="63"/>
        </w:numPr>
        <w:rPr>
          <w:rFonts w:ascii="Calibri" w:cs="Calibri" w:eastAsia="Calibri" w:hAnsi="Calibri"/>
          <w:sz w:val="10"/>
          <w:szCs w:val="10"/>
          <w:color w:val="auto"/>
        </w:rPr>
      </w:pPr>
      <w:r>
        <w:rPr>
          <w:rFonts w:ascii="Calibri" w:cs="Calibri" w:eastAsia="Calibri" w:hAnsi="Calibri"/>
          <w:sz w:val="10"/>
          <w:szCs w:val="10"/>
          <w:color w:val="auto"/>
        </w:rPr>
        <w:t>Regulatory Tier 1 Capital = Tier 1 Common Equity + Tier 1 Subordinated debt (perpetual)</w:t>
      </w:r>
    </w:p>
    <w:p>
      <w:pPr>
        <w:ind w:left="129" w:hanging="129"/>
        <w:spacing w:after="0" w:line="223" w:lineRule="auto"/>
        <w:tabs>
          <w:tab w:leader="none" w:pos="129" w:val="left"/>
        </w:tabs>
        <w:numPr>
          <w:ilvl w:val="0"/>
          <w:numId w:val="63"/>
        </w:numPr>
        <w:rPr>
          <w:rFonts w:ascii="Calibri" w:cs="Calibri" w:eastAsia="Calibri" w:hAnsi="Calibri"/>
          <w:sz w:val="10"/>
          <w:szCs w:val="10"/>
          <w:color w:val="auto"/>
        </w:rPr>
      </w:pPr>
      <w:r>
        <w:rPr>
          <w:rFonts w:ascii="Calibri" w:cs="Calibri" w:eastAsia="Calibri" w:hAnsi="Calibri"/>
          <w:sz w:val="10"/>
          <w:szCs w:val="10"/>
          <w:color w:val="auto"/>
        </w:rPr>
        <w:t>Regulatory Tier 2 Capital = Deuda Subordinated Debt + Loan los reserves</w:t>
      </w:r>
    </w:p>
    <w:p>
      <w:pPr>
        <w:spacing w:after="0" w:line="203" w:lineRule="exact"/>
        <w:rPr>
          <w:sz w:val="20"/>
          <w:szCs w:val="20"/>
          <w:color w:val="auto"/>
        </w:rPr>
      </w:pPr>
    </w:p>
    <w:p>
      <w:pPr>
        <w:ind w:left="1709"/>
        <w:spacing w:after="0"/>
        <w:rPr>
          <w:sz w:val="20"/>
          <w:szCs w:val="20"/>
          <w:color w:val="auto"/>
        </w:rPr>
      </w:pPr>
      <w:r>
        <w:rPr>
          <w:rFonts w:ascii="Calibri" w:cs="Calibri" w:eastAsia="Calibri" w:hAnsi="Calibri"/>
          <w:sz w:val="15"/>
          <w:szCs w:val="15"/>
          <w:b w:val="1"/>
          <w:bCs w:val="1"/>
          <w:color w:val="auto"/>
        </w:rPr>
        <w:t>Capital ratos</w:t>
      </w:r>
    </w:p>
    <w:p>
      <w:pPr>
        <w:spacing w:after="0" w:line="12" w:lineRule="exact"/>
        <w:rPr>
          <w:sz w:val="20"/>
          <w:szCs w:val="20"/>
          <w:color w:val="auto"/>
        </w:rPr>
      </w:pPr>
    </w:p>
    <w:tbl>
      <w:tblPr>
        <w:tblLayout w:type="fixed"/>
        <w:tblInd w:w="1679" w:type="dxa"/>
        <w:tblCellMar>
          <w:top w:w="0" w:type="dxa"/>
          <w:left w:w="0" w:type="dxa"/>
          <w:bottom w:w="0" w:type="dxa"/>
          <w:right w:w="0" w:type="dxa"/>
        </w:tblCellMar>
      </w:tblPr>
      <w:tr>
        <w:trPr>
          <w:trHeight w:val="167"/>
        </w:trPr>
        <w:tc>
          <w:tcPr>
            <w:tcW w:w="5660" w:type="dxa"/>
            <w:vAlign w:val="bottom"/>
            <w:tcBorders>
              <w:top w:val="single" w:sz="8" w:color="auto"/>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Regulatory Tier 1 rato</w:t>
            </w:r>
          </w:p>
        </w:tc>
        <w:tc>
          <w:tcPr>
            <w:tcW w:w="2260" w:type="dxa"/>
            <w:vAlign w:val="bottom"/>
            <w:tcBorders>
              <w:top w:val="single" w:sz="8" w:color="auto"/>
              <w:right w:val="single" w:sz="8" w:color="auto"/>
            </w:tcBorders>
          </w:tcPr>
          <w:p>
            <w:pPr>
              <w:jc w:val="right"/>
              <w:spacing w:after="0"/>
              <w:rPr>
                <w:sz w:val="20"/>
                <w:szCs w:val="20"/>
                <w:color w:val="auto"/>
              </w:rPr>
            </w:pPr>
            <w:r>
              <w:rPr>
                <w:rFonts w:ascii="Calibri" w:cs="Calibri" w:eastAsia="Calibri" w:hAnsi="Calibri"/>
                <w:sz w:val="12"/>
                <w:szCs w:val="12"/>
                <w:color w:val="auto"/>
              </w:rPr>
              <w:t>11.86%</w:t>
            </w:r>
          </w:p>
        </w:tc>
      </w:tr>
      <w:tr>
        <w:trPr>
          <w:trHeight w:val="169"/>
        </w:trPr>
        <w:tc>
          <w:tcPr>
            <w:tcW w:w="566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Regulatory Global Capital rato</w:t>
            </w:r>
          </w:p>
        </w:tc>
        <w:tc>
          <w:tcPr>
            <w:tcW w:w="226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16.45%</w:t>
            </w:r>
          </w:p>
        </w:tc>
      </w:tr>
      <w:tr>
        <w:trPr>
          <w:trHeight w:val="182"/>
        </w:trPr>
        <w:tc>
          <w:tcPr>
            <w:tcW w:w="566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 xml:space="preserve">Common Equity Tier 1 rato IFRS </w:t>
            </w:r>
            <w:r>
              <w:rPr>
                <w:rFonts w:ascii="Arial" w:cs="Arial" w:eastAsia="Arial" w:hAnsi="Arial"/>
                <w:sz w:val="12"/>
                <w:szCs w:val="12"/>
                <w:color w:val="auto"/>
              </w:rPr>
              <w:t>(9)(12)</w:t>
            </w:r>
          </w:p>
        </w:tc>
        <w:tc>
          <w:tcPr>
            <w:tcW w:w="226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11.93%</w:t>
            </w:r>
          </w:p>
        </w:tc>
      </w:tr>
      <w:tr>
        <w:trPr>
          <w:trHeight w:val="29"/>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65" w:right="319" w:bottom="1440" w:gutter="0" w:footer="0" w:header="0"/>
        </w:sectPr>
      </w:pPr>
    </w:p>
    <w:bookmarkStart w:id="65" w:name="page66"/>
    <w:bookmarkEnd w:id="65"/>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12. Appendix</w:t>
      </w:r>
    </w:p>
    <w:p>
      <w:pPr>
        <w:spacing w:after="0" w:line="257" w:lineRule="exact"/>
        <w:rPr>
          <w:sz w:val="20"/>
          <w:szCs w:val="20"/>
          <w:color w:val="auto"/>
        </w:rPr>
      </w:pPr>
    </w:p>
    <w:p>
      <w:pPr>
        <w:ind w:left="3400"/>
        <w:spacing w:after="0"/>
        <w:rPr>
          <w:sz w:val="20"/>
          <w:szCs w:val="20"/>
          <w:color w:val="auto"/>
        </w:rPr>
      </w:pPr>
      <w:r>
        <w:rPr>
          <w:rFonts w:ascii="Calibri" w:cs="Calibri" w:eastAsia="Calibri" w:hAnsi="Calibri"/>
          <w:sz w:val="18"/>
          <w:szCs w:val="18"/>
          <w:b w:val="1"/>
          <w:bCs w:val="1"/>
          <w:color w:val="auto"/>
        </w:rPr>
        <w:t>Regulatory Capital and Capital Adequacy Ratos at Mibanco</w:t>
      </w:r>
    </w:p>
    <w:p>
      <w:pPr>
        <w:spacing w:after="0" w:line="7" w:lineRule="exact"/>
        <w:rPr>
          <w:sz w:val="20"/>
          <w:szCs w:val="20"/>
          <w:color w:val="auto"/>
        </w:rPr>
      </w:pPr>
    </w:p>
    <w:p>
      <w:pPr>
        <w:ind w:left="3380"/>
        <w:spacing w:after="0"/>
        <w:rPr>
          <w:sz w:val="20"/>
          <w:szCs w:val="20"/>
          <w:color w:val="auto"/>
        </w:rPr>
      </w:pPr>
      <w:r>
        <w:rPr>
          <w:rFonts w:ascii="Calibri" w:cs="Calibri" w:eastAsia="Calibri" w:hAnsi="Calibri"/>
          <w:sz w:val="18"/>
          <w:szCs w:val="18"/>
          <w:b w:val="1"/>
          <w:bCs w:val="1"/>
          <w:color w:val="auto"/>
        </w:rPr>
        <w:t>(S/ thousands, IFRS, under regulaton as of December 2022)</w:t>
      </w:r>
    </w:p>
    <w:p>
      <w:pPr>
        <w:spacing w:after="0" w:line="208" w:lineRule="exact"/>
        <w:rPr>
          <w:sz w:val="20"/>
          <w:szCs w:val="20"/>
          <w:color w:val="auto"/>
        </w:rPr>
      </w:pPr>
    </w:p>
    <w:tbl>
      <w:tblPr>
        <w:tblLayout w:type="fixed"/>
        <w:tblInd w:w="1130" w:type="dxa"/>
        <w:tblCellMar>
          <w:top w:w="0" w:type="dxa"/>
          <w:left w:w="0" w:type="dxa"/>
          <w:bottom w:w="0" w:type="dxa"/>
          <w:right w:w="0" w:type="dxa"/>
        </w:tblCellMar>
      </w:tblPr>
      <w:tr>
        <w:trPr>
          <w:trHeight w:val="202"/>
        </w:trPr>
        <w:tc>
          <w:tcPr>
            <w:tcW w:w="4100" w:type="dxa"/>
            <w:vAlign w:val="bottom"/>
            <w:tcBorders>
              <w:top w:val="single" w:sz="8" w:color="auto"/>
              <w:left w:val="single" w:sz="8" w:color="auto"/>
              <w:right w:val="single" w:sz="8" w:color="auto"/>
            </w:tcBorders>
            <w:shd w:val="clear" w:color="auto" w:fill="33CCCC"/>
          </w:tcPr>
          <w:p>
            <w:pPr>
              <w:spacing w:after="0"/>
              <w:rPr>
                <w:sz w:val="17"/>
                <w:szCs w:val="17"/>
                <w:color w:val="auto"/>
              </w:rPr>
            </w:pPr>
          </w:p>
        </w:tc>
        <w:tc>
          <w:tcPr>
            <w:tcW w:w="1240" w:type="dxa"/>
            <w:vAlign w:val="bottom"/>
            <w:tcBorders>
              <w:top w:val="single" w:sz="8" w:color="auto"/>
            </w:tcBorders>
            <w:shd w:val="clear" w:color="auto" w:fill="33CCCC"/>
          </w:tcPr>
          <w:p>
            <w:pPr>
              <w:spacing w:after="0"/>
              <w:rPr>
                <w:sz w:val="17"/>
                <w:szCs w:val="17"/>
                <w:color w:val="auto"/>
              </w:rPr>
            </w:pPr>
          </w:p>
        </w:tc>
        <w:tc>
          <w:tcPr>
            <w:tcW w:w="1120" w:type="dxa"/>
            <w:vAlign w:val="bottom"/>
            <w:tcBorders>
              <w:top w:val="single" w:sz="8" w:color="auto"/>
            </w:tcBorders>
            <w:shd w:val="clear" w:color="auto" w:fill="33CCCC"/>
          </w:tcPr>
          <w:p>
            <w:pPr>
              <w:jc w:val="right"/>
              <w:ind w:right="486"/>
              <w:spacing w:after="0"/>
              <w:rPr>
                <w:sz w:val="20"/>
                <w:szCs w:val="20"/>
                <w:color w:val="auto"/>
              </w:rPr>
            </w:pPr>
            <w:r>
              <w:rPr>
                <w:rFonts w:ascii="Calibri" w:cs="Calibri" w:eastAsia="Calibri" w:hAnsi="Calibri"/>
                <w:sz w:val="15"/>
                <w:szCs w:val="15"/>
                <w:b w:val="1"/>
                <w:bCs w:val="1"/>
                <w:color w:val="FFFFFF"/>
              </w:rPr>
              <w:t>As of</w:t>
            </w:r>
          </w:p>
        </w:tc>
        <w:tc>
          <w:tcPr>
            <w:tcW w:w="980" w:type="dxa"/>
            <w:vAlign w:val="bottom"/>
            <w:tcBorders>
              <w:top w:val="single" w:sz="8" w:color="auto"/>
              <w:right w:val="single" w:sz="8" w:color="auto"/>
            </w:tcBorders>
            <w:shd w:val="clear" w:color="auto" w:fill="33CCCC"/>
          </w:tcPr>
          <w:p>
            <w:pPr>
              <w:spacing w:after="0"/>
              <w:rPr>
                <w:sz w:val="17"/>
                <w:szCs w:val="17"/>
                <w:color w:val="auto"/>
              </w:rPr>
            </w:pPr>
          </w:p>
        </w:tc>
        <w:tc>
          <w:tcPr>
            <w:tcW w:w="1600" w:type="dxa"/>
            <w:vAlign w:val="bottom"/>
            <w:tcBorders>
              <w:top w:val="single" w:sz="8" w:color="auto"/>
              <w:right w:val="single" w:sz="8" w:color="auto"/>
            </w:tcBorders>
            <w:gridSpan w:val="2"/>
            <w:shd w:val="clear" w:color="auto" w:fill="33CCCC"/>
          </w:tcPr>
          <w:p>
            <w:pPr>
              <w:ind w:left="480"/>
              <w:spacing w:after="0"/>
              <w:rPr>
                <w:sz w:val="20"/>
                <w:szCs w:val="20"/>
                <w:color w:val="auto"/>
              </w:rPr>
            </w:pPr>
            <w:r>
              <w:rPr>
                <w:rFonts w:ascii="Calibri" w:cs="Calibri" w:eastAsia="Calibri" w:hAnsi="Calibri"/>
                <w:sz w:val="15"/>
                <w:szCs w:val="15"/>
                <w:b w:val="1"/>
                <w:bCs w:val="1"/>
                <w:color w:val="FFFFFF"/>
              </w:rPr>
              <w:t>% change</w:t>
            </w:r>
          </w:p>
        </w:tc>
        <w:tc>
          <w:tcPr>
            <w:tcW w:w="0" w:type="dxa"/>
            <w:vAlign w:val="bottom"/>
          </w:tcPr>
          <w:p>
            <w:pPr>
              <w:spacing w:after="0"/>
              <w:rPr>
                <w:sz w:val="1"/>
                <w:szCs w:val="1"/>
                <w:color w:val="auto"/>
              </w:rPr>
            </w:pPr>
          </w:p>
        </w:tc>
      </w:tr>
      <w:tr>
        <w:trPr>
          <w:trHeight w:val="237"/>
        </w:trPr>
        <w:tc>
          <w:tcPr>
            <w:tcW w:w="4100" w:type="dxa"/>
            <w:vAlign w:val="bottom"/>
            <w:tcBorders>
              <w:left w:val="single" w:sz="8" w:color="auto"/>
              <w:bottom w:val="single" w:sz="8" w:color="33CCCC"/>
              <w:right w:val="single" w:sz="8" w:color="auto"/>
            </w:tcBorders>
            <w:shd w:val="clear" w:color="auto" w:fill="33CCCC"/>
          </w:tcPr>
          <w:p>
            <w:pPr>
              <w:spacing w:after="0"/>
              <w:rPr>
                <w:sz w:val="20"/>
                <w:szCs w:val="20"/>
                <w:color w:val="auto"/>
              </w:rPr>
            </w:pPr>
          </w:p>
        </w:tc>
        <w:tc>
          <w:tcPr>
            <w:tcW w:w="1240" w:type="dxa"/>
            <w:vAlign w:val="bottom"/>
            <w:tcBorders>
              <w:bottom w:val="single" w:sz="8" w:color="33CCCC"/>
            </w:tcBorders>
            <w:shd w:val="clear" w:color="auto" w:fill="33CCCC"/>
          </w:tcPr>
          <w:p>
            <w:pPr>
              <w:jc w:val="right"/>
              <w:ind w:right="426"/>
              <w:spacing w:after="0"/>
              <w:rPr>
                <w:sz w:val="20"/>
                <w:szCs w:val="20"/>
                <w:color w:val="auto"/>
              </w:rPr>
            </w:pPr>
            <w:r>
              <w:rPr>
                <w:rFonts w:ascii="Calibri" w:cs="Calibri" w:eastAsia="Calibri" w:hAnsi="Calibri"/>
                <w:sz w:val="15"/>
                <w:szCs w:val="15"/>
                <w:b w:val="1"/>
                <w:bCs w:val="1"/>
                <w:color w:val="FFFFFF"/>
              </w:rPr>
              <w:t>Mar 22</w:t>
            </w:r>
          </w:p>
        </w:tc>
        <w:tc>
          <w:tcPr>
            <w:tcW w:w="1120" w:type="dxa"/>
            <w:vAlign w:val="bottom"/>
            <w:tcBorders>
              <w:bottom w:val="single" w:sz="8" w:color="33CCCC"/>
            </w:tcBorders>
            <w:shd w:val="clear" w:color="auto" w:fill="33CCCC"/>
          </w:tcPr>
          <w:p>
            <w:pPr>
              <w:jc w:val="right"/>
              <w:ind w:right="446"/>
              <w:spacing w:after="0"/>
              <w:rPr>
                <w:sz w:val="20"/>
                <w:szCs w:val="20"/>
                <w:color w:val="auto"/>
              </w:rPr>
            </w:pPr>
            <w:r>
              <w:rPr>
                <w:rFonts w:ascii="Calibri" w:cs="Calibri" w:eastAsia="Calibri" w:hAnsi="Calibri"/>
                <w:sz w:val="15"/>
                <w:szCs w:val="15"/>
                <w:b w:val="1"/>
                <w:bCs w:val="1"/>
                <w:color w:val="FFFFFF"/>
              </w:rPr>
              <w:t>Dec 22</w:t>
            </w:r>
          </w:p>
        </w:tc>
        <w:tc>
          <w:tcPr>
            <w:tcW w:w="980" w:type="dxa"/>
            <w:vAlign w:val="bottom"/>
            <w:tcBorders>
              <w:bottom w:val="single" w:sz="8" w:color="33CCCC"/>
              <w:right w:val="single" w:sz="8" w:color="auto"/>
            </w:tcBorders>
            <w:shd w:val="clear" w:color="auto" w:fill="33CCCC"/>
          </w:tcPr>
          <w:p>
            <w:pPr>
              <w:jc w:val="right"/>
              <w:ind w:right="286"/>
              <w:spacing w:after="0"/>
              <w:rPr>
                <w:sz w:val="20"/>
                <w:szCs w:val="20"/>
                <w:color w:val="auto"/>
              </w:rPr>
            </w:pPr>
            <w:r>
              <w:rPr>
                <w:rFonts w:ascii="Calibri" w:cs="Calibri" w:eastAsia="Calibri" w:hAnsi="Calibri"/>
                <w:sz w:val="15"/>
                <w:szCs w:val="15"/>
                <w:b w:val="1"/>
                <w:bCs w:val="1"/>
                <w:color w:val="FFFFFF"/>
              </w:rPr>
              <w:t>Mar 23</w:t>
            </w:r>
          </w:p>
        </w:tc>
        <w:tc>
          <w:tcPr>
            <w:tcW w:w="76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7"/>
              </w:rPr>
              <w:t>QoQ</w:t>
            </w:r>
          </w:p>
        </w:tc>
        <w:tc>
          <w:tcPr>
            <w:tcW w:w="84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2"/>
              </w:rPr>
              <w:t>YoY</w:t>
            </w:r>
          </w:p>
        </w:tc>
        <w:tc>
          <w:tcPr>
            <w:tcW w:w="0" w:type="dxa"/>
            <w:vAlign w:val="bottom"/>
          </w:tcPr>
          <w:p>
            <w:pPr>
              <w:spacing w:after="0"/>
              <w:rPr>
                <w:sz w:val="1"/>
                <w:szCs w:val="1"/>
                <w:color w:val="auto"/>
              </w:rPr>
            </w:pPr>
          </w:p>
        </w:tc>
      </w:tr>
      <w:tr>
        <w:trPr>
          <w:trHeight w:val="179"/>
        </w:trPr>
        <w:tc>
          <w:tcPr>
            <w:tcW w:w="41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Capital Stock</w:t>
            </w:r>
          </w:p>
        </w:tc>
        <w:tc>
          <w:tcPr>
            <w:tcW w:w="1240" w:type="dxa"/>
            <w:vAlign w:val="bottom"/>
            <w:tcBorders>
              <w:top w:val="single" w:sz="8" w:color="auto"/>
            </w:tcBorders>
          </w:tcPr>
          <w:p>
            <w:pPr>
              <w:jc w:val="right"/>
              <w:ind w:right="106"/>
              <w:spacing w:after="0" w:line="180" w:lineRule="exact"/>
              <w:rPr>
                <w:sz w:val="20"/>
                <w:szCs w:val="20"/>
                <w:color w:val="auto"/>
              </w:rPr>
            </w:pPr>
            <w:r>
              <w:rPr>
                <w:rFonts w:ascii="Calibri" w:cs="Calibri" w:eastAsia="Calibri" w:hAnsi="Calibri"/>
                <w:sz w:val="15"/>
                <w:szCs w:val="15"/>
                <w:color w:val="auto"/>
              </w:rPr>
              <w:t>1,840,606</w:t>
            </w:r>
          </w:p>
        </w:tc>
        <w:tc>
          <w:tcPr>
            <w:tcW w:w="1120" w:type="dxa"/>
            <w:vAlign w:val="bottom"/>
            <w:tcBorders>
              <w:top w:val="single" w:sz="8" w:color="auto"/>
            </w:tcBorders>
          </w:tcPr>
          <w:p>
            <w:pPr>
              <w:jc w:val="right"/>
              <w:ind w:right="106"/>
              <w:spacing w:after="0" w:line="180" w:lineRule="exact"/>
              <w:rPr>
                <w:sz w:val="20"/>
                <w:szCs w:val="20"/>
                <w:color w:val="auto"/>
              </w:rPr>
            </w:pPr>
            <w:r>
              <w:rPr>
                <w:rFonts w:ascii="Calibri" w:cs="Calibri" w:eastAsia="Calibri" w:hAnsi="Calibri"/>
                <w:sz w:val="15"/>
                <w:szCs w:val="15"/>
                <w:color w:val="auto"/>
              </w:rPr>
              <w:t>1,840,606</w:t>
            </w:r>
          </w:p>
        </w:tc>
        <w:tc>
          <w:tcPr>
            <w:tcW w:w="980" w:type="dxa"/>
            <w:vAlign w:val="bottom"/>
            <w:tcBorders>
              <w:top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1,840,606</w:t>
            </w:r>
          </w:p>
        </w:tc>
        <w:tc>
          <w:tcPr>
            <w:tcW w:w="760" w:type="dxa"/>
            <w:vAlign w:val="bottom"/>
            <w:tcBorders>
              <w:top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4"/>
              </w:rPr>
              <w:t>0.0%</w:t>
            </w:r>
          </w:p>
        </w:tc>
        <w:tc>
          <w:tcPr>
            <w:tcW w:w="840" w:type="dxa"/>
            <w:vAlign w:val="bottom"/>
            <w:tcBorders>
              <w:top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0.0%</w:t>
            </w:r>
          </w:p>
        </w:tc>
        <w:tc>
          <w:tcPr>
            <w:tcW w:w="0" w:type="dxa"/>
            <w:vAlign w:val="bottom"/>
          </w:tcPr>
          <w:p>
            <w:pPr>
              <w:spacing w:after="0"/>
              <w:rPr>
                <w:sz w:val="1"/>
                <w:szCs w:val="1"/>
                <w:color w:val="auto"/>
              </w:rPr>
            </w:pPr>
          </w:p>
        </w:tc>
      </w:tr>
      <w:tr>
        <w:trPr>
          <w:trHeight w:val="197"/>
        </w:trPr>
        <w:tc>
          <w:tcPr>
            <w:tcW w:w="4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Legal and Other capital reserves</w:t>
            </w:r>
          </w:p>
        </w:tc>
        <w:tc>
          <w:tcPr>
            <w:tcW w:w="1240" w:type="dxa"/>
            <w:vAlign w:val="bottom"/>
          </w:tcPr>
          <w:p>
            <w:pPr>
              <w:jc w:val="right"/>
              <w:ind w:right="106"/>
              <w:spacing w:after="0"/>
              <w:rPr>
                <w:sz w:val="20"/>
                <w:szCs w:val="20"/>
                <w:color w:val="auto"/>
              </w:rPr>
            </w:pPr>
            <w:r>
              <w:rPr>
                <w:rFonts w:ascii="Calibri" w:cs="Calibri" w:eastAsia="Calibri" w:hAnsi="Calibri"/>
                <w:sz w:val="15"/>
                <w:szCs w:val="15"/>
                <w:color w:val="auto"/>
              </w:rPr>
              <w:t>264,221</w:t>
            </w:r>
          </w:p>
        </w:tc>
        <w:tc>
          <w:tcPr>
            <w:tcW w:w="1120" w:type="dxa"/>
            <w:vAlign w:val="bottom"/>
          </w:tcPr>
          <w:p>
            <w:pPr>
              <w:jc w:val="right"/>
              <w:ind w:right="106"/>
              <w:spacing w:after="0"/>
              <w:rPr>
                <w:sz w:val="20"/>
                <w:szCs w:val="20"/>
                <w:color w:val="auto"/>
              </w:rPr>
            </w:pPr>
            <w:r>
              <w:rPr>
                <w:rFonts w:ascii="Calibri" w:cs="Calibri" w:eastAsia="Calibri" w:hAnsi="Calibri"/>
                <w:sz w:val="15"/>
                <w:szCs w:val="15"/>
                <w:color w:val="auto"/>
              </w:rPr>
              <w:t>264,221</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308,056</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6"/>
              </w:rPr>
              <w:t>16.6%</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16.6%</w:t>
            </w:r>
          </w:p>
        </w:tc>
        <w:tc>
          <w:tcPr>
            <w:tcW w:w="0" w:type="dxa"/>
            <w:vAlign w:val="bottom"/>
          </w:tcPr>
          <w:p>
            <w:pPr>
              <w:spacing w:after="0"/>
              <w:rPr>
                <w:sz w:val="1"/>
                <w:szCs w:val="1"/>
                <w:color w:val="auto"/>
              </w:rPr>
            </w:pPr>
          </w:p>
        </w:tc>
      </w:tr>
      <w:tr>
        <w:trPr>
          <w:trHeight w:val="204"/>
        </w:trPr>
        <w:tc>
          <w:tcPr>
            <w:tcW w:w="4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Accumulated earnings with capitalization agreement</w:t>
            </w:r>
          </w:p>
        </w:tc>
        <w:tc>
          <w:tcPr>
            <w:tcW w:w="1240" w:type="dxa"/>
            <w:vAlign w:val="bottom"/>
          </w:tcPr>
          <w:p>
            <w:pPr>
              <w:jc w:val="right"/>
              <w:ind w:right="106"/>
              <w:spacing w:after="0"/>
              <w:rPr>
                <w:sz w:val="20"/>
                <w:szCs w:val="20"/>
                <w:color w:val="auto"/>
              </w:rPr>
            </w:pPr>
            <w:r>
              <w:rPr>
                <w:rFonts w:ascii="Calibri" w:cs="Calibri" w:eastAsia="Calibri" w:hAnsi="Calibri"/>
                <w:sz w:val="15"/>
                <w:szCs w:val="15"/>
                <w:color w:val="auto"/>
              </w:rPr>
              <w:t>-</w:t>
            </w:r>
          </w:p>
        </w:tc>
        <w:tc>
          <w:tcPr>
            <w:tcW w:w="1120" w:type="dxa"/>
            <w:vAlign w:val="bottom"/>
          </w:tcPr>
          <w:p>
            <w:pPr>
              <w:jc w:val="right"/>
              <w:ind w:right="106"/>
              <w:spacing w:after="0"/>
              <w:rPr>
                <w:sz w:val="20"/>
                <w:szCs w:val="20"/>
                <w:color w:val="auto"/>
              </w:rPr>
            </w:pPr>
            <w:r>
              <w:rPr>
                <w:rFonts w:ascii="Calibri" w:cs="Calibri" w:eastAsia="Calibri" w:hAnsi="Calibri"/>
                <w:sz w:val="15"/>
                <w:szCs w:val="15"/>
                <w:color w:val="auto"/>
              </w:rPr>
              <w:t>-</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7"/>
              </w:rPr>
              <w:t>n.a.</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n.a.</w:t>
            </w:r>
          </w:p>
        </w:tc>
        <w:tc>
          <w:tcPr>
            <w:tcW w:w="0" w:type="dxa"/>
            <w:vAlign w:val="bottom"/>
          </w:tcPr>
          <w:p>
            <w:pPr>
              <w:spacing w:after="0"/>
              <w:rPr>
                <w:sz w:val="1"/>
                <w:szCs w:val="1"/>
                <w:color w:val="auto"/>
              </w:rPr>
            </w:pPr>
          </w:p>
        </w:tc>
      </w:tr>
      <w:tr>
        <w:trPr>
          <w:trHeight w:val="229"/>
        </w:trPr>
        <w:tc>
          <w:tcPr>
            <w:tcW w:w="4100" w:type="dxa"/>
            <w:vAlign w:val="bottom"/>
            <w:tcBorders>
              <w:left w:val="single" w:sz="8" w:color="auto"/>
              <w:right w:val="single" w:sz="8" w:color="auto"/>
            </w:tcBorders>
          </w:tcPr>
          <w:p>
            <w:pPr>
              <w:ind w:left="40"/>
              <w:spacing w:after="0" w:line="229" w:lineRule="exact"/>
              <w:rPr>
                <w:sz w:val="20"/>
                <w:szCs w:val="20"/>
                <w:color w:val="auto"/>
              </w:rPr>
            </w:pPr>
            <w:r>
              <w:rPr>
                <w:rFonts w:ascii="Calibri" w:cs="Calibri" w:eastAsia="Calibri" w:hAnsi="Calibri"/>
                <w:sz w:val="15"/>
                <w:szCs w:val="15"/>
                <w:color w:val="auto"/>
              </w:rPr>
              <w:t xml:space="preserve">Loan loss reserves </w:t>
            </w:r>
            <w:r>
              <w:rPr>
                <w:rFonts w:ascii="Calibri" w:cs="Calibri" w:eastAsia="Calibri" w:hAnsi="Calibri"/>
                <w:sz w:val="25"/>
                <w:szCs w:val="25"/>
                <w:color w:val="auto"/>
                <w:vertAlign w:val="superscript"/>
              </w:rPr>
              <w:t>(1)</w:t>
            </w:r>
          </w:p>
        </w:tc>
        <w:tc>
          <w:tcPr>
            <w:tcW w:w="1240" w:type="dxa"/>
            <w:vAlign w:val="bottom"/>
          </w:tcPr>
          <w:p>
            <w:pPr>
              <w:jc w:val="right"/>
              <w:ind w:right="106"/>
              <w:spacing w:after="0"/>
              <w:rPr>
                <w:sz w:val="20"/>
                <w:szCs w:val="20"/>
                <w:color w:val="auto"/>
              </w:rPr>
            </w:pPr>
            <w:r>
              <w:rPr>
                <w:rFonts w:ascii="Calibri" w:cs="Calibri" w:eastAsia="Calibri" w:hAnsi="Calibri"/>
                <w:sz w:val="15"/>
                <w:szCs w:val="15"/>
                <w:color w:val="auto"/>
              </w:rPr>
              <w:t>163,711</w:t>
            </w:r>
          </w:p>
        </w:tc>
        <w:tc>
          <w:tcPr>
            <w:tcW w:w="1120" w:type="dxa"/>
            <w:vAlign w:val="bottom"/>
          </w:tcPr>
          <w:p>
            <w:pPr>
              <w:jc w:val="right"/>
              <w:ind w:right="106"/>
              <w:spacing w:after="0"/>
              <w:rPr>
                <w:sz w:val="20"/>
                <w:szCs w:val="20"/>
                <w:color w:val="auto"/>
              </w:rPr>
            </w:pPr>
            <w:r>
              <w:rPr>
                <w:rFonts w:ascii="Calibri" w:cs="Calibri" w:eastAsia="Calibri" w:hAnsi="Calibri"/>
                <w:sz w:val="15"/>
                <w:szCs w:val="15"/>
                <w:color w:val="auto"/>
              </w:rPr>
              <w:t>183,155</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193,129</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4"/>
              </w:rPr>
              <w:t>5.4%</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18.0%</w:t>
            </w:r>
          </w:p>
        </w:tc>
        <w:tc>
          <w:tcPr>
            <w:tcW w:w="0" w:type="dxa"/>
            <w:vAlign w:val="bottom"/>
          </w:tcPr>
          <w:p>
            <w:pPr>
              <w:spacing w:after="0"/>
              <w:rPr>
                <w:sz w:val="1"/>
                <w:szCs w:val="1"/>
                <w:color w:val="auto"/>
              </w:rPr>
            </w:pPr>
          </w:p>
        </w:tc>
      </w:tr>
      <w:tr>
        <w:trPr>
          <w:trHeight w:val="179"/>
        </w:trPr>
        <w:tc>
          <w:tcPr>
            <w:tcW w:w="4100" w:type="dxa"/>
            <w:vAlign w:val="bottom"/>
            <w:tcBorders>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color w:val="auto"/>
              </w:rPr>
              <w:t>Perpetual subordinated debt</w:t>
            </w:r>
          </w:p>
        </w:tc>
        <w:tc>
          <w:tcPr>
            <w:tcW w:w="1240" w:type="dxa"/>
            <w:vAlign w:val="bottom"/>
          </w:tcPr>
          <w:p>
            <w:pPr>
              <w:jc w:val="right"/>
              <w:ind w:right="106"/>
              <w:spacing w:after="0" w:line="180" w:lineRule="exact"/>
              <w:rPr>
                <w:sz w:val="20"/>
                <w:szCs w:val="20"/>
                <w:color w:val="auto"/>
              </w:rPr>
            </w:pPr>
            <w:r>
              <w:rPr>
                <w:rFonts w:ascii="Calibri" w:cs="Calibri" w:eastAsia="Calibri" w:hAnsi="Calibri"/>
                <w:sz w:val="15"/>
                <w:szCs w:val="15"/>
                <w:color w:val="auto"/>
              </w:rPr>
              <w:t>-</w:t>
            </w:r>
          </w:p>
        </w:tc>
        <w:tc>
          <w:tcPr>
            <w:tcW w:w="1120" w:type="dxa"/>
            <w:vAlign w:val="bottom"/>
          </w:tcPr>
          <w:p>
            <w:pPr>
              <w:jc w:val="right"/>
              <w:ind w:right="106"/>
              <w:spacing w:after="0" w:line="180" w:lineRule="exact"/>
              <w:rPr>
                <w:sz w:val="20"/>
                <w:szCs w:val="20"/>
                <w:color w:val="auto"/>
              </w:rPr>
            </w:pPr>
            <w:r>
              <w:rPr>
                <w:rFonts w:ascii="Calibri" w:cs="Calibri" w:eastAsia="Calibri" w:hAnsi="Calibri"/>
                <w:sz w:val="15"/>
                <w:szCs w:val="15"/>
                <w:color w:val="auto"/>
              </w:rPr>
              <w:t>-</w:t>
            </w:r>
          </w:p>
        </w:tc>
        <w:tc>
          <w:tcPr>
            <w:tcW w:w="9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w:t>
            </w:r>
          </w:p>
        </w:tc>
        <w:tc>
          <w:tcPr>
            <w:tcW w:w="760" w:type="dxa"/>
            <w:vAlign w:val="bottom"/>
          </w:tcPr>
          <w:p>
            <w:pPr>
              <w:jc w:val="center"/>
              <w:spacing w:after="0" w:line="180" w:lineRule="exact"/>
              <w:rPr>
                <w:sz w:val="20"/>
                <w:szCs w:val="20"/>
                <w:color w:val="auto"/>
              </w:rPr>
            </w:pPr>
            <w:r>
              <w:rPr>
                <w:rFonts w:ascii="Calibri" w:cs="Calibri" w:eastAsia="Calibri" w:hAnsi="Calibri"/>
                <w:sz w:val="15"/>
                <w:szCs w:val="15"/>
                <w:color w:val="auto"/>
                <w:w w:val="97"/>
              </w:rPr>
              <w:t>n.a.</w:t>
            </w:r>
          </w:p>
        </w:tc>
        <w:tc>
          <w:tcPr>
            <w:tcW w:w="8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7"/>
              </w:rPr>
              <w:t>n.a.</w:t>
            </w:r>
          </w:p>
        </w:tc>
        <w:tc>
          <w:tcPr>
            <w:tcW w:w="0" w:type="dxa"/>
            <w:vAlign w:val="bottom"/>
          </w:tcPr>
          <w:p>
            <w:pPr>
              <w:spacing w:after="0"/>
              <w:rPr>
                <w:sz w:val="1"/>
                <w:szCs w:val="1"/>
                <w:color w:val="auto"/>
              </w:rPr>
            </w:pPr>
          </w:p>
        </w:tc>
      </w:tr>
      <w:tr>
        <w:trPr>
          <w:trHeight w:val="204"/>
        </w:trPr>
        <w:tc>
          <w:tcPr>
            <w:tcW w:w="41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Subordinated Debt</w:t>
            </w:r>
          </w:p>
        </w:tc>
        <w:tc>
          <w:tcPr>
            <w:tcW w:w="1240" w:type="dxa"/>
            <w:vAlign w:val="bottom"/>
          </w:tcPr>
          <w:p>
            <w:pPr>
              <w:jc w:val="right"/>
              <w:ind w:right="106"/>
              <w:spacing w:after="0"/>
              <w:rPr>
                <w:sz w:val="20"/>
                <w:szCs w:val="20"/>
                <w:color w:val="auto"/>
              </w:rPr>
            </w:pPr>
            <w:r>
              <w:rPr>
                <w:rFonts w:ascii="Calibri" w:cs="Calibri" w:eastAsia="Calibri" w:hAnsi="Calibri"/>
                <w:sz w:val="15"/>
                <w:szCs w:val="15"/>
                <w:color w:val="auto"/>
              </w:rPr>
              <w:t>185,000</w:t>
            </w:r>
          </w:p>
        </w:tc>
        <w:tc>
          <w:tcPr>
            <w:tcW w:w="1120" w:type="dxa"/>
            <w:vAlign w:val="bottom"/>
          </w:tcPr>
          <w:p>
            <w:pPr>
              <w:jc w:val="right"/>
              <w:ind w:right="106"/>
              <w:spacing w:after="0"/>
              <w:rPr>
                <w:sz w:val="20"/>
                <w:szCs w:val="20"/>
                <w:color w:val="auto"/>
              </w:rPr>
            </w:pPr>
            <w:r>
              <w:rPr>
                <w:rFonts w:ascii="Calibri" w:cs="Calibri" w:eastAsia="Calibri" w:hAnsi="Calibri"/>
                <w:sz w:val="15"/>
                <w:szCs w:val="15"/>
                <w:color w:val="auto"/>
              </w:rPr>
              <w:t>179,000</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179,000</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4"/>
              </w:rPr>
              <w:t>0.0%</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8"/>
              </w:rPr>
              <w:t>-3.2%</w:t>
            </w:r>
          </w:p>
        </w:tc>
        <w:tc>
          <w:tcPr>
            <w:tcW w:w="0" w:type="dxa"/>
            <w:vAlign w:val="bottom"/>
          </w:tcPr>
          <w:p>
            <w:pPr>
              <w:spacing w:after="0"/>
              <w:rPr>
                <w:sz w:val="1"/>
                <w:szCs w:val="1"/>
                <w:color w:val="auto"/>
              </w:rPr>
            </w:pPr>
          </w:p>
        </w:tc>
      </w:tr>
      <w:tr>
        <w:trPr>
          <w:trHeight w:val="204"/>
        </w:trPr>
        <w:tc>
          <w:tcPr>
            <w:tcW w:w="41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Investment in subsidiaries and others, net of unrealized proft and</w:t>
            </w:r>
          </w:p>
        </w:tc>
        <w:tc>
          <w:tcPr>
            <w:tcW w:w="1240" w:type="dxa"/>
            <w:vAlign w:val="bottom"/>
          </w:tcPr>
          <w:p>
            <w:pPr>
              <w:jc w:val="right"/>
              <w:ind w:right="106"/>
              <w:spacing w:after="0"/>
              <w:rPr>
                <w:sz w:val="20"/>
                <w:szCs w:val="20"/>
                <w:color w:val="auto"/>
              </w:rPr>
            </w:pPr>
            <w:r>
              <w:rPr>
                <w:rFonts w:ascii="Calibri" w:cs="Calibri" w:eastAsia="Calibri" w:hAnsi="Calibri"/>
                <w:sz w:val="15"/>
                <w:szCs w:val="15"/>
                <w:color w:val="auto"/>
              </w:rPr>
              <w:t>-</w:t>
            </w:r>
          </w:p>
        </w:tc>
        <w:tc>
          <w:tcPr>
            <w:tcW w:w="1120" w:type="dxa"/>
            <w:vAlign w:val="bottom"/>
          </w:tcPr>
          <w:p>
            <w:pPr>
              <w:jc w:val="right"/>
              <w:ind w:right="106"/>
              <w:spacing w:after="0"/>
              <w:rPr>
                <w:sz w:val="20"/>
                <w:szCs w:val="20"/>
                <w:color w:val="auto"/>
              </w:rPr>
            </w:pPr>
            <w:r>
              <w:rPr>
                <w:rFonts w:ascii="Calibri" w:cs="Calibri" w:eastAsia="Calibri" w:hAnsi="Calibri"/>
                <w:sz w:val="15"/>
                <w:szCs w:val="15"/>
                <w:color w:val="auto"/>
              </w:rPr>
              <w:t>-</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7"/>
              </w:rPr>
              <w:t>n.a.</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n.a.</w:t>
            </w:r>
          </w:p>
        </w:tc>
        <w:tc>
          <w:tcPr>
            <w:tcW w:w="0" w:type="dxa"/>
            <w:vAlign w:val="bottom"/>
          </w:tcPr>
          <w:p>
            <w:pPr>
              <w:spacing w:after="0"/>
              <w:rPr>
                <w:sz w:val="1"/>
                <w:szCs w:val="1"/>
                <w:color w:val="auto"/>
              </w:rPr>
            </w:pPr>
          </w:p>
        </w:tc>
      </w:tr>
      <w:tr>
        <w:trPr>
          <w:trHeight w:val="182"/>
        </w:trPr>
        <w:tc>
          <w:tcPr>
            <w:tcW w:w="4100" w:type="dxa"/>
            <w:vAlign w:val="bottom"/>
            <w:tcBorders>
              <w:left w:val="single" w:sz="8" w:color="auto"/>
              <w:right w:val="single" w:sz="8" w:color="auto"/>
            </w:tcBorders>
          </w:tcPr>
          <w:p>
            <w:pPr>
              <w:ind w:left="40"/>
              <w:spacing w:after="0" w:line="181" w:lineRule="exact"/>
              <w:rPr>
                <w:sz w:val="20"/>
                <w:szCs w:val="20"/>
                <w:color w:val="auto"/>
              </w:rPr>
            </w:pPr>
            <w:r>
              <w:rPr>
                <w:rFonts w:ascii="Calibri" w:cs="Calibri" w:eastAsia="Calibri" w:hAnsi="Calibri"/>
                <w:sz w:val="15"/>
                <w:szCs w:val="15"/>
                <w:color w:val="auto"/>
              </w:rPr>
              <w:t>net income</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1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Investment in subsidiaries and others</w:t>
            </w:r>
          </w:p>
        </w:tc>
        <w:tc>
          <w:tcPr>
            <w:tcW w:w="1240" w:type="dxa"/>
            <w:vAlign w:val="bottom"/>
          </w:tcPr>
          <w:p>
            <w:pPr>
              <w:jc w:val="right"/>
              <w:ind w:right="106"/>
              <w:spacing w:after="0"/>
              <w:rPr>
                <w:sz w:val="20"/>
                <w:szCs w:val="20"/>
                <w:color w:val="auto"/>
              </w:rPr>
            </w:pPr>
            <w:r>
              <w:rPr>
                <w:rFonts w:ascii="Calibri" w:cs="Calibri" w:eastAsia="Calibri" w:hAnsi="Calibri"/>
                <w:sz w:val="15"/>
                <w:szCs w:val="15"/>
                <w:color w:val="auto"/>
              </w:rPr>
              <w:t>-</w:t>
            </w:r>
          </w:p>
        </w:tc>
        <w:tc>
          <w:tcPr>
            <w:tcW w:w="1120" w:type="dxa"/>
            <w:vAlign w:val="bottom"/>
          </w:tcPr>
          <w:p>
            <w:pPr>
              <w:jc w:val="right"/>
              <w:ind w:right="106"/>
              <w:spacing w:after="0"/>
              <w:rPr>
                <w:sz w:val="20"/>
                <w:szCs w:val="20"/>
                <w:color w:val="auto"/>
              </w:rPr>
            </w:pPr>
            <w:r>
              <w:rPr>
                <w:rFonts w:ascii="Calibri" w:cs="Calibri" w:eastAsia="Calibri" w:hAnsi="Calibri"/>
                <w:sz w:val="15"/>
                <w:szCs w:val="15"/>
                <w:color w:val="auto"/>
              </w:rPr>
              <w:t>-</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7"/>
              </w:rPr>
              <w:t>n.a.</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n.a.</w:t>
            </w:r>
          </w:p>
        </w:tc>
        <w:tc>
          <w:tcPr>
            <w:tcW w:w="0" w:type="dxa"/>
            <w:vAlign w:val="bottom"/>
          </w:tcPr>
          <w:p>
            <w:pPr>
              <w:spacing w:after="0"/>
              <w:rPr>
                <w:sz w:val="1"/>
                <w:szCs w:val="1"/>
                <w:color w:val="auto"/>
              </w:rPr>
            </w:pPr>
          </w:p>
        </w:tc>
      </w:tr>
      <w:tr>
        <w:trPr>
          <w:trHeight w:val="204"/>
        </w:trPr>
        <w:tc>
          <w:tcPr>
            <w:tcW w:w="41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Unrealized proft and net income in subsidiaries</w:t>
            </w:r>
          </w:p>
        </w:tc>
        <w:tc>
          <w:tcPr>
            <w:tcW w:w="1240" w:type="dxa"/>
            <w:vAlign w:val="bottom"/>
          </w:tcPr>
          <w:p>
            <w:pPr>
              <w:jc w:val="right"/>
              <w:ind w:right="106"/>
              <w:spacing w:after="0"/>
              <w:rPr>
                <w:sz w:val="20"/>
                <w:szCs w:val="20"/>
                <w:color w:val="auto"/>
              </w:rPr>
            </w:pPr>
            <w:r>
              <w:rPr>
                <w:rFonts w:ascii="Calibri" w:cs="Calibri" w:eastAsia="Calibri" w:hAnsi="Calibri"/>
                <w:sz w:val="15"/>
                <w:szCs w:val="15"/>
                <w:color w:val="auto"/>
              </w:rPr>
              <w:t>-</w:t>
            </w:r>
          </w:p>
        </w:tc>
        <w:tc>
          <w:tcPr>
            <w:tcW w:w="1120" w:type="dxa"/>
            <w:vAlign w:val="bottom"/>
          </w:tcPr>
          <w:p>
            <w:pPr>
              <w:jc w:val="right"/>
              <w:ind w:right="106"/>
              <w:spacing w:after="0"/>
              <w:rPr>
                <w:sz w:val="20"/>
                <w:szCs w:val="20"/>
                <w:color w:val="auto"/>
              </w:rPr>
            </w:pPr>
            <w:r>
              <w:rPr>
                <w:rFonts w:ascii="Calibri" w:cs="Calibri" w:eastAsia="Calibri" w:hAnsi="Calibri"/>
                <w:sz w:val="15"/>
                <w:szCs w:val="15"/>
                <w:color w:val="auto"/>
              </w:rPr>
              <w:t>-</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7"/>
              </w:rPr>
              <w:t>n.a.</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n.a.</w:t>
            </w:r>
          </w:p>
        </w:tc>
        <w:tc>
          <w:tcPr>
            <w:tcW w:w="0" w:type="dxa"/>
            <w:vAlign w:val="bottom"/>
          </w:tcPr>
          <w:p>
            <w:pPr>
              <w:spacing w:after="0"/>
              <w:rPr>
                <w:sz w:val="1"/>
                <w:szCs w:val="1"/>
                <w:color w:val="auto"/>
              </w:rPr>
            </w:pPr>
          </w:p>
        </w:tc>
      </w:tr>
      <w:tr>
        <w:trPr>
          <w:trHeight w:val="204"/>
        </w:trPr>
        <w:tc>
          <w:tcPr>
            <w:tcW w:w="41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Goodwill</w:t>
            </w:r>
          </w:p>
        </w:tc>
        <w:tc>
          <w:tcPr>
            <w:tcW w:w="1240" w:type="dxa"/>
            <w:vAlign w:val="bottom"/>
          </w:tcPr>
          <w:p>
            <w:pPr>
              <w:jc w:val="right"/>
              <w:ind w:right="106"/>
              <w:spacing w:after="0"/>
              <w:rPr>
                <w:sz w:val="20"/>
                <w:szCs w:val="20"/>
                <w:color w:val="auto"/>
              </w:rPr>
            </w:pPr>
            <w:r>
              <w:rPr>
                <w:rFonts w:ascii="Calibri" w:cs="Calibri" w:eastAsia="Calibri" w:hAnsi="Calibri"/>
                <w:sz w:val="15"/>
                <w:szCs w:val="15"/>
                <w:color w:val="auto"/>
              </w:rPr>
              <w:t>(139,180)</w:t>
            </w:r>
          </w:p>
        </w:tc>
        <w:tc>
          <w:tcPr>
            <w:tcW w:w="1120" w:type="dxa"/>
            <w:vAlign w:val="bottom"/>
          </w:tcPr>
          <w:p>
            <w:pPr>
              <w:jc w:val="right"/>
              <w:ind w:right="106"/>
              <w:spacing w:after="0"/>
              <w:rPr>
                <w:sz w:val="20"/>
                <w:szCs w:val="20"/>
                <w:color w:val="auto"/>
              </w:rPr>
            </w:pPr>
            <w:r>
              <w:rPr>
                <w:rFonts w:ascii="Calibri" w:cs="Calibri" w:eastAsia="Calibri" w:hAnsi="Calibri"/>
                <w:sz w:val="15"/>
                <w:szCs w:val="15"/>
                <w:color w:val="auto"/>
              </w:rPr>
              <w:t>(139,180)</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(139,180)</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4"/>
              </w:rPr>
              <w:t>0.0%</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0.0%</w:t>
            </w:r>
          </w:p>
        </w:tc>
        <w:tc>
          <w:tcPr>
            <w:tcW w:w="0" w:type="dxa"/>
            <w:vAlign w:val="bottom"/>
          </w:tcPr>
          <w:p>
            <w:pPr>
              <w:spacing w:after="0"/>
              <w:rPr>
                <w:sz w:val="1"/>
                <w:szCs w:val="1"/>
                <w:color w:val="auto"/>
              </w:rPr>
            </w:pPr>
          </w:p>
        </w:tc>
      </w:tr>
      <w:tr>
        <w:trPr>
          <w:trHeight w:val="204"/>
        </w:trPr>
        <w:tc>
          <w:tcPr>
            <w:tcW w:w="41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Total Regulatory Capital</w:t>
            </w:r>
          </w:p>
        </w:tc>
        <w:tc>
          <w:tcPr>
            <w:tcW w:w="1240" w:type="dxa"/>
            <w:vAlign w:val="bottom"/>
          </w:tcPr>
          <w:p>
            <w:pPr>
              <w:jc w:val="right"/>
              <w:ind w:right="106"/>
              <w:spacing w:after="0"/>
              <w:rPr>
                <w:sz w:val="20"/>
                <w:szCs w:val="20"/>
                <w:color w:val="auto"/>
              </w:rPr>
            </w:pPr>
            <w:r>
              <w:rPr>
                <w:rFonts w:ascii="Calibri" w:cs="Calibri" w:eastAsia="Calibri" w:hAnsi="Calibri"/>
                <w:sz w:val="15"/>
                <w:szCs w:val="15"/>
                <w:b w:val="1"/>
                <w:bCs w:val="1"/>
                <w:color w:val="auto"/>
              </w:rPr>
              <w:t>2,314,357</w:t>
            </w:r>
          </w:p>
        </w:tc>
        <w:tc>
          <w:tcPr>
            <w:tcW w:w="1120" w:type="dxa"/>
            <w:vAlign w:val="bottom"/>
          </w:tcPr>
          <w:p>
            <w:pPr>
              <w:jc w:val="right"/>
              <w:ind w:right="106"/>
              <w:spacing w:after="0"/>
              <w:rPr>
                <w:sz w:val="20"/>
                <w:szCs w:val="20"/>
                <w:color w:val="auto"/>
              </w:rPr>
            </w:pPr>
            <w:r>
              <w:rPr>
                <w:rFonts w:ascii="Calibri" w:cs="Calibri" w:eastAsia="Calibri" w:hAnsi="Calibri"/>
                <w:sz w:val="15"/>
                <w:szCs w:val="15"/>
                <w:b w:val="1"/>
                <w:bCs w:val="1"/>
                <w:color w:val="auto"/>
              </w:rPr>
              <w:t>2,327,801</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2,381,611</w:t>
            </w:r>
          </w:p>
        </w:tc>
        <w:tc>
          <w:tcPr>
            <w:tcW w:w="760" w:type="dxa"/>
            <w:vAlign w:val="bottom"/>
          </w:tcPr>
          <w:p>
            <w:pPr>
              <w:jc w:val="center"/>
              <w:spacing w:after="0"/>
              <w:rPr>
                <w:sz w:val="20"/>
                <w:szCs w:val="20"/>
                <w:color w:val="auto"/>
              </w:rPr>
            </w:pPr>
            <w:r>
              <w:rPr>
                <w:rFonts w:ascii="Calibri" w:cs="Calibri" w:eastAsia="Calibri" w:hAnsi="Calibri"/>
                <w:sz w:val="15"/>
                <w:szCs w:val="15"/>
                <w:b w:val="1"/>
                <w:bCs w:val="1"/>
                <w:color w:val="auto"/>
                <w:w w:val="99"/>
              </w:rPr>
              <w:t>2.3%</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9"/>
              </w:rPr>
              <w:t>2.9%</w:t>
            </w:r>
          </w:p>
        </w:tc>
        <w:tc>
          <w:tcPr>
            <w:tcW w:w="0" w:type="dxa"/>
            <w:vAlign w:val="bottom"/>
          </w:tcPr>
          <w:p>
            <w:pPr>
              <w:spacing w:after="0"/>
              <w:rPr>
                <w:sz w:val="1"/>
                <w:szCs w:val="1"/>
                <w:color w:val="auto"/>
              </w:rPr>
            </w:pPr>
          </w:p>
        </w:tc>
      </w:tr>
      <w:tr>
        <w:trPr>
          <w:trHeight w:val="35"/>
        </w:trPr>
        <w:tc>
          <w:tcPr>
            <w:tcW w:w="4100" w:type="dxa"/>
            <w:vAlign w:val="bottom"/>
            <w:tcBorders>
              <w:left w:val="single" w:sz="8" w:color="auto"/>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00" w:type="dxa"/>
            <w:vAlign w:val="bottom"/>
            <w:tcBorders>
              <w:left w:val="single" w:sz="8" w:color="auto"/>
              <w:right w:val="single" w:sz="8" w:color="auto"/>
            </w:tcBorders>
          </w:tcPr>
          <w:p>
            <w:pPr>
              <w:ind w:left="40"/>
              <w:spacing w:after="0" w:line="197" w:lineRule="exact"/>
              <w:rPr>
                <w:sz w:val="20"/>
                <w:szCs w:val="20"/>
                <w:color w:val="auto"/>
              </w:rPr>
            </w:pPr>
            <w:r>
              <w:rPr>
                <w:rFonts w:ascii="Calibri" w:cs="Calibri" w:eastAsia="Calibri" w:hAnsi="Calibri"/>
                <w:sz w:val="13"/>
                <w:szCs w:val="13"/>
                <w:color w:val="auto"/>
              </w:rPr>
              <w:t xml:space="preserve">Regulatory Tier 1 Capital </w:t>
            </w:r>
            <w:r>
              <w:rPr>
                <w:rFonts w:ascii="Calibri" w:cs="Calibri" w:eastAsia="Calibri" w:hAnsi="Calibri"/>
                <w:sz w:val="21"/>
                <w:szCs w:val="21"/>
                <w:color w:val="auto"/>
                <w:vertAlign w:val="superscript"/>
              </w:rPr>
              <w:t>(2)</w:t>
            </w:r>
          </w:p>
        </w:tc>
        <w:tc>
          <w:tcPr>
            <w:tcW w:w="1240" w:type="dxa"/>
            <w:vAlign w:val="bottom"/>
          </w:tcPr>
          <w:p>
            <w:pPr>
              <w:jc w:val="right"/>
              <w:ind w:right="106"/>
              <w:spacing w:after="0" w:line="180" w:lineRule="exact"/>
              <w:rPr>
                <w:sz w:val="20"/>
                <w:szCs w:val="20"/>
                <w:color w:val="auto"/>
              </w:rPr>
            </w:pPr>
            <w:r>
              <w:rPr>
                <w:rFonts w:ascii="Calibri" w:cs="Calibri" w:eastAsia="Calibri" w:hAnsi="Calibri"/>
                <w:sz w:val="15"/>
                <w:szCs w:val="15"/>
                <w:color w:val="auto"/>
              </w:rPr>
              <w:t>1,962,906</w:t>
            </w:r>
          </w:p>
        </w:tc>
        <w:tc>
          <w:tcPr>
            <w:tcW w:w="1120" w:type="dxa"/>
            <w:vAlign w:val="bottom"/>
          </w:tcPr>
          <w:p>
            <w:pPr>
              <w:jc w:val="right"/>
              <w:ind w:right="106"/>
              <w:spacing w:after="0" w:line="180" w:lineRule="exact"/>
              <w:rPr>
                <w:sz w:val="20"/>
                <w:szCs w:val="20"/>
                <w:color w:val="auto"/>
              </w:rPr>
            </w:pPr>
            <w:r>
              <w:rPr>
                <w:rFonts w:ascii="Calibri" w:cs="Calibri" w:eastAsia="Calibri" w:hAnsi="Calibri"/>
                <w:sz w:val="15"/>
                <w:szCs w:val="15"/>
                <w:color w:val="auto"/>
              </w:rPr>
              <w:t>1,962,906</w:t>
            </w:r>
          </w:p>
        </w:tc>
        <w:tc>
          <w:tcPr>
            <w:tcW w:w="9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2,006,801</w:t>
            </w:r>
          </w:p>
        </w:tc>
        <w:tc>
          <w:tcPr>
            <w:tcW w:w="760" w:type="dxa"/>
            <w:vAlign w:val="bottom"/>
          </w:tcPr>
          <w:p>
            <w:pPr>
              <w:jc w:val="center"/>
              <w:spacing w:after="0" w:line="180" w:lineRule="exact"/>
              <w:rPr>
                <w:sz w:val="20"/>
                <w:szCs w:val="20"/>
                <w:color w:val="auto"/>
              </w:rPr>
            </w:pPr>
            <w:r>
              <w:rPr>
                <w:rFonts w:ascii="Calibri" w:cs="Calibri" w:eastAsia="Calibri" w:hAnsi="Calibri"/>
                <w:sz w:val="15"/>
                <w:szCs w:val="15"/>
                <w:color w:val="auto"/>
                <w:w w:val="94"/>
              </w:rPr>
              <w:t>2.2%</w:t>
            </w:r>
          </w:p>
        </w:tc>
        <w:tc>
          <w:tcPr>
            <w:tcW w:w="8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2.2%</w:t>
            </w:r>
          </w:p>
        </w:tc>
        <w:tc>
          <w:tcPr>
            <w:tcW w:w="0" w:type="dxa"/>
            <w:vAlign w:val="bottom"/>
          </w:tcPr>
          <w:p>
            <w:pPr>
              <w:spacing w:after="0"/>
              <w:rPr>
                <w:sz w:val="1"/>
                <w:szCs w:val="1"/>
                <w:color w:val="auto"/>
              </w:rPr>
            </w:pPr>
          </w:p>
        </w:tc>
      </w:tr>
      <w:tr>
        <w:trPr>
          <w:trHeight w:val="214"/>
        </w:trPr>
        <w:tc>
          <w:tcPr>
            <w:tcW w:w="4100" w:type="dxa"/>
            <w:vAlign w:val="bottom"/>
            <w:tcBorders>
              <w:left w:val="single" w:sz="8" w:color="auto"/>
              <w:bottom w:val="single" w:sz="8" w:color="auto"/>
              <w:right w:val="single" w:sz="8" w:color="auto"/>
            </w:tcBorders>
          </w:tcPr>
          <w:p>
            <w:pPr>
              <w:ind w:left="40"/>
              <w:spacing w:after="0" w:line="211" w:lineRule="exact"/>
              <w:rPr>
                <w:sz w:val="20"/>
                <w:szCs w:val="20"/>
                <w:color w:val="auto"/>
              </w:rPr>
            </w:pPr>
            <w:r>
              <w:rPr>
                <w:rFonts w:ascii="Calibri" w:cs="Calibri" w:eastAsia="Calibri" w:hAnsi="Calibri"/>
                <w:sz w:val="14"/>
                <w:szCs w:val="14"/>
                <w:color w:val="auto"/>
              </w:rPr>
              <w:t xml:space="preserve">Regulatory Tier 2 Capital </w:t>
            </w:r>
            <w:r>
              <w:rPr>
                <w:rFonts w:ascii="Calibri" w:cs="Calibri" w:eastAsia="Calibri" w:hAnsi="Calibri"/>
                <w:sz w:val="23"/>
                <w:szCs w:val="23"/>
                <w:color w:val="auto"/>
                <w:vertAlign w:val="superscript"/>
              </w:rPr>
              <w:t>(3)</w:t>
            </w:r>
          </w:p>
        </w:tc>
        <w:tc>
          <w:tcPr>
            <w:tcW w:w="1240" w:type="dxa"/>
            <w:vAlign w:val="bottom"/>
            <w:tcBorders>
              <w:bottom w:val="single" w:sz="8" w:color="auto"/>
            </w:tcBorders>
          </w:tcPr>
          <w:p>
            <w:pPr>
              <w:jc w:val="right"/>
              <w:ind w:right="106"/>
              <w:spacing w:after="0" w:line="180" w:lineRule="exact"/>
              <w:rPr>
                <w:sz w:val="20"/>
                <w:szCs w:val="20"/>
                <w:color w:val="auto"/>
              </w:rPr>
            </w:pPr>
            <w:r>
              <w:rPr>
                <w:rFonts w:ascii="Calibri" w:cs="Calibri" w:eastAsia="Calibri" w:hAnsi="Calibri"/>
                <w:sz w:val="15"/>
                <w:szCs w:val="15"/>
                <w:color w:val="auto"/>
              </w:rPr>
              <w:t>351,451</w:t>
            </w:r>
          </w:p>
        </w:tc>
        <w:tc>
          <w:tcPr>
            <w:tcW w:w="1120" w:type="dxa"/>
            <w:vAlign w:val="bottom"/>
            <w:tcBorders>
              <w:bottom w:val="single" w:sz="8" w:color="auto"/>
            </w:tcBorders>
          </w:tcPr>
          <w:p>
            <w:pPr>
              <w:jc w:val="right"/>
              <w:ind w:right="106"/>
              <w:spacing w:after="0" w:line="180" w:lineRule="exact"/>
              <w:rPr>
                <w:sz w:val="20"/>
                <w:szCs w:val="20"/>
                <w:color w:val="auto"/>
              </w:rPr>
            </w:pPr>
            <w:r>
              <w:rPr>
                <w:rFonts w:ascii="Calibri" w:cs="Calibri" w:eastAsia="Calibri" w:hAnsi="Calibri"/>
                <w:sz w:val="15"/>
                <w:szCs w:val="15"/>
                <w:color w:val="auto"/>
              </w:rPr>
              <w:t>364,895</w:t>
            </w:r>
          </w:p>
        </w:tc>
        <w:tc>
          <w:tcPr>
            <w:tcW w:w="980" w:type="dxa"/>
            <w:vAlign w:val="bottom"/>
            <w:tcBorders>
              <w:bottom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374,810</w:t>
            </w:r>
          </w:p>
        </w:tc>
        <w:tc>
          <w:tcPr>
            <w:tcW w:w="76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4"/>
              </w:rPr>
              <w:t>2.7%</w:t>
            </w:r>
          </w:p>
        </w:tc>
        <w:tc>
          <w:tcPr>
            <w:tcW w:w="840" w:type="dxa"/>
            <w:vAlign w:val="bottom"/>
            <w:tcBorders>
              <w:bottom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6.6%</w:t>
            </w:r>
          </w:p>
        </w:tc>
        <w:tc>
          <w:tcPr>
            <w:tcW w:w="0" w:type="dxa"/>
            <w:vAlign w:val="bottom"/>
          </w:tcPr>
          <w:p>
            <w:pPr>
              <w:spacing w:after="0"/>
              <w:rPr>
                <w:sz w:val="1"/>
                <w:szCs w:val="1"/>
                <w:color w:val="auto"/>
              </w:rPr>
            </w:pPr>
          </w:p>
        </w:tc>
      </w:tr>
      <w:tr>
        <w:trPr>
          <w:trHeight w:val="184"/>
        </w:trPr>
        <w:tc>
          <w:tcPr>
            <w:tcW w:w="4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00" w:type="dxa"/>
            <w:vAlign w:val="bottom"/>
            <w:tcBorders>
              <w:left w:val="single" w:sz="8" w:color="auto"/>
              <w:bottom w:val="single" w:sz="8" w:color="auto"/>
              <w:right w:val="single" w:sz="8" w:color="auto"/>
            </w:tcBorders>
          </w:tcPr>
          <w:p>
            <w:pPr>
              <w:ind w:left="40"/>
              <w:spacing w:after="0" w:line="204" w:lineRule="exact"/>
              <w:rPr>
                <w:sz w:val="20"/>
                <w:szCs w:val="20"/>
                <w:color w:val="auto"/>
              </w:rPr>
            </w:pPr>
            <w:r>
              <w:rPr>
                <w:rFonts w:ascii="Calibri" w:cs="Calibri" w:eastAsia="Calibri" w:hAnsi="Calibri"/>
                <w:sz w:val="14"/>
                <w:szCs w:val="14"/>
                <w:b w:val="1"/>
                <w:bCs w:val="1"/>
                <w:color w:val="auto"/>
              </w:rPr>
              <w:t xml:space="preserve">Total risk-weighted assets - SBS </w:t>
            </w:r>
            <w:r>
              <w:rPr>
                <w:rFonts w:ascii="Calibri" w:cs="Calibri" w:eastAsia="Calibri" w:hAnsi="Calibri"/>
                <w:sz w:val="22"/>
                <w:szCs w:val="22"/>
                <w:b w:val="1"/>
                <w:bCs w:val="1"/>
                <w:color w:val="auto"/>
                <w:vertAlign w:val="superscript"/>
              </w:rPr>
              <w:t>(4)</w:t>
            </w:r>
          </w:p>
        </w:tc>
        <w:tc>
          <w:tcPr>
            <w:tcW w:w="1240" w:type="dxa"/>
            <w:vAlign w:val="bottom"/>
            <w:tcBorders>
              <w:bottom w:val="single" w:sz="8" w:color="auto"/>
            </w:tcBorders>
          </w:tcPr>
          <w:p>
            <w:pPr>
              <w:jc w:val="right"/>
              <w:ind w:right="106"/>
              <w:spacing w:after="0" w:line="180" w:lineRule="exact"/>
              <w:rPr>
                <w:sz w:val="20"/>
                <w:szCs w:val="20"/>
                <w:color w:val="auto"/>
              </w:rPr>
            </w:pPr>
            <w:r>
              <w:rPr>
                <w:rFonts w:ascii="Calibri" w:cs="Calibri" w:eastAsia="Calibri" w:hAnsi="Calibri"/>
                <w:sz w:val="15"/>
                <w:szCs w:val="15"/>
                <w:b w:val="1"/>
                <w:bCs w:val="1"/>
                <w:color w:val="auto"/>
              </w:rPr>
              <w:t>14,825,319</w:t>
            </w:r>
          </w:p>
        </w:tc>
        <w:tc>
          <w:tcPr>
            <w:tcW w:w="1120" w:type="dxa"/>
            <w:vAlign w:val="bottom"/>
            <w:tcBorders>
              <w:bottom w:val="single" w:sz="8" w:color="auto"/>
            </w:tcBorders>
          </w:tcPr>
          <w:p>
            <w:pPr>
              <w:jc w:val="right"/>
              <w:ind w:right="106"/>
              <w:spacing w:after="0" w:line="180" w:lineRule="exact"/>
              <w:rPr>
                <w:sz w:val="20"/>
                <w:szCs w:val="20"/>
                <w:color w:val="auto"/>
              </w:rPr>
            </w:pPr>
            <w:r>
              <w:rPr>
                <w:rFonts w:ascii="Calibri" w:cs="Calibri" w:eastAsia="Calibri" w:hAnsi="Calibri"/>
                <w:sz w:val="15"/>
                <w:szCs w:val="15"/>
                <w:b w:val="1"/>
                <w:bCs w:val="1"/>
                <w:color w:val="auto"/>
              </w:rPr>
              <w:t>15,850,329</w:t>
            </w:r>
          </w:p>
        </w:tc>
        <w:tc>
          <w:tcPr>
            <w:tcW w:w="980" w:type="dxa"/>
            <w:vAlign w:val="bottom"/>
            <w:tcBorders>
              <w:bottom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16,104,381</w:t>
            </w:r>
          </w:p>
        </w:tc>
        <w:tc>
          <w:tcPr>
            <w:tcW w:w="76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w w:val="99"/>
              </w:rPr>
              <w:t>1.6%</w:t>
            </w:r>
          </w:p>
        </w:tc>
        <w:tc>
          <w:tcPr>
            <w:tcW w:w="840" w:type="dxa"/>
            <w:vAlign w:val="bottom"/>
            <w:tcBorders>
              <w:bottom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w w:val="99"/>
              </w:rPr>
              <w:t>8.6%</w:t>
            </w:r>
          </w:p>
        </w:tc>
        <w:tc>
          <w:tcPr>
            <w:tcW w:w="0" w:type="dxa"/>
            <w:vAlign w:val="bottom"/>
          </w:tcPr>
          <w:p>
            <w:pPr>
              <w:spacing w:after="0"/>
              <w:rPr>
                <w:sz w:val="1"/>
                <w:szCs w:val="1"/>
                <w:color w:val="auto"/>
              </w:rPr>
            </w:pPr>
          </w:p>
        </w:tc>
      </w:tr>
      <w:tr>
        <w:trPr>
          <w:trHeight w:val="179"/>
        </w:trPr>
        <w:tc>
          <w:tcPr>
            <w:tcW w:w="4100" w:type="dxa"/>
            <w:vAlign w:val="bottom"/>
            <w:tcBorders>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color w:val="auto"/>
              </w:rPr>
              <w:t>Credit risk-weighted assets</w:t>
            </w:r>
          </w:p>
        </w:tc>
        <w:tc>
          <w:tcPr>
            <w:tcW w:w="1240" w:type="dxa"/>
            <w:vAlign w:val="bottom"/>
          </w:tcPr>
          <w:p>
            <w:pPr>
              <w:jc w:val="right"/>
              <w:ind w:right="106"/>
              <w:spacing w:after="0" w:line="180" w:lineRule="exact"/>
              <w:rPr>
                <w:sz w:val="20"/>
                <w:szCs w:val="20"/>
                <w:color w:val="auto"/>
              </w:rPr>
            </w:pPr>
            <w:r>
              <w:rPr>
                <w:rFonts w:ascii="Calibri" w:cs="Calibri" w:eastAsia="Calibri" w:hAnsi="Calibri"/>
                <w:sz w:val="15"/>
                <w:szCs w:val="15"/>
                <w:b w:val="1"/>
                <w:bCs w:val="1"/>
                <w:color w:val="auto"/>
              </w:rPr>
              <w:t>12,747,979</w:t>
            </w:r>
          </w:p>
        </w:tc>
        <w:tc>
          <w:tcPr>
            <w:tcW w:w="1120" w:type="dxa"/>
            <w:vAlign w:val="bottom"/>
          </w:tcPr>
          <w:p>
            <w:pPr>
              <w:jc w:val="right"/>
              <w:ind w:right="106"/>
              <w:spacing w:after="0" w:line="180" w:lineRule="exact"/>
              <w:rPr>
                <w:sz w:val="20"/>
                <w:szCs w:val="20"/>
                <w:color w:val="auto"/>
              </w:rPr>
            </w:pPr>
            <w:r>
              <w:rPr>
                <w:rFonts w:ascii="Calibri" w:cs="Calibri" w:eastAsia="Calibri" w:hAnsi="Calibri"/>
                <w:sz w:val="15"/>
                <w:szCs w:val="15"/>
                <w:b w:val="1"/>
                <w:bCs w:val="1"/>
                <w:color w:val="auto"/>
              </w:rPr>
              <w:t>14,345,663</w:t>
            </w:r>
          </w:p>
        </w:tc>
        <w:tc>
          <w:tcPr>
            <w:tcW w:w="9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14,535,512</w:t>
            </w:r>
          </w:p>
        </w:tc>
        <w:tc>
          <w:tcPr>
            <w:tcW w:w="760" w:type="dxa"/>
            <w:vAlign w:val="bottom"/>
          </w:tcPr>
          <w:p>
            <w:pPr>
              <w:jc w:val="center"/>
              <w:spacing w:after="0" w:line="180" w:lineRule="exact"/>
              <w:rPr>
                <w:sz w:val="20"/>
                <w:szCs w:val="20"/>
                <w:color w:val="auto"/>
              </w:rPr>
            </w:pPr>
            <w:r>
              <w:rPr>
                <w:rFonts w:ascii="Calibri" w:cs="Calibri" w:eastAsia="Calibri" w:hAnsi="Calibri"/>
                <w:sz w:val="15"/>
                <w:szCs w:val="15"/>
                <w:color w:val="auto"/>
                <w:w w:val="94"/>
              </w:rPr>
              <w:t>1.3%</w:t>
            </w:r>
          </w:p>
        </w:tc>
        <w:tc>
          <w:tcPr>
            <w:tcW w:w="8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6"/>
              </w:rPr>
              <w:t>14.0%</w:t>
            </w:r>
          </w:p>
        </w:tc>
        <w:tc>
          <w:tcPr>
            <w:tcW w:w="0" w:type="dxa"/>
            <w:vAlign w:val="bottom"/>
          </w:tcPr>
          <w:p>
            <w:pPr>
              <w:spacing w:after="0"/>
              <w:rPr>
                <w:sz w:val="1"/>
                <w:szCs w:val="1"/>
                <w:color w:val="auto"/>
              </w:rPr>
            </w:pPr>
          </w:p>
        </w:tc>
      </w:tr>
      <w:tr>
        <w:trPr>
          <w:trHeight w:val="222"/>
        </w:trPr>
        <w:tc>
          <w:tcPr>
            <w:tcW w:w="4100" w:type="dxa"/>
            <w:vAlign w:val="bottom"/>
            <w:tcBorders>
              <w:left w:val="single" w:sz="8" w:color="auto"/>
              <w:right w:val="single" w:sz="8" w:color="auto"/>
            </w:tcBorders>
          </w:tcPr>
          <w:p>
            <w:pPr>
              <w:ind w:left="40"/>
              <w:spacing w:after="0" w:line="221" w:lineRule="exact"/>
              <w:rPr>
                <w:sz w:val="20"/>
                <w:szCs w:val="20"/>
                <w:color w:val="auto"/>
              </w:rPr>
            </w:pPr>
            <w:r>
              <w:rPr>
                <w:rFonts w:ascii="Calibri" w:cs="Calibri" w:eastAsia="Calibri" w:hAnsi="Calibri"/>
                <w:sz w:val="15"/>
                <w:szCs w:val="15"/>
                <w:color w:val="auto"/>
              </w:rPr>
              <w:t xml:space="preserve">Market risk-weighted assets </w:t>
            </w:r>
            <w:r>
              <w:rPr>
                <w:rFonts w:ascii="Calibri" w:cs="Calibri" w:eastAsia="Calibri" w:hAnsi="Calibri"/>
                <w:sz w:val="24"/>
                <w:szCs w:val="24"/>
                <w:color w:val="auto"/>
                <w:vertAlign w:val="superscript"/>
              </w:rPr>
              <w:t>(5)</w:t>
            </w:r>
          </w:p>
        </w:tc>
        <w:tc>
          <w:tcPr>
            <w:tcW w:w="1240" w:type="dxa"/>
            <w:vAlign w:val="bottom"/>
          </w:tcPr>
          <w:p>
            <w:pPr>
              <w:jc w:val="right"/>
              <w:ind w:right="106"/>
              <w:spacing w:after="0"/>
              <w:rPr>
                <w:sz w:val="20"/>
                <w:szCs w:val="20"/>
                <w:color w:val="auto"/>
              </w:rPr>
            </w:pPr>
            <w:r>
              <w:rPr>
                <w:rFonts w:ascii="Calibri" w:cs="Calibri" w:eastAsia="Calibri" w:hAnsi="Calibri"/>
                <w:sz w:val="15"/>
                <w:szCs w:val="15"/>
                <w:b w:val="1"/>
                <w:bCs w:val="1"/>
                <w:color w:val="auto"/>
              </w:rPr>
              <w:t>177,097</w:t>
            </w:r>
          </w:p>
        </w:tc>
        <w:tc>
          <w:tcPr>
            <w:tcW w:w="1120" w:type="dxa"/>
            <w:vAlign w:val="bottom"/>
          </w:tcPr>
          <w:p>
            <w:pPr>
              <w:jc w:val="right"/>
              <w:ind w:right="106"/>
              <w:spacing w:after="0"/>
              <w:rPr>
                <w:sz w:val="20"/>
                <w:szCs w:val="20"/>
                <w:color w:val="auto"/>
              </w:rPr>
            </w:pPr>
            <w:r>
              <w:rPr>
                <w:rFonts w:ascii="Calibri" w:cs="Calibri" w:eastAsia="Calibri" w:hAnsi="Calibri"/>
                <w:sz w:val="15"/>
                <w:szCs w:val="15"/>
                <w:b w:val="1"/>
                <w:bCs w:val="1"/>
                <w:color w:val="auto"/>
              </w:rPr>
              <w:t>96,803</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141,441</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6"/>
              </w:rPr>
              <w:t>46.1%</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-20.1%</w:t>
            </w:r>
          </w:p>
        </w:tc>
        <w:tc>
          <w:tcPr>
            <w:tcW w:w="0" w:type="dxa"/>
            <w:vAlign w:val="bottom"/>
          </w:tcPr>
          <w:p>
            <w:pPr>
              <w:spacing w:after="0"/>
              <w:rPr>
                <w:sz w:val="1"/>
                <w:szCs w:val="1"/>
                <w:color w:val="auto"/>
              </w:rPr>
            </w:pPr>
          </w:p>
        </w:tc>
      </w:tr>
      <w:tr>
        <w:trPr>
          <w:trHeight w:val="179"/>
        </w:trPr>
        <w:tc>
          <w:tcPr>
            <w:tcW w:w="4100" w:type="dxa"/>
            <w:vAlign w:val="bottom"/>
            <w:tcBorders>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color w:val="auto"/>
              </w:rPr>
              <w:t>Operatonal risk-weighted assets</w:t>
            </w:r>
          </w:p>
        </w:tc>
        <w:tc>
          <w:tcPr>
            <w:tcW w:w="1240" w:type="dxa"/>
            <w:vAlign w:val="bottom"/>
          </w:tcPr>
          <w:p>
            <w:pPr>
              <w:jc w:val="right"/>
              <w:ind w:right="106"/>
              <w:spacing w:after="0" w:line="180" w:lineRule="exact"/>
              <w:rPr>
                <w:sz w:val="20"/>
                <w:szCs w:val="20"/>
                <w:color w:val="auto"/>
              </w:rPr>
            </w:pPr>
            <w:r>
              <w:rPr>
                <w:rFonts w:ascii="Calibri" w:cs="Calibri" w:eastAsia="Calibri" w:hAnsi="Calibri"/>
                <w:sz w:val="15"/>
                <w:szCs w:val="15"/>
                <w:b w:val="1"/>
                <w:bCs w:val="1"/>
                <w:color w:val="auto"/>
              </w:rPr>
              <w:t>1,900,243</w:t>
            </w:r>
          </w:p>
        </w:tc>
        <w:tc>
          <w:tcPr>
            <w:tcW w:w="1120" w:type="dxa"/>
            <w:vAlign w:val="bottom"/>
          </w:tcPr>
          <w:p>
            <w:pPr>
              <w:jc w:val="right"/>
              <w:ind w:right="106"/>
              <w:spacing w:after="0" w:line="180" w:lineRule="exact"/>
              <w:rPr>
                <w:sz w:val="20"/>
                <w:szCs w:val="20"/>
                <w:color w:val="auto"/>
              </w:rPr>
            </w:pPr>
            <w:r>
              <w:rPr>
                <w:rFonts w:ascii="Calibri" w:cs="Calibri" w:eastAsia="Calibri" w:hAnsi="Calibri"/>
                <w:sz w:val="15"/>
                <w:szCs w:val="15"/>
                <w:b w:val="1"/>
                <w:bCs w:val="1"/>
                <w:color w:val="auto"/>
              </w:rPr>
              <w:t>1,407,863</w:t>
            </w:r>
          </w:p>
        </w:tc>
        <w:tc>
          <w:tcPr>
            <w:tcW w:w="9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1,427,428</w:t>
            </w:r>
          </w:p>
        </w:tc>
        <w:tc>
          <w:tcPr>
            <w:tcW w:w="760" w:type="dxa"/>
            <w:vAlign w:val="bottom"/>
          </w:tcPr>
          <w:p>
            <w:pPr>
              <w:jc w:val="center"/>
              <w:spacing w:after="0" w:line="180" w:lineRule="exact"/>
              <w:rPr>
                <w:sz w:val="20"/>
                <w:szCs w:val="20"/>
                <w:color w:val="auto"/>
              </w:rPr>
            </w:pPr>
            <w:r>
              <w:rPr>
                <w:rFonts w:ascii="Calibri" w:cs="Calibri" w:eastAsia="Calibri" w:hAnsi="Calibri"/>
                <w:sz w:val="15"/>
                <w:szCs w:val="15"/>
                <w:color w:val="auto"/>
                <w:w w:val="94"/>
              </w:rPr>
              <w:t>1.4%</w:t>
            </w:r>
          </w:p>
        </w:tc>
        <w:tc>
          <w:tcPr>
            <w:tcW w:w="8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-24.9%</w:t>
            </w:r>
          </w:p>
        </w:tc>
        <w:tc>
          <w:tcPr>
            <w:tcW w:w="0" w:type="dxa"/>
            <w:vAlign w:val="bottom"/>
          </w:tcPr>
          <w:p>
            <w:pPr>
              <w:spacing w:after="0"/>
              <w:rPr>
                <w:sz w:val="1"/>
                <w:szCs w:val="1"/>
                <w:color w:val="auto"/>
              </w:rPr>
            </w:pPr>
          </w:p>
        </w:tc>
      </w:tr>
      <w:tr>
        <w:trPr>
          <w:trHeight w:val="35"/>
        </w:trPr>
        <w:tc>
          <w:tcPr>
            <w:tcW w:w="4100" w:type="dxa"/>
            <w:vAlign w:val="bottom"/>
            <w:tcBorders>
              <w:left w:val="single" w:sz="8" w:color="auto"/>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00" w:type="dxa"/>
            <w:vAlign w:val="bottom"/>
            <w:tcBorders>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b w:val="1"/>
                <w:bCs w:val="1"/>
                <w:color w:val="auto"/>
              </w:rPr>
              <w:t>Total capital requirement - SBS</w:t>
            </w:r>
          </w:p>
        </w:tc>
        <w:tc>
          <w:tcPr>
            <w:tcW w:w="1240" w:type="dxa"/>
            <w:vAlign w:val="bottom"/>
          </w:tcPr>
          <w:p>
            <w:pPr>
              <w:jc w:val="right"/>
              <w:ind w:right="106"/>
              <w:spacing w:after="0" w:line="180" w:lineRule="exact"/>
              <w:rPr>
                <w:sz w:val="20"/>
                <w:szCs w:val="20"/>
                <w:color w:val="auto"/>
              </w:rPr>
            </w:pPr>
            <w:r>
              <w:rPr>
                <w:rFonts w:ascii="Calibri" w:cs="Calibri" w:eastAsia="Calibri" w:hAnsi="Calibri"/>
                <w:sz w:val="15"/>
                <w:szCs w:val="15"/>
                <w:b w:val="1"/>
                <w:bCs w:val="1"/>
                <w:color w:val="auto"/>
              </w:rPr>
              <w:t>1,363,550</w:t>
            </w:r>
          </w:p>
        </w:tc>
        <w:tc>
          <w:tcPr>
            <w:tcW w:w="1120" w:type="dxa"/>
            <w:vAlign w:val="bottom"/>
          </w:tcPr>
          <w:p>
            <w:pPr>
              <w:jc w:val="right"/>
              <w:ind w:right="106"/>
              <w:spacing w:after="0" w:line="180" w:lineRule="exact"/>
              <w:rPr>
                <w:sz w:val="20"/>
                <w:szCs w:val="20"/>
                <w:color w:val="auto"/>
              </w:rPr>
            </w:pPr>
            <w:r>
              <w:rPr>
                <w:rFonts w:ascii="Calibri" w:cs="Calibri" w:eastAsia="Calibri" w:hAnsi="Calibri"/>
                <w:sz w:val="15"/>
                <w:szCs w:val="15"/>
                <w:b w:val="1"/>
                <w:bCs w:val="1"/>
                <w:color w:val="auto"/>
              </w:rPr>
              <w:t>1,735,360</w:t>
            </w:r>
          </w:p>
        </w:tc>
        <w:tc>
          <w:tcPr>
            <w:tcW w:w="9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1,791,008</w:t>
            </w:r>
          </w:p>
        </w:tc>
        <w:tc>
          <w:tcPr>
            <w:tcW w:w="760" w:type="dxa"/>
            <w:vAlign w:val="bottom"/>
          </w:tcPr>
          <w:p>
            <w:pPr>
              <w:jc w:val="center"/>
              <w:spacing w:after="0" w:line="180" w:lineRule="exact"/>
              <w:rPr>
                <w:sz w:val="20"/>
                <w:szCs w:val="20"/>
                <w:color w:val="auto"/>
              </w:rPr>
            </w:pPr>
            <w:r>
              <w:rPr>
                <w:rFonts w:ascii="Calibri" w:cs="Calibri" w:eastAsia="Calibri" w:hAnsi="Calibri"/>
                <w:sz w:val="15"/>
                <w:szCs w:val="15"/>
                <w:b w:val="1"/>
                <w:bCs w:val="1"/>
                <w:color w:val="auto"/>
                <w:w w:val="99"/>
              </w:rPr>
              <w:t>3.2%</w:t>
            </w:r>
          </w:p>
        </w:tc>
        <w:tc>
          <w:tcPr>
            <w:tcW w:w="8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rPr>
              <w:t>31.3%</w:t>
            </w:r>
          </w:p>
        </w:tc>
        <w:tc>
          <w:tcPr>
            <w:tcW w:w="0" w:type="dxa"/>
            <w:vAlign w:val="bottom"/>
          </w:tcPr>
          <w:p>
            <w:pPr>
              <w:spacing w:after="0"/>
              <w:rPr>
                <w:sz w:val="1"/>
                <w:szCs w:val="1"/>
                <w:color w:val="auto"/>
              </w:rPr>
            </w:pPr>
          </w:p>
        </w:tc>
      </w:tr>
      <w:tr>
        <w:trPr>
          <w:trHeight w:val="27"/>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100" w:type="dxa"/>
            <w:vAlign w:val="bottom"/>
            <w:tcBorders>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color w:val="auto"/>
              </w:rPr>
              <w:t>Credit risk capital requirement</w:t>
            </w:r>
          </w:p>
        </w:tc>
        <w:tc>
          <w:tcPr>
            <w:tcW w:w="1240" w:type="dxa"/>
            <w:vAlign w:val="bottom"/>
          </w:tcPr>
          <w:p>
            <w:pPr>
              <w:jc w:val="right"/>
              <w:ind w:right="106"/>
              <w:spacing w:after="0" w:line="180" w:lineRule="exact"/>
              <w:rPr>
                <w:sz w:val="20"/>
                <w:szCs w:val="20"/>
                <w:color w:val="auto"/>
              </w:rPr>
            </w:pPr>
            <w:r>
              <w:rPr>
                <w:rFonts w:ascii="Calibri" w:cs="Calibri" w:eastAsia="Calibri" w:hAnsi="Calibri"/>
                <w:sz w:val="15"/>
                <w:szCs w:val="15"/>
                <w:b w:val="1"/>
                <w:bCs w:val="1"/>
                <w:color w:val="auto"/>
              </w:rPr>
              <w:t>1,019,838</w:t>
            </w:r>
          </w:p>
        </w:tc>
        <w:tc>
          <w:tcPr>
            <w:tcW w:w="1120" w:type="dxa"/>
            <w:vAlign w:val="bottom"/>
          </w:tcPr>
          <w:p>
            <w:pPr>
              <w:jc w:val="right"/>
              <w:ind w:right="106"/>
              <w:spacing w:after="0" w:line="180" w:lineRule="exact"/>
              <w:rPr>
                <w:sz w:val="20"/>
                <w:szCs w:val="20"/>
                <w:color w:val="auto"/>
              </w:rPr>
            </w:pPr>
            <w:r>
              <w:rPr>
                <w:rFonts w:ascii="Calibri" w:cs="Calibri" w:eastAsia="Calibri" w:hAnsi="Calibri"/>
                <w:sz w:val="15"/>
                <w:szCs w:val="15"/>
                <w:b w:val="1"/>
                <w:bCs w:val="1"/>
                <w:color w:val="auto"/>
              </w:rPr>
              <w:t>1,219,381</w:t>
            </w:r>
          </w:p>
        </w:tc>
        <w:tc>
          <w:tcPr>
            <w:tcW w:w="9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1,235,519</w:t>
            </w:r>
          </w:p>
        </w:tc>
        <w:tc>
          <w:tcPr>
            <w:tcW w:w="760" w:type="dxa"/>
            <w:vAlign w:val="bottom"/>
          </w:tcPr>
          <w:p>
            <w:pPr>
              <w:jc w:val="center"/>
              <w:spacing w:after="0" w:line="180" w:lineRule="exact"/>
              <w:rPr>
                <w:sz w:val="20"/>
                <w:szCs w:val="20"/>
                <w:color w:val="auto"/>
              </w:rPr>
            </w:pPr>
            <w:r>
              <w:rPr>
                <w:rFonts w:ascii="Calibri" w:cs="Calibri" w:eastAsia="Calibri" w:hAnsi="Calibri"/>
                <w:sz w:val="15"/>
                <w:szCs w:val="15"/>
                <w:color w:val="auto"/>
                <w:w w:val="94"/>
              </w:rPr>
              <w:t>1.3%</w:t>
            </w:r>
          </w:p>
        </w:tc>
        <w:tc>
          <w:tcPr>
            <w:tcW w:w="8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6"/>
              </w:rPr>
              <w:t>21.1%</w:t>
            </w:r>
          </w:p>
        </w:tc>
        <w:tc>
          <w:tcPr>
            <w:tcW w:w="0" w:type="dxa"/>
            <w:vAlign w:val="bottom"/>
          </w:tcPr>
          <w:p>
            <w:pPr>
              <w:spacing w:after="0"/>
              <w:rPr>
                <w:sz w:val="1"/>
                <w:szCs w:val="1"/>
                <w:color w:val="auto"/>
              </w:rPr>
            </w:pPr>
          </w:p>
        </w:tc>
      </w:tr>
      <w:tr>
        <w:trPr>
          <w:trHeight w:val="222"/>
        </w:trPr>
        <w:tc>
          <w:tcPr>
            <w:tcW w:w="4100" w:type="dxa"/>
            <w:vAlign w:val="bottom"/>
            <w:tcBorders>
              <w:left w:val="single" w:sz="8" w:color="auto"/>
              <w:right w:val="single" w:sz="8" w:color="auto"/>
            </w:tcBorders>
          </w:tcPr>
          <w:p>
            <w:pPr>
              <w:ind w:left="40"/>
              <w:spacing w:after="0" w:line="221" w:lineRule="exact"/>
              <w:rPr>
                <w:sz w:val="20"/>
                <w:szCs w:val="20"/>
                <w:color w:val="auto"/>
              </w:rPr>
            </w:pPr>
            <w:r>
              <w:rPr>
                <w:rFonts w:ascii="Calibri" w:cs="Calibri" w:eastAsia="Calibri" w:hAnsi="Calibri"/>
                <w:sz w:val="15"/>
                <w:szCs w:val="15"/>
                <w:color w:val="auto"/>
              </w:rPr>
              <w:t xml:space="preserve">Market risk capital requirement </w:t>
            </w:r>
            <w:r>
              <w:rPr>
                <w:rFonts w:ascii="Calibri" w:cs="Calibri" w:eastAsia="Calibri" w:hAnsi="Calibri"/>
                <w:sz w:val="24"/>
                <w:szCs w:val="24"/>
                <w:color w:val="auto"/>
                <w:vertAlign w:val="superscript"/>
              </w:rPr>
              <w:t>(5)</w:t>
            </w:r>
          </w:p>
        </w:tc>
        <w:tc>
          <w:tcPr>
            <w:tcW w:w="1240" w:type="dxa"/>
            <w:vAlign w:val="bottom"/>
          </w:tcPr>
          <w:p>
            <w:pPr>
              <w:jc w:val="right"/>
              <w:ind w:right="106"/>
              <w:spacing w:after="0"/>
              <w:rPr>
                <w:sz w:val="20"/>
                <w:szCs w:val="20"/>
                <w:color w:val="auto"/>
              </w:rPr>
            </w:pPr>
            <w:r>
              <w:rPr>
                <w:rFonts w:ascii="Calibri" w:cs="Calibri" w:eastAsia="Calibri" w:hAnsi="Calibri"/>
                <w:sz w:val="15"/>
                <w:szCs w:val="15"/>
                <w:b w:val="1"/>
                <w:bCs w:val="1"/>
                <w:color w:val="auto"/>
              </w:rPr>
              <w:t>17,710</w:t>
            </w:r>
          </w:p>
        </w:tc>
        <w:tc>
          <w:tcPr>
            <w:tcW w:w="1120" w:type="dxa"/>
            <w:vAlign w:val="bottom"/>
          </w:tcPr>
          <w:p>
            <w:pPr>
              <w:jc w:val="right"/>
              <w:ind w:right="106"/>
              <w:spacing w:after="0"/>
              <w:rPr>
                <w:sz w:val="20"/>
                <w:szCs w:val="20"/>
                <w:color w:val="auto"/>
              </w:rPr>
            </w:pPr>
            <w:r>
              <w:rPr>
                <w:rFonts w:ascii="Calibri" w:cs="Calibri" w:eastAsia="Calibri" w:hAnsi="Calibri"/>
                <w:sz w:val="15"/>
                <w:szCs w:val="15"/>
                <w:b w:val="1"/>
                <w:bCs w:val="1"/>
                <w:color w:val="auto"/>
              </w:rPr>
              <w:t>9,680</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14,144</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6"/>
              </w:rPr>
              <w:t>46.1%</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-20.1%</w:t>
            </w:r>
          </w:p>
        </w:tc>
        <w:tc>
          <w:tcPr>
            <w:tcW w:w="0" w:type="dxa"/>
            <w:vAlign w:val="bottom"/>
          </w:tcPr>
          <w:p>
            <w:pPr>
              <w:spacing w:after="0"/>
              <w:rPr>
                <w:sz w:val="1"/>
                <w:szCs w:val="1"/>
                <w:color w:val="auto"/>
              </w:rPr>
            </w:pPr>
          </w:p>
        </w:tc>
      </w:tr>
      <w:tr>
        <w:trPr>
          <w:trHeight w:val="179"/>
        </w:trPr>
        <w:tc>
          <w:tcPr>
            <w:tcW w:w="4100" w:type="dxa"/>
            <w:vAlign w:val="bottom"/>
            <w:tcBorders>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color w:val="auto"/>
              </w:rPr>
              <w:t>Operatonal risk capital requirement</w:t>
            </w:r>
          </w:p>
        </w:tc>
        <w:tc>
          <w:tcPr>
            <w:tcW w:w="1240" w:type="dxa"/>
            <w:vAlign w:val="bottom"/>
          </w:tcPr>
          <w:p>
            <w:pPr>
              <w:jc w:val="right"/>
              <w:ind w:right="106"/>
              <w:spacing w:after="0" w:line="180" w:lineRule="exact"/>
              <w:rPr>
                <w:sz w:val="20"/>
                <w:szCs w:val="20"/>
                <w:color w:val="auto"/>
              </w:rPr>
            </w:pPr>
            <w:r>
              <w:rPr>
                <w:rFonts w:ascii="Calibri" w:cs="Calibri" w:eastAsia="Calibri" w:hAnsi="Calibri"/>
                <w:sz w:val="15"/>
                <w:szCs w:val="15"/>
                <w:b w:val="1"/>
                <w:bCs w:val="1"/>
                <w:color w:val="auto"/>
              </w:rPr>
              <w:t>190,024</w:t>
            </w:r>
          </w:p>
        </w:tc>
        <w:tc>
          <w:tcPr>
            <w:tcW w:w="1120" w:type="dxa"/>
            <w:vAlign w:val="bottom"/>
          </w:tcPr>
          <w:p>
            <w:pPr>
              <w:jc w:val="right"/>
              <w:ind w:right="106"/>
              <w:spacing w:after="0" w:line="180" w:lineRule="exact"/>
              <w:rPr>
                <w:sz w:val="20"/>
                <w:szCs w:val="20"/>
                <w:color w:val="auto"/>
              </w:rPr>
            </w:pPr>
            <w:r>
              <w:rPr>
                <w:rFonts w:ascii="Calibri" w:cs="Calibri" w:eastAsia="Calibri" w:hAnsi="Calibri"/>
                <w:sz w:val="15"/>
                <w:szCs w:val="15"/>
                <w:b w:val="1"/>
                <w:bCs w:val="1"/>
                <w:color w:val="auto"/>
              </w:rPr>
              <w:t>140,786</w:t>
            </w:r>
          </w:p>
        </w:tc>
        <w:tc>
          <w:tcPr>
            <w:tcW w:w="9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142,743</w:t>
            </w:r>
          </w:p>
        </w:tc>
        <w:tc>
          <w:tcPr>
            <w:tcW w:w="760" w:type="dxa"/>
            <w:vAlign w:val="bottom"/>
          </w:tcPr>
          <w:p>
            <w:pPr>
              <w:jc w:val="center"/>
              <w:spacing w:after="0" w:line="180" w:lineRule="exact"/>
              <w:rPr>
                <w:sz w:val="20"/>
                <w:szCs w:val="20"/>
                <w:color w:val="auto"/>
              </w:rPr>
            </w:pPr>
            <w:r>
              <w:rPr>
                <w:rFonts w:ascii="Calibri" w:cs="Calibri" w:eastAsia="Calibri" w:hAnsi="Calibri"/>
                <w:sz w:val="15"/>
                <w:szCs w:val="15"/>
                <w:color w:val="auto"/>
                <w:w w:val="94"/>
              </w:rPr>
              <w:t>1.4%</w:t>
            </w:r>
          </w:p>
        </w:tc>
        <w:tc>
          <w:tcPr>
            <w:tcW w:w="8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-24.9%</w:t>
            </w:r>
          </w:p>
        </w:tc>
        <w:tc>
          <w:tcPr>
            <w:tcW w:w="0" w:type="dxa"/>
            <w:vAlign w:val="bottom"/>
          </w:tcPr>
          <w:p>
            <w:pPr>
              <w:spacing w:after="0"/>
              <w:rPr>
                <w:sz w:val="1"/>
                <w:szCs w:val="1"/>
                <w:color w:val="auto"/>
              </w:rPr>
            </w:pPr>
          </w:p>
        </w:tc>
      </w:tr>
      <w:tr>
        <w:trPr>
          <w:trHeight w:val="204"/>
        </w:trPr>
        <w:tc>
          <w:tcPr>
            <w:tcW w:w="41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Additonal capital requirements</w:t>
            </w:r>
          </w:p>
        </w:tc>
        <w:tc>
          <w:tcPr>
            <w:tcW w:w="1240" w:type="dxa"/>
            <w:vAlign w:val="bottom"/>
          </w:tcPr>
          <w:p>
            <w:pPr>
              <w:jc w:val="right"/>
              <w:ind w:right="106"/>
              <w:spacing w:after="0"/>
              <w:rPr>
                <w:sz w:val="20"/>
                <w:szCs w:val="20"/>
                <w:color w:val="auto"/>
              </w:rPr>
            </w:pPr>
            <w:r>
              <w:rPr>
                <w:rFonts w:ascii="Calibri" w:cs="Calibri" w:eastAsia="Calibri" w:hAnsi="Calibri"/>
                <w:sz w:val="15"/>
                <w:szCs w:val="15"/>
                <w:b w:val="1"/>
                <w:bCs w:val="1"/>
                <w:color w:val="auto"/>
              </w:rPr>
              <w:t>135,978</w:t>
            </w:r>
          </w:p>
        </w:tc>
        <w:tc>
          <w:tcPr>
            <w:tcW w:w="1120" w:type="dxa"/>
            <w:vAlign w:val="bottom"/>
          </w:tcPr>
          <w:p>
            <w:pPr>
              <w:jc w:val="right"/>
              <w:ind w:right="106"/>
              <w:spacing w:after="0"/>
              <w:rPr>
                <w:sz w:val="20"/>
                <w:szCs w:val="20"/>
                <w:color w:val="auto"/>
              </w:rPr>
            </w:pPr>
            <w:r>
              <w:rPr>
                <w:rFonts w:ascii="Calibri" w:cs="Calibri" w:eastAsia="Calibri" w:hAnsi="Calibri"/>
                <w:sz w:val="15"/>
                <w:szCs w:val="15"/>
                <w:b w:val="1"/>
                <w:bCs w:val="1"/>
                <w:color w:val="auto"/>
              </w:rPr>
              <w:t>365,512</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398,603</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4"/>
              </w:rPr>
              <w:t>9.1%</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193.1%</w:t>
            </w:r>
          </w:p>
        </w:tc>
        <w:tc>
          <w:tcPr>
            <w:tcW w:w="0" w:type="dxa"/>
            <w:vAlign w:val="bottom"/>
          </w:tcPr>
          <w:p>
            <w:pPr>
              <w:spacing w:after="0"/>
              <w:rPr>
                <w:sz w:val="1"/>
                <w:szCs w:val="1"/>
                <w:color w:val="auto"/>
              </w:rPr>
            </w:pPr>
          </w:p>
        </w:tc>
      </w:tr>
      <w:tr>
        <w:trPr>
          <w:trHeight w:val="35"/>
        </w:trPr>
        <w:tc>
          <w:tcPr>
            <w:tcW w:w="4100" w:type="dxa"/>
            <w:vAlign w:val="bottom"/>
            <w:tcBorders>
              <w:left w:val="single" w:sz="8" w:color="auto"/>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00" w:type="dxa"/>
            <w:vAlign w:val="bottom"/>
            <w:tcBorders>
              <w:left w:val="single" w:sz="8" w:color="auto"/>
              <w:bottom w:val="single" w:sz="8" w:color="auto"/>
              <w:right w:val="single" w:sz="8" w:color="auto"/>
            </w:tcBorders>
          </w:tcPr>
          <w:p>
            <w:pPr>
              <w:ind w:left="40"/>
              <w:spacing w:after="0" w:line="204" w:lineRule="exact"/>
              <w:rPr>
                <w:sz w:val="20"/>
                <w:szCs w:val="20"/>
                <w:color w:val="auto"/>
              </w:rPr>
            </w:pPr>
            <w:r>
              <w:rPr>
                <w:rFonts w:ascii="Calibri" w:cs="Calibri" w:eastAsia="Calibri" w:hAnsi="Calibri"/>
                <w:sz w:val="14"/>
                <w:szCs w:val="14"/>
                <w:b w:val="1"/>
                <w:bCs w:val="1"/>
                <w:color w:val="auto"/>
              </w:rPr>
              <w:t xml:space="preserve">Common Equity Tier 1 - Basel IFRS </w:t>
            </w:r>
            <w:r>
              <w:rPr>
                <w:rFonts w:ascii="Calibri" w:cs="Calibri" w:eastAsia="Calibri" w:hAnsi="Calibri"/>
                <w:sz w:val="22"/>
                <w:szCs w:val="22"/>
                <w:b w:val="1"/>
                <w:bCs w:val="1"/>
                <w:color w:val="auto"/>
                <w:vertAlign w:val="superscript"/>
              </w:rPr>
              <w:t>(6)</w:t>
            </w:r>
          </w:p>
        </w:tc>
        <w:tc>
          <w:tcPr>
            <w:tcW w:w="1240" w:type="dxa"/>
            <w:vAlign w:val="bottom"/>
            <w:tcBorders>
              <w:bottom w:val="single" w:sz="8" w:color="auto"/>
            </w:tcBorders>
          </w:tcPr>
          <w:p>
            <w:pPr>
              <w:jc w:val="right"/>
              <w:ind w:right="106"/>
              <w:spacing w:after="0" w:line="180" w:lineRule="exact"/>
              <w:rPr>
                <w:sz w:val="20"/>
                <w:szCs w:val="20"/>
                <w:color w:val="auto"/>
              </w:rPr>
            </w:pPr>
            <w:r>
              <w:rPr>
                <w:rFonts w:ascii="Calibri" w:cs="Calibri" w:eastAsia="Calibri" w:hAnsi="Calibri"/>
                <w:sz w:val="15"/>
                <w:szCs w:val="15"/>
                <w:b w:val="1"/>
                <w:bCs w:val="1"/>
                <w:color w:val="auto"/>
              </w:rPr>
              <w:t>2,065,340</w:t>
            </w:r>
          </w:p>
        </w:tc>
        <w:tc>
          <w:tcPr>
            <w:tcW w:w="1120" w:type="dxa"/>
            <w:vAlign w:val="bottom"/>
            <w:tcBorders>
              <w:bottom w:val="single" w:sz="8" w:color="auto"/>
            </w:tcBorders>
          </w:tcPr>
          <w:p>
            <w:pPr>
              <w:jc w:val="right"/>
              <w:ind w:right="106"/>
              <w:spacing w:after="0" w:line="180" w:lineRule="exact"/>
              <w:rPr>
                <w:sz w:val="20"/>
                <w:szCs w:val="20"/>
                <w:color w:val="auto"/>
              </w:rPr>
            </w:pPr>
            <w:r>
              <w:rPr>
                <w:rFonts w:ascii="Calibri" w:cs="Calibri" w:eastAsia="Calibri" w:hAnsi="Calibri"/>
                <w:sz w:val="15"/>
                <w:szCs w:val="15"/>
                <w:b w:val="1"/>
                <w:bCs w:val="1"/>
                <w:color w:val="auto"/>
              </w:rPr>
              <w:t>2,353,353</w:t>
            </w:r>
          </w:p>
        </w:tc>
        <w:tc>
          <w:tcPr>
            <w:tcW w:w="980" w:type="dxa"/>
            <w:vAlign w:val="bottom"/>
            <w:tcBorders>
              <w:bottom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2,415,504</w:t>
            </w:r>
          </w:p>
        </w:tc>
        <w:tc>
          <w:tcPr>
            <w:tcW w:w="76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w w:val="99"/>
              </w:rPr>
              <w:t>2.6%</w:t>
            </w:r>
          </w:p>
        </w:tc>
        <w:tc>
          <w:tcPr>
            <w:tcW w:w="840" w:type="dxa"/>
            <w:vAlign w:val="bottom"/>
            <w:tcBorders>
              <w:bottom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rPr>
              <w:t>17.0%</w:t>
            </w:r>
          </w:p>
        </w:tc>
        <w:tc>
          <w:tcPr>
            <w:tcW w:w="0" w:type="dxa"/>
            <w:vAlign w:val="bottom"/>
          </w:tcPr>
          <w:p>
            <w:pPr>
              <w:spacing w:after="0"/>
              <w:rPr>
                <w:sz w:val="1"/>
                <w:szCs w:val="1"/>
                <w:color w:val="auto"/>
              </w:rPr>
            </w:pPr>
          </w:p>
        </w:tc>
      </w:tr>
      <w:tr>
        <w:trPr>
          <w:trHeight w:val="179"/>
        </w:trPr>
        <w:tc>
          <w:tcPr>
            <w:tcW w:w="4100" w:type="dxa"/>
            <w:vAlign w:val="bottom"/>
            <w:tcBorders>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color w:val="auto"/>
              </w:rPr>
              <w:t>Capital and reserves</w:t>
            </w:r>
          </w:p>
        </w:tc>
        <w:tc>
          <w:tcPr>
            <w:tcW w:w="1240" w:type="dxa"/>
            <w:vAlign w:val="bottom"/>
          </w:tcPr>
          <w:p>
            <w:pPr>
              <w:jc w:val="right"/>
              <w:ind w:right="106"/>
              <w:spacing w:after="0" w:line="180" w:lineRule="exact"/>
              <w:rPr>
                <w:sz w:val="20"/>
                <w:szCs w:val="20"/>
                <w:color w:val="auto"/>
              </w:rPr>
            </w:pPr>
            <w:r>
              <w:rPr>
                <w:rFonts w:ascii="Calibri" w:cs="Calibri" w:eastAsia="Calibri" w:hAnsi="Calibri"/>
                <w:sz w:val="15"/>
                <w:szCs w:val="15"/>
                <w:color w:val="auto"/>
              </w:rPr>
              <w:t>2,104,827</w:t>
            </w:r>
          </w:p>
        </w:tc>
        <w:tc>
          <w:tcPr>
            <w:tcW w:w="1120" w:type="dxa"/>
            <w:vAlign w:val="bottom"/>
          </w:tcPr>
          <w:p>
            <w:pPr>
              <w:jc w:val="right"/>
              <w:ind w:right="106"/>
              <w:spacing w:after="0" w:line="180" w:lineRule="exact"/>
              <w:rPr>
                <w:sz w:val="20"/>
                <w:szCs w:val="20"/>
                <w:color w:val="auto"/>
              </w:rPr>
            </w:pPr>
            <w:r>
              <w:rPr>
                <w:rFonts w:ascii="Calibri" w:cs="Calibri" w:eastAsia="Calibri" w:hAnsi="Calibri"/>
                <w:sz w:val="15"/>
                <w:szCs w:val="15"/>
                <w:color w:val="auto"/>
              </w:rPr>
              <w:t>2,104,827</w:t>
            </w:r>
          </w:p>
        </w:tc>
        <w:tc>
          <w:tcPr>
            <w:tcW w:w="9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2,148,662</w:t>
            </w:r>
          </w:p>
        </w:tc>
        <w:tc>
          <w:tcPr>
            <w:tcW w:w="760" w:type="dxa"/>
            <w:vAlign w:val="bottom"/>
          </w:tcPr>
          <w:p>
            <w:pPr>
              <w:jc w:val="center"/>
              <w:spacing w:after="0" w:line="180" w:lineRule="exact"/>
              <w:rPr>
                <w:sz w:val="20"/>
                <w:szCs w:val="20"/>
                <w:color w:val="auto"/>
              </w:rPr>
            </w:pPr>
            <w:r>
              <w:rPr>
                <w:rFonts w:ascii="Calibri" w:cs="Calibri" w:eastAsia="Calibri" w:hAnsi="Calibri"/>
                <w:sz w:val="15"/>
                <w:szCs w:val="15"/>
                <w:color w:val="auto"/>
                <w:w w:val="94"/>
              </w:rPr>
              <w:t>2.1%</w:t>
            </w:r>
          </w:p>
        </w:tc>
        <w:tc>
          <w:tcPr>
            <w:tcW w:w="8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2.1%</w:t>
            </w:r>
          </w:p>
        </w:tc>
        <w:tc>
          <w:tcPr>
            <w:tcW w:w="0" w:type="dxa"/>
            <w:vAlign w:val="bottom"/>
          </w:tcPr>
          <w:p>
            <w:pPr>
              <w:spacing w:after="0"/>
              <w:rPr>
                <w:sz w:val="1"/>
                <w:szCs w:val="1"/>
                <w:color w:val="auto"/>
              </w:rPr>
            </w:pPr>
          </w:p>
        </w:tc>
      </w:tr>
      <w:tr>
        <w:trPr>
          <w:trHeight w:val="197"/>
        </w:trPr>
        <w:tc>
          <w:tcPr>
            <w:tcW w:w="41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Retained earnings</w:t>
            </w:r>
          </w:p>
        </w:tc>
        <w:tc>
          <w:tcPr>
            <w:tcW w:w="1240" w:type="dxa"/>
            <w:vAlign w:val="bottom"/>
          </w:tcPr>
          <w:p>
            <w:pPr>
              <w:jc w:val="right"/>
              <w:ind w:right="106"/>
              <w:spacing w:after="0"/>
              <w:rPr>
                <w:sz w:val="20"/>
                <w:szCs w:val="20"/>
                <w:color w:val="auto"/>
              </w:rPr>
            </w:pPr>
            <w:r>
              <w:rPr>
                <w:rFonts w:ascii="Calibri" w:cs="Calibri" w:eastAsia="Calibri" w:hAnsi="Calibri"/>
                <w:sz w:val="15"/>
                <w:szCs w:val="15"/>
                <w:color w:val="auto"/>
              </w:rPr>
              <w:t>224,613</w:t>
            </w:r>
          </w:p>
        </w:tc>
        <w:tc>
          <w:tcPr>
            <w:tcW w:w="1120" w:type="dxa"/>
            <w:vAlign w:val="bottom"/>
          </w:tcPr>
          <w:p>
            <w:pPr>
              <w:jc w:val="right"/>
              <w:ind w:right="106"/>
              <w:spacing w:after="0"/>
              <w:rPr>
                <w:sz w:val="20"/>
                <w:szCs w:val="20"/>
                <w:color w:val="auto"/>
              </w:rPr>
            </w:pPr>
            <w:r>
              <w:rPr>
                <w:rFonts w:ascii="Calibri" w:cs="Calibri" w:eastAsia="Calibri" w:hAnsi="Calibri"/>
                <w:sz w:val="15"/>
                <w:szCs w:val="15"/>
                <w:color w:val="auto"/>
              </w:rPr>
              <w:t>540,906</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556,972</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4"/>
              </w:rPr>
              <w:t>3.0%</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n.a.</w:t>
            </w:r>
          </w:p>
        </w:tc>
        <w:tc>
          <w:tcPr>
            <w:tcW w:w="0" w:type="dxa"/>
            <w:vAlign w:val="bottom"/>
          </w:tcPr>
          <w:p>
            <w:pPr>
              <w:spacing w:after="0"/>
              <w:rPr>
                <w:sz w:val="1"/>
                <w:szCs w:val="1"/>
                <w:color w:val="auto"/>
              </w:rPr>
            </w:pPr>
          </w:p>
        </w:tc>
      </w:tr>
      <w:tr>
        <w:trPr>
          <w:trHeight w:val="204"/>
        </w:trPr>
        <w:tc>
          <w:tcPr>
            <w:tcW w:w="41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Unrealized gains (losses)</w:t>
            </w:r>
          </w:p>
        </w:tc>
        <w:tc>
          <w:tcPr>
            <w:tcW w:w="1240" w:type="dxa"/>
            <w:vAlign w:val="bottom"/>
          </w:tcPr>
          <w:p>
            <w:pPr>
              <w:jc w:val="right"/>
              <w:ind w:right="106"/>
              <w:spacing w:after="0"/>
              <w:rPr>
                <w:sz w:val="20"/>
                <w:szCs w:val="20"/>
                <w:color w:val="auto"/>
              </w:rPr>
            </w:pPr>
            <w:r>
              <w:rPr>
                <w:rFonts w:ascii="Calibri" w:cs="Calibri" w:eastAsia="Calibri" w:hAnsi="Calibri"/>
                <w:sz w:val="15"/>
                <w:szCs w:val="15"/>
                <w:color w:val="auto"/>
              </w:rPr>
              <w:t>(7,360)</w:t>
            </w:r>
          </w:p>
        </w:tc>
        <w:tc>
          <w:tcPr>
            <w:tcW w:w="1120" w:type="dxa"/>
            <w:vAlign w:val="bottom"/>
          </w:tcPr>
          <w:p>
            <w:pPr>
              <w:jc w:val="right"/>
              <w:ind w:right="106"/>
              <w:spacing w:after="0"/>
              <w:rPr>
                <w:sz w:val="20"/>
                <w:szCs w:val="20"/>
                <w:color w:val="auto"/>
              </w:rPr>
            </w:pPr>
            <w:r>
              <w:rPr>
                <w:rFonts w:ascii="Calibri" w:cs="Calibri" w:eastAsia="Calibri" w:hAnsi="Calibri"/>
                <w:sz w:val="15"/>
                <w:szCs w:val="15"/>
                <w:color w:val="auto"/>
              </w:rPr>
              <w:t>(11,830)</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(15,467)</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6"/>
              </w:rPr>
              <w:t>30.7%</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110.1%</w:t>
            </w:r>
          </w:p>
        </w:tc>
        <w:tc>
          <w:tcPr>
            <w:tcW w:w="0" w:type="dxa"/>
            <w:vAlign w:val="bottom"/>
          </w:tcPr>
          <w:p>
            <w:pPr>
              <w:spacing w:after="0"/>
              <w:rPr>
                <w:sz w:val="1"/>
                <w:szCs w:val="1"/>
                <w:color w:val="auto"/>
              </w:rPr>
            </w:pPr>
          </w:p>
        </w:tc>
      </w:tr>
      <w:tr>
        <w:trPr>
          <w:trHeight w:val="204"/>
        </w:trPr>
        <w:tc>
          <w:tcPr>
            <w:tcW w:w="41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Goodwill and intangibles</w:t>
            </w:r>
          </w:p>
        </w:tc>
        <w:tc>
          <w:tcPr>
            <w:tcW w:w="1240" w:type="dxa"/>
            <w:vAlign w:val="bottom"/>
          </w:tcPr>
          <w:p>
            <w:pPr>
              <w:jc w:val="right"/>
              <w:ind w:right="106"/>
              <w:spacing w:after="0"/>
              <w:rPr>
                <w:sz w:val="20"/>
                <w:szCs w:val="20"/>
                <w:color w:val="auto"/>
              </w:rPr>
            </w:pPr>
            <w:r>
              <w:rPr>
                <w:rFonts w:ascii="Calibri" w:cs="Calibri" w:eastAsia="Calibri" w:hAnsi="Calibri"/>
                <w:sz w:val="15"/>
                <w:szCs w:val="15"/>
                <w:color w:val="auto"/>
              </w:rPr>
              <w:t>(256,740)</w:t>
            </w:r>
          </w:p>
        </w:tc>
        <w:tc>
          <w:tcPr>
            <w:tcW w:w="1120" w:type="dxa"/>
            <w:vAlign w:val="bottom"/>
          </w:tcPr>
          <w:p>
            <w:pPr>
              <w:jc w:val="right"/>
              <w:ind w:right="106"/>
              <w:spacing w:after="0"/>
              <w:rPr>
                <w:sz w:val="20"/>
                <w:szCs w:val="20"/>
                <w:color w:val="auto"/>
              </w:rPr>
            </w:pPr>
            <w:r>
              <w:rPr>
                <w:rFonts w:ascii="Calibri" w:cs="Calibri" w:eastAsia="Calibri" w:hAnsi="Calibri"/>
                <w:sz w:val="15"/>
                <w:szCs w:val="15"/>
                <w:color w:val="auto"/>
              </w:rPr>
              <w:t>(280,267)</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(274,382)</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8"/>
              </w:rPr>
              <w:t>-2.1%</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6.9%</w:t>
            </w:r>
          </w:p>
        </w:tc>
        <w:tc>
          <w:tcPr>
            <w:tcW w:w="0" w:type="dxa"/>
            <w:vAlign w:val="bottom"/>
          </w:tcPr>
          <w:p>
            <w:pPr>
              <w:spacing w:after="0"/>
              <w:rPr>
                <w:sz w:val="1"/>
                <w:szCs w:val="1"/>
                <w:color w:val="auto"/>
              </w:rPr>
            </w:pPr>
          </w:p>
        </w:tc>
      </w:tr>
      <w:tr>
        <w:trPr>
          <w:trHeight w:val="204"/>
        </w:trPr>
        <w:tc>
          <w:tcPr>
            <w:tcW w:w="41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Investments in subsidiaries</w:t>
            </w:r>
          </w:p>
        </w:tc>
        <w:tc>
          <w:tcPr>
            <w:tcW w:w="1240" w:type="dxa"/>
            <w:vAlign w:val="bottom"/>
          </w:tcPr>
          <w:p>
            <w:pPr>
              <w:jc w:val="right"/>
              <w:ind w:right="106"/>
              <w:spacing w:after="0"/>
              <w:rPr>
                <w:sz w:val="20"/>
                <w:szCs w:val="20"/>
                <w:color w:val="auto"/>
              </w:rPr>
            </w:pPr>
            <w:r>
              <w:rPr>
                <w:rFonts w:ascii="Calibri" w:cs="Calibri" w:eastAsia="Calibri" w:hAnsi="Calibri"/>
                <w:sz w:val="15"/>
                <w:szCs w:val="15"/>
                <w:color w:val="auto"/>
              </w:rPr>
              <w:t>-</w:t>
            </w:r>
          </w:p>
        </w:tc>
        <w:tc>
          <w:tcPr>
            <w:tcW w:w="1120" w:type="dxa"/>
            <w:vAlign w:val="bottom"/>
          </w:tcPr>
          <w:p>
            <w:pPr>
              <w:jc w:val="right"/>
              <w:ind w:right="106"/>
              <w:spacing w:after="0"/>
              <w:rPr>
                <w:sz w:val="20"/>
                <w:szCs w:val="20"/>
                <w:color w:val="auto"/>
              </w:rPr>
            </w:pPr>
            <w:r>
              <w:rPr>
                <w:rFonts w:ascii="Calibri" w:cs="Calibri" w:eastAsia="Calibri" w:hAnsi="Calibri"/>
                <w:sz w:val="15"/>
                <w:szCs w:val="15"/>
                <w:color w:val="auto"/>
              </w:rPr>
              <w:t>(283)</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(281)</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8"/>
              </w:rPr>
              <w:t>-0.7%</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n.a.</w:t>
            </w:r>
          </w:p>
        </w:tc>
        <w:tc>
          <w:tcPr>
            <w:tcW w:w="0" w:type="dxa"/>
            <w:vAlign w:val="bottom"/>
          </w:tcPr>
          <w:p>
            <w:pPr>
              <w:spacing w:after="0"/>
              <w:rPr>
                <w:sz w:val="1"/>
                <w:szCs w:val="1"/>
                <w:color w:val="auto"/>
              </w:rPr>
            </w:pPr>
          </w:p>
        </w:tc>
      </w:tr>
      <w:tr>
        <w:trPr>
          <w:trHeight w:val="35"/>
        </w:trPr>
        <w:tc>
          <w:tcPr>
            <w:tcW w:w="4100" w:type="dxa"/>
            <w:vAlign w:val="bottom"/>
            <w:tcBorders>
              <w:left w:val="single" w:sz="8" w:color="auto"/>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00" w:type="dxa"/>
            <w:vAlign w:val="bottom"/>
            <w:tcBorders>
              <w:left w:val="single" w:sz="8" w:color="auto"/>
              <w:bottom w:val="single" w:sz="8" w:color="auto"/>
              <w:right w:val="single" w:sz="8" w:color="auto"/>
            </w:tcBorders>
          </w:tcPr>
          <w:p>
            <w:pPr>
              <w:ind w:left="40"/>
              <w:spacing w:after="0" w:line="204" w:lineRule="exact"/>
              <w:rPr>
                <w:sz w:val="20"/>
                <w:szCs w:val="20"/>
                <w:color w:val="auto"/>
              </w:rPr>
            </w:pPr>
            <w:r>
              <w:rPr>
                <w:rFonts w:ascii="Calibri" w:cs="Calibri" w:eastAsia="Calibri" w:hAnsi="Calibri"/>
                <w:sz w:val="14"/>
                <w:szCs w:val="14"/>
                <w:b w:val="1"/>
                <w:bCs w:val="1"/>
                <w:color w:val="auto"/>
              </w:rPr>
              <w:t xml:space="preserve">Adjusted Risk-Weighted Assets - Basel IFRS </w:t>
            </w:r>
            <w:r>
              <w:rPr>
                <w:rFonts w:ascii="Calibri" w:cs="Calibri" w:eastAsia="Calibri" w:hAnsi="Calibri"/>
                <w:sz w:val="22"/>
                <w:szCs w:val="22"/>
                <w:b w:val="1"/>
                <w:bCs w:val="1"/>
                <w:color w:val="auto"/>
                <w:vertAlign w:val="superscript"/>
              </w:rPr>
              <w:t>(7)</w:t>
            </w:r>
          </w:p>
        </w:tc>
        <w:tc>
          <w:tcPr>
            <w:tcW w:w="1240" w:type="dxa"/>
            <w:vAlign w:val="bottom"/>
            <w:tcBorders>
              <w:bottom w:val="single" w:sz="8" w:color="auto"/>
            </w:tcBorders>
          </w:tcPr>
          <w:p>
            <w:pPr>
              <w:jc w:val="right"/>
              <w:ind w:right="106"/>
              <w:spacing w:after="0" w:line="180" w:lineRule="exact"/>
              <w:rPr>
                <w:sz w:val="20"/>
                <w:szCs w:val="20"/>
                <w:color w:val="auto"/>
              </w:rPr>
            </w:pPr>
            <w:r>
              <w:rPr>
                <w:rFonts w:ascii="Calibri" w:cs="Calibri" w:eastAsia="Calibri" w:hAnsi="Calibri"/>
                <w:sz w:val="15"/>
                <w:szCs w:val="15"/>
                <w:b w:val="1"/>
                <w:bCs w:val="1"/>
                <w:color w:val="auto"/>
              </w:rPr>
              <w:t>13,854,030</w:t>
            </w:r>
          </w:p>
        </w:tc>
        <w:tc>
          <w:tcPr>
            <w:tcW w:w="1120" w:type="dxa"/>
            <w:vAlign w:val="bottom"/>
            <w:tcBorders>
              <w:bottom w:val="single" w:sz="8" w:color="auto"/>
            </w:tcBorders>
          </w:tcPr>
          <w:p>
            <w:pPr>
              <w:jc w:val="right"/>
              <w:ind w:right="106"/>
              <w:spacing w:after="0" w:line="180" w:lineRule="exact"/>
              <w:rPr>
                <w:sz w:val="20"/>
                <w:szCs w:val="20"/>
                <w:color w:val="auto"/>
              </w:rPr>
            </w:pPr>
            <w:r>
              <w:rPr>
                <w:rFonts w:ascii="Calibri" w:cs="Calibri" w:eastAsia="Calibri" w:hAnsi="Calibri"/>
                <w:sz w:val="15"/>
                <w:szCs w:val="15"/>
                <w:b w:val="1"/>
                <w:bCs w:val="1"/>
                <w:color w:val="auto"/>
              </w:rPr>
              <w:t>14,613,299</w:t>
            </w:r>
          </w:p>
        </w:tc>
        <w:tc>
          <w:tcPr>
            <w:tcW w:w="980" w:type="dxa"/>
            <w:vAlign w:val="bottom"/>
            <w:tcBorders>
              <w:bottom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14,860,252</w:t>
            </w:r>
          </w:p>
        </w:tc>
        <w:tc>
          <w:tcPr>
            <w:tcW w:w="76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w w:val="99"/>
              </w:rPr>
              <w:t>1.7%</w:t>
            </w:r>
          </w:p>
        </w:tc>
        <w:tc>
          <w:tcPr>
            <w:tcW w:w="840" w:type="dxa"/>
            <w:vAlign w:val="bottom"/>
            <w:tcBorders>
              <w:bottom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w w:val="99"/>
              </w:rPr>
              <w:t>7.3%</w:t>
            </w:r>
          </w:p>
        </w:tc>
        <w:tc>
          <w:tcPr>
            <w:tcW w:w="0" w:type="dxa"/>
            <w:vAlign w:val="bottom"/>
          </w:tcPr>
          <w:p>
            <w:pPr>
              <w:spacing w:after="0"/>
              <w:rPr>
                <w:sz w:val="1"/>
                <w:szCs w:val="1"/>
                <w:color w:val="auto"/>
              </w:rPr>
            </w:pPr>
          </w:p>
        </w:tc>
      </w:tr>
      <w:tr>
        <w:trPr>
          <w:trHeight w:val="179"/>
        </w:trPr>
        <w:tc>
          <w:tcPr>
            <w:tcW w:w="4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Total risk-weighted assets - SBS</w:t>
            </w:r>
          </w:p>
        </w:tc>
        <w:tc>
          <w:tcPr>
            <w:tcW w:w="1240" w:type="dxa"/>
            <w:vAlign w:val="bottom"/>
          </w:tcPr>
          <w:p>
            <w:pPr>
              <w:jc w:val="right"/>
              <w:ind w:right="106"/>
              <w:spacing w:after="0"/>
              <w:rPr>
                <w:sz w:val="20"/>
                <w:szCs w:val="20"/>
                <w:color w:val="auto"/>
              </w:rPr>
            </w:pPr>
            <w:r>
              <w:rPr>
                <w:rFonts w:ascii="Arial" w:cs="Arial" w:eastAsia="Arial" w:hAnsi="Arial"/>
                <w:sz w:val="12"/>
                <w:szCs w:val="12"/>
                <w:color w:val="auto"/>
              </w:rPr>
              <w:t>14,825,319</w:t>
            </w:r>
          </w:p>
        </w:tc>
        <w:tc>
          <w:tcPr>
            <w:tcW w:w="1120" w:type="dxa"/>
            <w:vAlign w:val="bottom"/>
          </w:tcPr>
          <w:p>
            <w:pPr>
              <w:jc w:val="right"/>
              <w:ind w:right="106"/>
              <w:spacing w:after="0"/>
              <w:rPr>
                <w:sz w:val="20"/>
                <w:szCs w:val="20"/>
                <w:color w:val="auto"/>
              </w:rPr>
            </w:pPr>
            <w:r>
              <w:rPr>
                <w:rFonts w:ascii="Arial" w:cs="Arial" w:eastAsia="Arial" w:hAnsi="Arial"/>
                <w:sz w:val="12"/>
                <w:szCs w:val="12"/>
                <w:color w:val="auto"/>
              </w:rPr>
              <w:t>15,850,329</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14,729,206</w:t>
            </w:r>
          </w:p>
        </w:tc>
        <w:tc>
          <w:tcPr>
            <w:tcW w:w="76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-7.1%</w:t>
            </w:r>
          </w:p>
        </w:tc>
        <w:tc>
          <w:tcPr>
            <w:tcW w:w="8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8"/>
              </w:rPr>
              <w:t>-0.6%</w:t>
            </w:r>
          </w:p>
        </w:tc>
        <w:tc>
          <w:tcPr>
            <w:tcW w:w="0" w:type="dxa"/>
            <w:vAlign w:val="bottom"/>
          </w:tcPr>
          <w:p>
            <w:pPr>
              <w:spacing w:after="0"/>
              <w:rPr>
                <w:sz w:val="1"/>
                <w:szCs w:val="1"/>
                <w:color w:val="auto"/>
              </w:rPr>
            </w:pPr>
          </w:p>
        </w:tc>
      </w:tr>
      <w:tr>
        <w:trPr>
          <w:trHeight w:val="197"/>
        </w:trPr>
        <w:tc>
          <w:tcPr>
            <w:tcW w:w="41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 RWA Intangible assets, excluding goodwill</w:t>
            </w:r>
          </w:p>
        </w:tc>
        <w:tc>
          <w:tcPr>
            <w:tcW w:w="1240" w:type="dxa"/>
            <w:vAlign w:val="bottom"/>
          </w:tcPr>
          <w:p>
            <w:pPr>
              <w:jc w:val="right"/>
              <w:ind w:right="106"/>
              <w:spacing w:after="0"/>
              <w:rPr>
                <w:sz w:val="20"/>
                <w:szCs w:val="20"/>
                <w:color w:val="auto"/>
              </w:rPr>
            </w:pPr>
            <w:r>
              <w:rPr>
                <w:rFonts w:ascii="Arial" w:cs="Arial" w:eastAsia="Arial" w:hAnsi="Arial"/>
                <w:sz w:val="12"/>
                <w:szCs w:val="12"/>
                <w:color w:val="auto"/>
              </w:rPr>
              <w:t>1,166,501</w:t>
            </w:r>
          </w:p>
        </w:tc>
        <w:tc>
          <w:tcPr>
            <w:tcW w:w="1120" w:type="dxa"/>
            <w:vAlign w:val="bottom"/>
          </w:tcPr>
          <w:p>
            <w:pPr>
              <w:jc w:val="right"/>
              <w:ind w:right="106"/>
              <w:spacing w:after="0"/>
              <w:rPr>
                <w:sz w:val="20"/>
                <w:szCs w:val="20"/>
                <w:color w:val="auto"/>
              </w:rPr>
            </w:pPr>
            <w:r>
              <w:rPr>
                <w:rFonts w:ascii="Arial" w:cs="Arial" w:eastAsia="Arial" w:hAnsi="Arial"/>
                <w:sz w:val="12"/>
                <w:szCs w:val="12"/>
                <w:color w:val="auto"/>
              </w:rPr>
              <w:t>1,408,551</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center"/>
              <w:spacing w:after="0"/>
              <w:rPr>
                <w:sz w:val="20"/>
                <w:szCs w:val="20"/>
                <w:color w:val="auto"/>
              </w:rPr>
            </w:pPr>
            <w:r>
              <w:rPr>
                <w:rFonts w:ascii="Calibri" w:cs="Calibri" w:eastAsia="Calibri" w:hAnsi="Calibri"/>
                <w:sz w:val="15"/>
                <w:szCs w:val="15"/>
                <w:color w:val="auto"/>
                <w:w w:val="96"/>
              </w:rPr>
              <w:t>-100.0%</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-100.0%</w:t>
            </w:r>
          </w:p>
        </w:tc>
        <w:tc>
          <w:tcPr>
            <w:tcW w:w="0" w:type="dxa"/>
            <w:vAlign w:val="bottom"/>
          </w:tcPr>
          <w:p>
            <w:pPr>
              <w:spacing w:after="0"/>
              <w:rPr>
                <w:sz w:val="1"/>
                <w:szCs w:val="1"/>
                <w:color w:val="auto"/>
              </w:rPr>
            </w:pPr>
          </w:p>
        </w:tc>
      </w:tr>
      <w:tr>
        <w:trPr>
          <w:trHeight w:val="172"/>
        </w:trPr>
        <w:tc>
          <w:tcPr>
            <w:tcW w:w="41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 RWA Deferred tax assets generated as a result of temporary</w:t>
            </w:r>
          </w:p>
        </w:tc>
        <w:tc>
          <w:tcPr>
            <w:tcW w:w="1240" w:type="dxa"/>
            <w:vAlign w:val="bottom"/>
          </w:tcPr>
          <w:p>
            <w:pPr>
              <w:jc w:val="right"/>
              <w:ind w:right="106"/>
              <w:spacing w:after="0"/>
              <w:rPr>
                <w:sz w:val="20"/>
                <w:szCs w:val="20"/>
                <w:color w:val="auto"/>
              </w:rPr>
            </w:pPr>
            <w:r>
              <w:rPr>
                <w:rFonts w:ascii="Arial" w:cs="Arial" w:eastAsia="Arial" w:hAnsi="Arial"/>
                <w:sz w:val="12"/>
                <w:szCs w:val="12"/>
                <w:color w:val="auto"/>
              </w:rPr>
              <w:t>161,572</w:t>
            </w:r>
          </w:p>
        </w:tc>
        <w:tc>
          <w:tcPr>
            <w:tcW w:w="1120" w:type="dxa"/>
            <w:vAlign w:val="bottom"/>
          </w:tcPr>
          <w:p>
            <w:pPr>
              <w:jc w:val="right"/>
              <w:ind w:right="106"/>
              <w:spacing w:after="0"/>
              <w:rPr>
                <w:sz w:val="20"/>
                <w:szCs w:val="20"/>
                <w:color w:val="auto"/>
              </w:rPr>
            </w:pPr>
            <w:r>
              <w:rPr>
                <w:rFonts w:ascii="Arial" w:cs="Arial" w:eastAsia="Arial" w:hAnsi="Arial"/>
                <w:sz w:val="12"/>
                <w:szCs w:val="12"/>
                <w:color w:val="auto"/>
              </w:rPr>
              <w:t>159,880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center"/>
              <w:spacing w:after="0" w:line="171" w:lineRule="exact"/>
              <w:rPr>
                <w:sz w:val="20"/>
                <w:szCs w:val="20"/>
                <w:color w:val="auto"/>
              </w:rPr>
            </w:pPr>
            <w:r>
              <w:rPr>
                <w:rFonts w:ascii="Calibri" w:cs="Calibri" w:eastAsia="Calibri" w:hAnsi="Calibri"/>
                <w:sz w:val="15"/>
                <w:szCs w:val="15"/>
                <w:color w:val="auto"/>
                <w:w w:val="96"/>
              </w:rPr>
              <w:t>-100.0%</w:t>
            </w:r>
          </w:p>
        </w:tc>
        <w:tc>
          <w:tcPr>
            <w:tcW w:w="840" w:type="dxa"/>
            <w:vAlign w:val="bottom"/>
            <w:tcBorders>
              <w:right w:val="single" w:sz="8" w:color="auto"/>
            </w:tcBorders>
          </w:tcPr>
          <w:p>
            <w:pPr>
              <w:jc w:val="center"/>
              <w:spacing w:after="0" w:line="171" w:lineRule="exact"/>
              <w:rPr>
                <w:sz w:val="20"/>
                <w:szCs w:val="20"/>
                <w:color w:val="auto"/>
              </w:rPr>
            </w:pPr>
            <w:r>
              <w:rPr>
                <w:rFonts w:ascii="Calibri" w:cs="Calibri" w:eastAsia="Calibri" w:hAnsi="Calibri"/>
                <w:sz w:val="15"/>
                <w:szCs w:val="15"/>
                <w:color w:val="auto"/>
                <w:w w:val="96"/>
              </w:rPr>
              <w:t>-100.0%</w:t>
            </w:r>
          </w:p>
        </w:tc>
        <w:tc>
          <w:tcPr>
            <w:tcW w:w="0" w:type="dxa"/>
            <w:vAlign w:val="bottom"/>
          </w:tcPr>
          <w:p>
            <w:pPr>
              <w:spacing w:after="0"/>
              <w:rPr>
                <w:sz w:val="1"/>
                <w:szCs w:val="1"/>
                <w:color w:val="auto"/>
              </w:rPr>
            </w:pPr>
          </w:p>
        </w:tc>
      </w:tr>
      <w:tr>
        <w:trPr>
          <w:trHeight w:val="136"/>
        </w:trPr>
        <w:tc>
          <w:tcPr>
            <w:tcW w:w="4100" w:type="dxa"/>
            <w:vAlign w:val="bottom"/>
            <w:tcBorders>
              <w:left w:val="single" w:sz="8" w:color="auto"/>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differences in income tax, in excess of 10% of CET1, and other local</w:t>
            </w: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adjustments</w:t>
            </w:r>
          </w:p>
        </w:tc>
        <w:tc>
          <w:tcPr>
            <w:tcW w:w="1240" w:type="dxa"/>
            <w:vAlign w:val="bottom"/>
            <w:vMerge w:val="restart"/>
          </w:tcPr>
          <w:p>
            <w:pPr>
              <w:jc w:val="right"/>
              <w:ind w:right="106"/>
              <w:spacing w:after="0"/>
              <w:rPr>
                <w:sz w:val="20"/>
                <w:szCs w:val="20"/>
                <w:color w:val="auto"/>
              </w:rPr>
            </w:pPr>
            <w:r>
              <w:rPr>
                <w:rFonts w:ascii="Arial" w:cs="Arial" w:eastAsia="Arial" w:hAnsi="Arial"/>
                <w:sz w:val="12"/>
                <w:szCs w:val="12"/>
                <w:color w:val="auto"/>
              </w:rPr>
              <w:t>33,640</w:t>
            </w:r>
          </w:p>
        </w:tc>
        <w:tc>
          <w:tcPr>
            <w:tcW w:w="1120" w:type="dxa"/>
            <w:vAlign w:val="bottom"/>
            <w:vMerge w:val="restart"/>
          </w:tcPr>
          <w:p>
            <w:pPr>
              <w:jc w:val="right"/>
              <w:ind w:right="106"/>
              <w:spacing w:after="0"/>
              <w:rPr>
                <w:sz w:val="20"/>
                <w:szCs w:val="20"/>
                <w:color w:val="auto"/>
              </w:rPr>
            </w:pPr>
            <w:r>
              <w:rPr>
                <w:rFonts w:ascii="Arial" w:cs="Arial" w:eastAsia="Arial" w:hAnsi="Arial"/>
                <w:sz w:val="12"/>
                <w:szCs w:val="12"/>
                <w:color w:val="auto"/>
              </w:rPr>
              <w:t>11,641</w:t>
            </w:r>
          </w:p>
        </w:tc>
        <w:tc>
          <w:tcPr>
            <w:tcW w:w="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center"/>
              <w:spacing w:after="0"/>
              <w:rPr>
                <w:sz w:val="20"/>
                <w:szCs w:val="20"/>
                <w:color w:val="auto"/>
              </w:rPr>
            </w:pPr>
            <w:r>
              <w:rPr>
                <w:rFonts w:ascii="Calibri" w:cs="Calibri" w:eastAsia="Calibri" w:hAnsi="Calibri"/>
                <w:sz w:val="15"/>
                <w:szCs w:val="15"/>
                <w:color w:val="auto"/>
                <w:w w:val="96"/>
              </w:rPr>
              <w:t>-100.0%</w:t>
            </w:r>
          </w:p>
        </w:tc>
        <w:tc>
          <w:tcPr>
            <w:tcW w:w="8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5"/>
                <w:szCs w:val="15"/>
                <w:color w:val="auto"/>
                <w:w w:val="96"/>
              </w:rPr>
              <w:t>-100.0%</w:t>
            </w:r>
          </w:p>
        </w:tc>
        <w:tc>
          <w:tcPr>
            <w:tcW w:w="0" w:type="dxa"/>
            <w:vAlign w:val="bottom"/>
          </w:tcPr>
          <w:p>
            <w:pPr>
              <w:spacing w:after="0"/>
              <w:rPr>
                <w:sz w:val="1"/>
                <w:szCs w:val="1"/>
                <w:color w:val="auto"/>
              </w:rPr>
            </w:pPr>
          </w:p>
        </w:tc>
      </w:tr>
      <w:tr>
        <w:trPr>
          <w:trHeight w:val="168"/>
        </w:trPr>
        <w:tc>
          <w:tcPr>
            <w:tcW w:w="4100" w:type="dxa"/>
            <w:vAlign w:val="bottom"/>
            <w:tcBorders>
              <w:left w:val="single" w:sz="8" w:color="auto"/>
              <w:right w:val="single" w:sz="8" w:color="auto"/>
            </w:tcBorders>
          </w:tcPr>
          <w:p>
            <w:pPr>
              <w:spacing w:after="0"/>
              <w:rPr>
                <w:sz w:val="14"/>
                <w:szCs w:val="14"/>
                <w:color w:val="auto"/>
              </w:rPr>
            </w:pPr>
          </w:p>
        </w:tc>
        <w:tc>
          <w:tcPr>
            <w:tcW w:w="1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tcBorders>
              <w:right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100" w:type="dxa"/>
            <w:vAlign w:val="bottom"/>
            <w:tcBorders>
              <w:left w:val="single" w:sz="8" w:color="auto"/>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60" w:type="dxa"/>
            <w:vAlign w:val="bottom"/>
          </w:tcPr>
          <w:p>
            <w:pPr>
              <w:jc w:val="center"/>
              <w:spacing w:after="0"/>
              <w:rPr>
                <w:sz w:val="20"/>
                <w:szCs w:val="20"/>
                <w:color w:val="auto"/>
              </w:rPr>
            </w:pPr>
            <w:r>
              <w:rPr>
                <w:rFonts w:ascii="Calibri" w:cs="Calibri" w:eastAsia="Calibri" w:hAnsi="Calibri"/>
                <w:sz w:val="15"/>
                <w:szCs w:val="15"/>
                <w:color w:val="auto"/>
                <w:w w:val="97"/>
              </w:rPr>
              <w:t>n.a.</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n.a.</w:t>
            </w:r>
          </w:p>
        </w:tc>
        <w:tc>
          <w:tcPr>
            <w:tcW w:w="0" w:type="dxa"/>
            <w:vAlign w:val="bottom"/>
          </w:tcPr>
          <w:p>
            <w:pPr>
              <w:spacing w:after="0"/>
              <w:rPr>
                <w:sz w:val="1"/>
                <w:szCs w:val="1"/>
                <w:color w:val="auto"/>
              </w:rPr>
            </w:pPr>
          </w:p>
        </w:tc>
      </w:tr>
      <w:tr>
        <w:trPr>
          <w:trHeight w:val="239"/>
        </w:trPr>
        <w:tc>
          <w:tcPr>
            <w:tcW w:w="4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 xml:space="preserve">(+) IFRS Adjustments </w:t>
            </w:r>
            <w:r>
              <w:rPr>
                <w:rFonts w:ascii="Arial" w:cs="Arial" w:eastAsia="Arial" w:hAnsi="Arial"/>
                <w:sz w:val="20"/>
                <w:szCs w:val="20"/>
                <w:color w:val="auto"/>
                <w:vertAlign w:val="superscript"/>
              </w:rPr>
              <w:t>(11)</w:t>
            </w: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106"/>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color w:val="auto"/>
                <w:w w:val="97"/>
              </w:rPr>
              <w:t>n.a.</w:t>
            </w:r>
          </w:p>
        </w:tc>
        <w:tc>
          <w:tcPr>
            <w:tcW w:w="8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5"/>
                <w:szCs w:val="15"/>
                <w:color w:val="auto"/>
                <w:w w:val="97"/>
              </w:rPr>
              <w:t>n.a.</w:t>
            </w:r>
          </w:p>
        </w:tc>
        <w:tc>
          <w:tcPr>
            <w:tcW w:w="0" w:type="dxa"/>
            <w:vAlign w:val="bottom"/>
          </w:tcPr>
          <w:p>
            <w:pPr>
              <w:spacing w:after="0"/>
              <w:rPr>
                <w:sz w:val="1"/>
                <w:szCs w:val="1"/>
                <w:color w:val="auto"/>
              </w:rPr>
            </w:pPr>
          </w:p>
        </w:tc>
      </w:tr>
      <w:tr>
        <w:trPr>
          <w:trHeight w:val="354"/>
        </w:trPr>
        <w:tc>
          <w:tcPr>
            <w:tcW w:w="4100" w:type="dxa"/>
            <w:vAlign w:val="bottom"/>
          </w:tcPr>
          <w:p>
            <w:pPr>
              <w:ind w:left="20"/>
              <w:spacing w:after="0"/>
              <w:rPr>
                <w:sz w:val="20"/>
                <w:szCs w:val="20"/>
                <w:color w:val="auto"/>
              </w:rPr>
            </w:pPr>
            <w:r>
              <w:rPr>
                <w:rFonts w:ascii="Calibri" w:cs="Calibri" w:eastAsia="Calibri" w:hAnsi="Calibri"/>
                <w:sz w:val="15"/>
                <w:szCs w:val="15"/>
                <w:b w:val="1"/>
                <w:bCs w:val="1"/>
                <w:color w:val="auto"/>
              </w:rPr>
              <w:t>Capital ratos</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4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4100" w:type="dxa"/>
            <w:vAlign w:val="bottom"/>
            <w:tcBorders>
              <w:left w:val="single" w:sz="8" w:color="auto"/>
              <w:right w:val="single" w:sz="8" w:color="auto"/>
            </w:tcBorders>
          </w:tcPr>
          <w:p>
            <w:pPr>
              <w:ind w:left="40"/>
              <w:spacing w:after="0" w:line="197" w:lineRule="exact"/>
              <w:rPr>
                <w:sz w:val="20"/>
                <w:szCs w:val="20"/>
                <w:color w:val="auto"/>
              </w:rPr>
            </w:pPr>
            <w:r>
              <w:rPr>
                <w:rFonts w:ascii="Calibri" w:cs="Calibri" w:eastAsia="Calibri" w:hAnsi="Calibri"/>
                <w:sz w:val="13"/>
                <w:szCs w:val="13"/>
                <w:color w:val="auto"/>
              </w:rPr>
              <w:t xml:space="preserve">Regulatory Tier 1 rato </w:t>
            </w:r>
            <w:r>
              <w:rPr>
                <w:rFonts w:ascii="Calibri" w:cs="Calibri" w:eastAsia="Calibri" w:hAnsi="Calibri"/>
                <w:sz w:val="21"/>
                <w:szCs w:val="21"/>
                <w:color w:val="auto"/>
                <w:vertAlign w:val="superscript"/>
              </w:rPr>
              <w:t>(8)</w:t>
            </w:r>
          </w:p>
        </w:tc>
        <w:tc>
          <w:tcPr>
            <w:tcW w:w="1240" w:type="dxa"/>
            <w:vAlign w:val="bottom"/>
          </w:tcPr>
          <w:p>
            <w:pPr>
              <w:jc w:val="right"/>
              <w:ind w:right="106"/>
              <w:spacing w:after="0" w:line="180" w:lineRule="exact"/>
              <w:rPr>
                <w:sz w:val="20"/>
                <w:szCs w:val="20"/>
                <w:color w:val="auto"/>
              </w:rPr>
            </w:pPr>
            <w:r>
              <w:rPr>
                <w:rFonts w:ascii="Calibri" w:cs="Calibri" w:eastAsia="Calibri" w:hAnsi="Calibri"/>
                <w:sz w:val="15"/>
                <w:szCs w:val="15"/>
                <w:color w:val="auto"/>
              </w:rPr>
              <w:t>13.24%</w:t>
            </w:r>
          </w:p>
        </w:tc>
        <w:tc>
          <w:tcPr>
            <w:tcW w:w="1120" w:type="dxa"/>
            <w:vAlign w:val="bottom"/>
          </w:tcPr>
          <w:p>
            <w:pPr>
              <w:jc w:val="right"/>
              <w:ind w:right="106"/>
              <w:spacing w:after="0" w:line="180" w:lineRule="exact"/>
              <w:rPr>
                <w:sz w:val="20"/>
                <w:szCs w:val="20"/>
                <w:color w:val="auto"/>
              </w:rPr>
            </w:pPr>
            <w:r>
              <w:rPr>
                <w:rFonts w:ascii="Calibri" w:cs="Calibri" w:eastAsia="Calibri" w:hAnsi="Calibri"/>
                <w:sz w:val="15"/>
                <w:szCs w:val="15"/>
                <w:color w:val="auto"/>
              </w:rPr>
              <w:t>12.38%</w:t>
            </w:r>
          </w:p>
        </w:tc>
        <w:tc>
          <w:tcPr>
            <w:tcW w:w="980" w:type="dxa"/>
            <w:vAlign w:val="bottom"/>
            <w:tcBorders>
              <w:right w:val="single" w:sz="8" w:color="646464"/>
            </w:tcBorders>
          </w:tcPr>
          <w:p>
            <w:pPr>
              <w:jc w:val="right"/>
              <w:spacing w:after="0" w:line="180" w:lineRule="exact"/>
              <w:rPr>
                <w:sz w:val="20"/>
                <w:szCs w:val="20"/>
                <w:color w:val="auto"/>
              </w:rPr>
            </w:pPr>
            <w:r>
              <w:rPr>
                <w:rFonts w:ascii="Calibri" w:cs="Calibri" w:eastAsia="Calibri" w:hAnsi="Calibri"/>
                <w:sz w:val="15"/>
                <w:szCs w:val="15"/>
                <w:color w:val="auto"/>
              </w:rPr>
              <w:t>12.46%</w:t>
            </w:r>
          </w:p>
        </w:tc>
        <w:tc>
          <w:tcPr>
            <w:tcW w:w="760" w:type="dxa"/>
            <w:vAlign w:val="bottom"/>
          </w:tcPr>
          <w:p>
            <w:pPr>
              <w:jc w:val="center"/>
              <w:spacing w:after="0" w:line="180" w:lineRule="exact"/>
              <w:rPr>
                <w:sz w:val="20"/>
                <w:szCs w:val="20"/>
                <w:color w:val="auto"/>
              </w:rPr>
            </w:pPr>
            <w:r>
              <w:rPr>
                <w:rFonts w:ascii="Calibri" w:cs="Calibri" w:eastAsia="Calibri" w:hAnsi="Calibri"/>
                <w:sz w:val="15"/>
                <w:szCs w:val="15"/>
                <w:color w:val="auto"/>
                <w:w w:val="97"/>
              </w:rPr>
              <w:t>8 bps</w:t>
            </w:r>
          </w:p>
        </w:tc>
        <w:tc>
          <w:tcPr>
            <w:tcW w:w="8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8"/>
              </w:rPr>
              <w:t>-78 bps</w:t>
            </w:r>
          </w:p>
        </w:tc>
        <w:tc>
          <w:tcPr>
            <w:tcW w:w="0" w:type="dxa"/>
            <w:vAlign w:val="bottom"/>
          </w:tcPr>
          <w:p>
            <w:pPr>
              <w:spacing w:after="0"/>
              <w:rPr>
                <w:sz w:val="1"/>
                <w:szCs w:val="1"/>
                <w:color w:val="auto"/>
              </w:rPr>
            </w:pPr>
          </w:p>
        </w:tc>
      </w:tr>
      <w:tr>
        <w:trPr>
          <w:trHeight w:val="204"/>
        </w:trPr>
        <w:tc>
          <w:tcPr>
            <w:tcW w:w="4100" w:type="dxa"/>
            <w:vAlign w:val="bottom"/>
            <w:tcBorders>
              <w:left w:val="single" w:sz="8" w:color="auto"/>
              <w:right w:val="single" w:sz="8" w:color="auto"/>
            </w:tcBorders>
          </w:tcPr>
          <w:p>
            <w:pPr>
              <w:ind w:left="40"/>
              <w:spacing w:after="0" w:line="204" w:lineRule="exact"/>
              <w:rPr>
                <w:sz w:val="20"/>
                <w:szCs w:val="20"/>
                <w:color w:val="auto"/>
              </w:rPr>
            </w:pPr>
            <w:r>
              <w:rPr>
                <w:rFonts w:ascii="Calibri" w:cs="Calibri" w:eastAsia="Calibri" w:hAnsi="Calibri"/>
                <w:sz w:val="14"/>
                <w:szCs w:val="14"/>
                <w:color w:val="auto"/>
              </w:rPr>
              <w:t xml:space="preserve">Common Equity Tier 1 rato IFRS </w:t>
            </w:r>
            <w:r>
              <w:rPr>
                <w:rFonts w:ascii="Calibri" w:cs="Calibri" w:eastAsia="Calibri" w:hAnsi="Calibri"/>
                <w:sz w:val="22"/>
                <w:szCs w:val="22"/>
                <w:color w:val="auto"/>
                <w:vertAlign w:val="superscript"/>
              </w:rPr>
              <w:t>(9)(12)</w:t>
            </w:r>
          </w:p>
        </w:tc>
        <w:tc>
          <w:tcPr>
            <w:tcW w:w="1240" w:type="dxa"/>
            <w:vAlign w:val="bottom"/>
          </w:tcPr>
          <w:p>
            <w:pPr>
              <w:jc w:val="right"/>
              <w:ind w:right="106"/>
              <w:spacing w:after="0" w:line="180" w:lineRule="exact"/>
              <w:rPr>
                <w:sz w:val="20"/>
                <w:szCs w:val="20"/>
                <w:color w:val="auto"/>
              </w:rPr>
            </w:pPr>
            <w:r>
              <w:rPr>
                <w:rFonts w:ascii="Calibri" w:cs="Calibri" w:eastAsia="Calibri" w:hAnsi="Calibri"/>
                <w:sz w:val="15"/>
                <w:szCs w:val="15"/>
                <w:color w:val="auto"/>
              </w:rPr>
              <w:t>14.91%</w:t>
            </w:r>
          </w:p>
        </w:tc>
        <w:tc>
          <w:tcPr>
            <w:tcW w:w="1120" w:type="dxa"/>
            <w:vAlign w:val="bottom"/>
          </w:tcPr>
          <w:p>
            <w:pPr>
              <w:jc w:val="right"/>
              <w:ind w:right="106"/>
              <w:spacing w:after="0" w:line="180" w:lineRule="exact"/>
              <w:rPr>
                <w:sz w:val="20"/>
                <w:szCs w:val="20"/>
                <w:color w:val="auto"/>
              </w:rPr>
            </w:pPr>
            <w:r>
              <w:rPr>
                <w:rFonts w:ascii="Calibri" w:cs="Calibri" w:eastAsia="Calibri" w:hAnsi="Calibri"/>
                <w:sz w:val="15"/>
                <w:szCs w:val="15"/>
                <w:color w:val="auto"/>
              </w:rPr>
              <w:t>16.10%</w:t>
            </w:r>
          </w:p>
        </w:tc>
        <w:tc>
          <w:tcPr>
            <w:tcW w:w="980" w:type="dxa"/>
            <w:vAlign w:val="bottom"/>
            <w:tcBorders>
              <w:right w:val="single" w:sz="8" w:color="646464"/>
            </w:tcBorders>
          </w:tcPr>
          <w:p>
            <w:pPr>
              <w:jc w:val="right"/>
              <w:spacing w:after="0" w:line="180" w:lineRule="exact"/>
              <w:rPr>
                <w:sz w:val="20"/>
                <w:szCs w:val="20"/>
                <w:color w:val="auto"/>
              </w:rPr>
            </w:pPr>
            <w:r>
              <w:rPr>
                <w:rFonts w:ascii="Calibri" w:cs="Calibri" w:eastAsia="Calibri" w:hAnsi="Calibri"/>
                <w:sz w:val="15"/>
                <w:szCs w:val="15"/>
                <w:color w:val="auto"/>
              </w:rPr>
              <w:t>16.25%</w:t>
            </w:r>
          </w:p>
        </w:tc>
        <w:tc>
          <w:tcPr>
            <w:tcW w:w="760" w:type="dxa"/>
            <w:vAlign w:val="bottom"/>
          </w:tcPr>
          <w:p>
            <w:pPr>
              <w:jc w:val="center"/>
              <w:spacing w:after="0" w:line="180" w:lineRule="exact"/>
              <w:rPr>
                <w:sz w:val="20"/>
                <w:szCs w:val="20"/>
                <w:color w:val="auto"/>
              </w:rPr>
            </w:pPr>
            <w:r>
              <w:rPr>
                <w:rFonts w:ascii="Calibri" w:cs="Calibri" w:eastAsia="Calibri" w:hAnsi="Calibri"/>
                <w:sz w:val="15"/>
                <w:szCs w:val="15"/>
                <w:color w:val="auto"/>
                <w:w w:val="99"/>
              </w:rPr>
              <w:t>15 bps</w:t>
            </w:r>
          </w:p>
        </w:tc>
        <w:tc>
          <w:tcPr>
            <w:tcW w:w="8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134 bps</w:t>
            </w:r>
          </w:p>
        </w:tc>
        <w:tc>
          <w:tcPr>
            <w:tcW w:w="0" w:type="dxa"/>
            <w:vAlign w:val="bottom"/>
          </w:tcPr>
          <w:p>
            <w:pPr>
              <w:spacing w:after="0"/>
              <w:rPr>
                <w:sz w:val="1"/>
                <w:szCs w:val="1"/>
                <w:color w:val="auto"/>
              </w:rPr>
            </w:pPr>
          </w:p>
        </w:tc>
      </w:tr>
      <w:tr>
        <w:trPr>
          <w:trHeight w:val="204"/>
        </w:trPr>
        <w:tc>
          <w:tcPr>
            <w:tcW w:w="4100" w:type="dxa"/>
            <w:vAlign w:val="bottom"/>
            <w:tcBorders>
              <w:left w:val="single" w:sz="8" w:color="auto"/>
              <w:right w:val="single" w:sz="8" w:color="auto"/>
            </w:tcBorders>
          </w:tcPr>
          <w:p>
            <w:pPr>
              <w:ind w:left="40"/>
              <w:spacing w:after="0" w:line="204" w:lineRule="exact"/>
              <w:rPr>
                <w:sz w:val="20"/>
                <w:szCs w:val="20"/>
                <w:color w:val="auto"/>
              </w:rPr>
            </w:pPr>
            <w:r>
              <w:rPr>
                <w:rFonts w:ascii="Calibri" w:cs="Calibri" w:eastAsia="Calibri" w:hAnsi="Calibri"/>
                <w:sz w:val="14"/>
                <w:szCs w:val="14"/>
                <w:color w:val="auto"/>
              </w:rPr>
              <w:t xml:space="preserve">Regulatory Global Capital rato </w:t>
            </w:r>
            <w:r>
              <w:rPr>
                <w:rFonts w:ascii="Calibri" w:cs="Calibri" w:eastAsia="Calibri" w:hAnsi="Calibri"/>
                <w:sz w:val="22"/>
                <w:szCs w:val="22"/>
                <w:color w:val="auto"/>
                <w:vertAlign w:val="superscript"/>
              </w:rPr>
              <w:t>(10)</w:t>
            </w:r>
          </w:p>
        </w:tc>
        <w:tc>
          <w:tcPr>
            <w:tcW w:w="1240" w:type="dxa"/>
            <w:vAlign w:val="bottom"/>
          </w:tcPr>
          <w:p>
            <w:pPr>
              <w:jc w:val="right"/>
              <w:ind w:right="106"/>
              <w:spacing w:after="0" w:line="180" w:lineRule="exact"/>
              <w:rPr>
                <w:sz w:val="20"/>
                <w:szCs w:val="20"/>
                <w:color w:val="auto"/>
              </w:rPr>
            </w:pPr>
            <w:r>
              <w:rPr>
                <w:rFonts w:ascii="Calibri" w:cs="Calibri" w:eastAsia="Calibri" w:hAnsi="Calibri"/>
                <w:sz w:val="15"/>
                <w:szCs w:val="15"/>
                <w:color w:val="auto"/>
              </w:rPr>
              <w:t>15.61%</w:t>
            </w:r>
          </w:p>
        </w:tc>
        <w:tc>
          <w:tcPr>
            <w:tcW w:w="1120" w:type="dxa"/>
            <w:vAlign w:val="bottom"/>
          </w:tcPr>
          <w:p>
            <w:pPr>
              <w:jc w:val="right"/>
              <w:ind w:right="106"/>
              <w:spacing w:after="0" w:line="180" w:lineRule="exact"/>
              <w:rPr>
                <w:sz w:val="20"/>
                <w:szCs w:val="20"/>
                <w:color w:val="auto"/>
              </w:rPr>
            </w:pPr>
            <w:r>
              <w:rPr>
                <w:rFonts w:ascii="Calibri" w:cs="Calibri" w:eastAsia="Calibri" w:hAnsi="Calibri"/>
                <w:sz w:val="15"/>
                <w:szCs w:val="15"/>
                <w:color w:val="auto"/>
              </w:rPr>
              <w:t>14.69%</w:t>
            </w:r>
          </w:p>
        </w:tc>
        <w:tc>
          <w:tcPr>
            <w:tcW w:w="980" w:type="dxa"/>
            <w:vAlign w:val="bottom"/>
            <w:tcBorders>
              <w:right w:val="single" w:sz="8" w:color="646464"/>
            </w:tcBorders>
          </w:tcPr>
          <w:p>
            <w:pPr>
              <w:jc w:val="right"/>
              <w:spacing w:after="0" w:line="180" w:lineRule="exact"/>
              <w:rPr>
                <w:sz w:val="20"/>
                <w:szCs w:val="20"/>
                <w:color w:val="auto"/>
              </w:rPr>
            </w:pPr>
            <w:r>
              <w:rPr>
                <w:rFonts w:ascii="Calibri" w:cs="Calibri" w:eastAsia="Calibri" w:hAnsi="Calibri"/>
                <w:sz w:val="15"/>
                <w:szCs w:val="15"/>
                <w:color w:val="auto"/>
              </w:rPr>
              <w:t>14.79%</w:t>
            </w:r>
          </w:p>
        </w:tc>
        <w:tc>
          <w:tcPr>
            <w:tcW w:w="760" w:type="dxa"/>
            <w:vAlign w:val="bottom"/>
          </w:tcPr>
          <w:p>
            <w:pPr>
              <w:jc w:val="center"/>
              <w:spacing w:after="0" w:line="180" w:lineRule="exact"/>
              <w:rPr>
                <w:sz w:val="20"/>
                <w:szCs w:val="20"/>
                <w:color w:val="auto"/>
              </w:rPr>
            </w:pPr>
            <w:r>
              <w:rPr>
                <w:rFonts w:ascii="Calibri" w:cs="Calibri" w:eastAsia="Calibri" w:hAnsi="Calibri"/>
                <w:sz w:val="15"/>
                <w:szCs w:val="15"/>
                <w:color w:val="auto"/>
                <w:w w:val="99"/>
              </w:rPr>
              <w:t>10 bps</w:t>
            </w:r>
          </w:p>
        </w:tc>
        <w:tc>
          <w:tcPr>
            <w:tcW w:w="8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8"/>
              </w:rPr>
              <w:t>-82 bps</w:t>
            </w:r>
          </w:p>
        </w:tc>
        <w:tc>
          <w:tcPr>
            <w:tcW w:w="0" w:type="dxa"/>
            <w:vAlign w:val="bottom"/>
          </w:tcPr>
          <w:p>
            <w:pPr>
              <w:spacing w:after="0"/>
              <w:rPr>
                <w:sz w:val="1"/>
                <w:szCs w:val="1"/>
                <w:color w:val="auto"/>
              </w:rPr>
            </w:pPr>
          </w:p>
        </w:tc>
      </w:tr>
      <w:tr>
        <w:trPr>
          <w:trHeight w:val="179"/>
        </w:trPr>
        <w:tc>
          <w:tcPr>
            <w:tcW w:w="4100" w:type="dxa"/>
            <w:vAlign w:val="bottom"/>
            <w:tcBorders>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color w:val="auto"/>
              </w:rPr>
              <w:t>Risk-weighted assets / Regulatory capital</w:t>
            </w:r>
          </w:p>
        </w:tc>
        <w:tc>
          <w:tcPr>
            <w:tcW w:w="1240" w:type="dxa"/>
            <w:vAlign w:val="bottom"/>
          </w:tcPr>
          <w:p>
            <w:pPr>
              <w:jc w:val="right"/>
              <w:ind w:right="106"/>
              <w:spacing w:after="0" w:line="180" w:lineRule="exact"/>
              <w:rPr>
                <w:sz w:val="20"/>
                <w:szCs w:val="20"/>
                <w:color w:val="auto"/>
              </w:rPr>
            </w:pPr>
            <w:r>
              <w:rPr>
                <w:rFonts w:ascii="Calibri" w:cs="Calibri" w:eastAsia="Calibri" w:hAnsi="Calibri"/>
                <w:sz w:val="15"/>
                <w:szCs w:val="15"/>
                <w:color w:val="auto"/>
              </w:rPr>
              <w:t>6.41</w:t>
            </w:r>
          </w:p>
        </w:tc>
        <w:tc>
          <w:tcPr>
            <w:tcW w:w="1120" w:type="dxa"/>
            <w:vAlign w:val="bottom"/>
          </w:tcPr>
          <w:p>
            <w:pPr>
              <w:jc w:val="right"/>
              <w:ind w:right="106"/>
              <w:spacing w:after="0" w:line="180" w:lineRule="exact"/>
              <w:rPr>
                <w:sz w:val="20"/>
                <w:szCs w:val="20"/>
                <w:color w:val="auto"/>
              </w:rPr>
            </w:pPr>
            <w:r>
              <w:rPr>
                <w:rFonts w:ascii="Calibri" w:cs="Calibri" w:eastAsia="Calibri" w:hAnsi="Calibri"/>
                <w:sz w:val="15"/>
                <w:szCs w:val="15"/>
                <w:color w:val="auto"/>
              </w:rPr>
              <w:t>6.81</w:t>
            </w:r>
          </w:p>
        </w:tc>
        <w:tc>
          <w:tcPr>
            <w:tcW w:w="980" w:type="dxa"/>
            <w:vAlign w:val="bottom"/>
            <w:tcBorders>
              <w:right w:val="single" w:sz="8" w:color="646464"/>
            </w:tcBorders>
          </w:tcPr>
          <w:p>
            <w:pPr>
              <w:jc w:val="right"/>
              <w:spacing w:after="0" w:line="180" w:lineRule="exact"/>
              <w:rPr>
                <w:sz w:val="20"/>
                <w:szCs w:val="20"/>
                <w:color w:val="auto"/>
              </w:rPr>
            </w:pPr>
            <w:r>
              <w:rPr>
                <w:rFonts w:ascii="Calibri" w:cs="Calibri" w:eastAsia="Calibri" w:hAnsi="Calibri"/>
                <w:sz w:val="15"/>
                <w:szCs w:val="15"/>
                <w:color w:val="auto"/>
              </w:rPr>
              <w:t>6.76</w:t>
            </w:r>
          </w:p>
        </w:tc>
        <w:tc>
          <w:tcPr>
            <w:tcW w:w="76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-0.7%</w:t>
            </w:r>
          </w:p>
        </w:tc>
        <w:tc>
          <w:tcPr>
            <w:tcW w:w="8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5.6%</w:t>
            </w:r>
          </w:p>
        </w:tc>
        <w:tc>
          <w:tcPr>
            <w:tcW w:w="0" w:type="dxa"/>
            <w:vAlign w:val="bottom"/>
          </w:tcPr>
          <w:p>
            <w:pPr>
              <w:spacing w:after="0"/>
              <w:rPr>
                <w:sz w:val="1"/>
                <w:szCs w:val="1"/>
                <w:color w:val="auto"/>
              </w:rPr>
            </w:pPr>
          </w:p>
        </w:tc>
      </w:tr>
      <w:tr>
        <w:trPr>
          <w:trHeight w:val="35"/>
        </w:trPr>
        <w:tc>
          <w:tcPr>
            <w:tcW w:w="4100" w:type="dxa"/>
            <w:vAlign w:val="bottom"/>
            <w:tcBorders>
              <w:left w:val="single" w:sz="8" w:color="auto"/>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646464"/>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5" w:right="319" w:bottom="1440" w:gutter="0" w:footer="0" w:header="0"/>
        </w:sectPr>
      </w:pPr>
    </w:p>
    <w:bookmarkStart w:id="66" w:name="page67"/>
    <w:bookmarkEnd w:id="66"/>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12. Appendix</w:t>
      </w:r>
    </w:p>
    <w:p>
      <w:pPr>
        <w:spacing w:after="0" w:line="257" w:lineRule="exact"/>
        <w:rPr>
          <w:sz w:val="20"/>
          <w:szCs w:val="20"/>
          <w:color w:val="auto"/>
        </w:rPr>
      </w:pPr>
    </w:p>
    <w:tbl>
      <w:tblPr>
        <w:tblLayout w:type="fixed"/>
        <w:tblInd w:w="1690" w:type="dxa"/>
        <w:tblCellMar>
          <w:top w:w="0" w:type="dxa"/>
          <w:left w:w="0" w:type="dxa"/>
          <w:bottom w:w="0" w:type="dxa"/>
          <w:right w:w="0" w:type="dxa"/>
        </w:tblCellMar>
      </w:tblPr>
      <w:tr>
        <w:trPr>
          <w:trHeight w:val="220"/>
        </w:trPr>
        <w:tc>
          <w:tcPr>
            <w:tcW w:w="6440" w:type="dxa"/>
            <w:vAlign w:val="bottom"/>
            <w:gridSpan w:val="2"/>
          </w:tcPr>
          <w:p>
            <w:pPr>
              <w:ind w:left="1720"/>
              <w:spacing w:after="0"/>
              <w:rPr>
                <w:sz w:val="20"/>
                <w:szCs w:val="20"/>
                <w:color w:val="auto"/>
              </w:rPr>
            </w:pPr>
            <w:r>
              <w:rPr>
                <w:rFonts w:ascii="Calibri" w:cs="Calibri" w:eastAsia="Calibri" w:hAnsi="Calibri"/>
                <w:sz w:val="18"/>
                <w:szCs w:val="18"/>
                <w:b w:val="1"/>
                <w:bCs w:val="1"/>
                <w:color w:val="auto"/>
              </w:rPr>
              <w:t>Regulatory Capital and Capital Adequacy Ratos at Mibanco</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40" w:type="dxa"/>
            <w:vAlign w:val="bottom"/>
            <w:gridSpan w:val="2"/>
          </w:tcPr>
          <w:p>
            <w:pPr>
              <w:ind w:left="1520"/>
              <w:spacing w:after="0"/>
              <w:rPr>
                <w:sz w:val="20"/>
                <w:szCs w:val="20"/>
                <w:color w:val="auto"/>
              </w:rPr>
            </w:pPr>
            <w:r>
              <w:rPr>
                <w:rFonts w:ascii="Calibri" w:cs="Calibri" w:eastAsia="Calibri" w:hAnsi="Calibri"/>
                <w:sz w:val="18"/>
                <w:szCs w:val="18"/>
                <w:b w:val="1"/>
                <w:bCs w:val="1"/>
                <w:color w:val="auto"/>
              </w:rPr>
              <w:t>(S/ thousands, IFRS, under current regulaton as of January 2023)</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shd w:val="clear" w:color="auto" w:fill="33CCCC"/>
          </w:tcPr>
          <w:p>
            <w:pPr>
              <w:ind w:left="40"/>
              <w:spacing w:after="0" w:line="145" w:lineRule="exact"/>
              <w:rPr>
                <w:sz w:val="20"/>
                <w:szCs w:val="20"/>
                <w:color w:val="auto"/>
              </w:rPr>
            </w:pPr>
            <w:r>
              <w:rPr>
                <w:rFonts w:ascii="Calibri" w:cs="Calibri" w:eastAsia="Calibri" w:hAnsi="Calibri"/>
                <w:sz w:val="12"/>
                <w:szCs w:val="12"/>
                <w:b w:val="1"/>
                <w:bCs w:val="1"/>
                <w:color w:val="FFFFFF"/>
              </w:rPr>
              <w:t>Capital regulatorio</w:t>
            </w:r>
          </w:p>
        </w:tc>
        <w:tc>
          <w:tcPr>
            <w:tcW w:w="800" w:type="dxa"/>
            <w:vAlign w:val="bottom"/>
            <w:shd w:val="clear" w:color="auto" w:fill="33CCCC"/>
          </w:tcPr>
          <w:p>
            <w:pPr>
              <w:spacing w:after="0"/>
              <w:rPr>
                <w:sz w:val="12"/>
                <w:szCs w:val="12"/>
                <w:color w:val="auto"/>
              </w:rPr>
            </w:pPr>
          </w:p>
        </w:tc>
        <w:tc>
          <w:tcPr>
            <w:tcW w:w="1440" w:type="dxa"/>
            <w:vAlign w:val="bottom"/>
            <w:tcBorders>
              <w:right w:val="single" w:sz="8" w:color="auto"/>
            </w:tcBorders>
            <w:vMerge w:val="restart"/>
            <w:shd w:val="clear" w:color="auto" w:fill="33CCCC"/>
          </w:tcPr>
          <w:p>
            <w:pPr>
              <w:jc w:val="center"/>
              <w:ind w:right="760"/>
              <w:spacing w:after="0"/>
              <w:rPr>
                <w:sz w:val="20"/>
                <w:szCs w:val="20"/>
                <w:color w:val="auto"/>
              </w:rPr>
            </w:pPr>
            <w:r>
              <w:rPr>
                <w:rFonts w:ascii="Calibri" w:cs="Calibri" w:eastAsia="Calibri" w:hAnsi="Calibri"/>
                <w:sz w:val="12"/>
                <w:szCs w:val="12"/>
                <w:b w:val="1"/>
                <w:bCs w:val="1"/>
                <w:color w:val="FFFFFF"/>
                <w:w w:val="97"/>
              </w:rPr>
              <w:t>1Q23</w:t>
            </w:r>
          </w:p>
        </w:tc>
        <w:tc>
          <w:tcPr>
            <w:tcW w:w="0" w:type="dxa"/>
            <w:vAlign w:val="bottom"/>
          </w:tcPr>
          <w:p>
            <w:pPr>
              <w:spacing w:after="0"/>
              <w:rPr>
                <w:sz w:val="1"/>
                <w:szCs w:val="1"/>
                <w:color w:val="auto"/>
              </w:rPr>
            </w:pPr>
          </w:p>
        </w:tc>
      </w:tr>
      <w:tr>
        <w:trPr>
          <w:trHeight w:val="78"/>
        </w:trPr>
        <w:tc>
          <w:tcPr>
            <w:tcW w:w="5640" w:type="dxa"/>
            <w:vAlign w:val="bottom"/>
            <w:tcBorders>
              <w:left w:val="single" w:sz="8" w:color="auto"/>
              <w:right w:val="single" w:sz="8" w:color="auto"/>
            </w:tcBorders>
            <w:vMerge w:val="restart"/>
            <w:shd w:val="clear" w:color="auto" w:fill="33CCCC"/>
          </w:tcPr>
          <w:p>
            <w:pPr>
              <w:ind w:left="40"/>
              <w:spacing w:after="0"/>
              <w:rPr>
                <w:sz w:val="20"/>
                <w:szCs w:val="20"/>
                <w:color w:val="auto"/>
              </w:rPr>
            </w:pPr>
            <w:r>
              <w:rPr>
                <w:rFonts w:ascii="Calibri" w:cs="Calibri" w:eastAsia="Calibri" w:hAnsi="Calibri"/>
                <w:sz w:val="12"/>
                <w:szCs w:val="12"/>
                <w:b w:val="1"/>
                <w:bCs w:val="1"/>
                <w:color w:val="FFFFFF"/>
              </w:rPr>
              <w:t>(S/ miles)</w:t>
            </w:r>
          </w:p>
        </w:tc>
        <w:tc>
          <w:tcPr>
            <w:tcW w:w="800" w:type="dxa"/>
            <w:vAlign w:val="bottom"/>
            <w:shd w:val="clear" w:color="auto" w:fill="33CCCC"/>
          </w:tcPr>
          <w:p>
            <w:pPr>
              <w:spacing w:after="0"/>
              <w:rPr>
                <w:sz w:val="6"/>
                <w:szCs w:val="6"/>
                <w:color w:val="auto"/>
              </w:rPr>
            </w:pPr>
          </w:p>
        </w:tc>
        <w:tc>
          <w:tcPr>
            <w:tcW w:w="1440" w:type="dxa"/>
            <w:vAlign w:val="bottom"/>
            <w:tcBorders>
              <w:right w:val="single" w:sz="8" w:color="auto"/>
            </w:tcBorders>
            <w:vMerge w:val="continue"/>
            <w:shd w:val="clear" w:color="auto" w:fill="33CCCC"/>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5640" w:type="dxa"/>
            <w:vAlign w:val="bottom"/>
            <w:tcBorders>
              <w:left w:val="single" w:sz="8" w:color="auto"/>
              <w:bottom w:val="single" w:sz="8" w:color="33CCCC"/>
              <w:right w:val="single" w:sz="8" w:color="auto"/>
            </w:tcBorders>
            <w:vMerge w:val="continue"/>
            <w:shd w:val="clear" w:color="auto" w:fill="33CCCC"/>
          </w:tcPr>
          <w:p>
            <w:pPr>
              <w:spacing w:after="0"/>
              <w:rPr>
                <w:sz w:val="10"/>
                <w:szCs w:val="10"/>
                <w:color w:val="auto"/>
              </w:rPr>
            </w:pPr>
          </w:p>
        </w:tc>
        <w:tc>
          <w:tcPr>
            <w:tcW w:w="800" w:type="dxa"/>
            <w:vAlign w:val="bottom"/>
            <w:tcBorders>
              <w:bottom w:val="single" w:sz="8" w:color="33CCCC"/>
            </w:tcBorders>
            <w:shd w:val="clear" w:color="auto" w:fill="33CCCC"/>
          </w:tcPr>
          <w:p>
            <w:pPr>
              <w:spacing w:after="0"/>
              <w:rPr>
                <w:sz w:val="10"/>
                <w:szCs w:val="10"/>
                <w:color w:val="auto"/>
              </w:rPr>
            </w:pPr>
          </w:p>
        </w:tc>
        <w:tc>
          <w:tcPr>
            <w:tcW w:w="1440" w:type="dxa"/>
            <w:vAlign w:val="bottom"/>
            <w:tcBorders>
              <w:bottom w:val="single" w:sz="8" w:color="33CCCC"/>
              <w:right w:val="single" w:sz="8" w:color="auto"/>
            </w:tcBorders>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640" w:type="dxa"/>
            <w:vAlign w:val="bottom"/>
            <w:tcBorders>
              <w:top w:val="single" w:sz="8" w:color="auto"/>
              <w:left w:val="single" w:sz="8" w:color="auto"/>
              <w:right w:val="single" w:sz="8" w:color="auto"/>
            </w:tcBorders>
          </w:tcPr>
          <w:p>
            <w:pPr>
              <w:ind w:left="40"/>
              <w:spacing w:after="0" w:line="145" w:lineRule="exact"/>
              <w:rPr>
                <w:sz w:val="20"/>
                <w:szCs w:val="20"/>
                <w:color w:val="auto"/>
              </w:rPr>
            </w:pPr>
            <w:r>
              <w:rPr>
                <w:rFonts w:ascii="Calibri" w:cs="Calibri" w:eastAsia="Calibri" w:hAnsi="Calibri"/>
                <w:sz w:val="12"/>
                <w:szCs w:val="12"/>
                <w:color w:val="auto"/>
              </w:rPr>
              <w:t>Capital</w:t>
            </w:r>
          </w:p>
        </w:tc>
        <w:tc>
          <w:tcPr>
            <w:tcW w:w="800" w:type="dxa"/>
            <w:vAlign w:val="bottom"/>
            <w:tcBorders>
              <w:top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jc w:val="center"/>
              <w:ind w:right="760"/>
              <w:spacing w:after="0" w:line="145" w:lineRule="exact"/>
              <w:rPr>
                <w:sz w:val="20"/>
                <w:szCs w:val="20"/>
                <w:color w:val="auto"/>
              </w:rPr>
            </w:pPr>
            <w:r>
              <w:rPr>
                <w:rFonts w:ascii="Calibri" w:cs="Calibri" w:eastAsia="Calibri" w:hAnsi="Calibri"/>
                <w:sz w:val="12"/>
                <w:szCs w:val="12"/>
                <w:color w:val="auto"/>
              </w:rPr>
              <w:t>1,840,606</w:t>
            </w: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Reservas</w:t>
            </w:r>
          </w:p>
        </w:tc>
        <w:tc>
          <w:tcPr>
            <w:tcW w:w="800" w:type="dxa"/>
            <w:vAlign w:val="bottom"/>
          </w:tcPr>
          <w:p>
            <w:pPr>
              <w:spacing w:after="0"/>
              <w:rPr>
                <w:sz w:val="14"/>
                <w:szCs w:val="14"/>
                <w:color w:val="auto"/>
              </w:rPr>
            </w:pPr>
          </w:p>
        </w:tc>
        <w:tc>
          <w:tcPr>
            <w:tcW w:w="1440" w:type="dxa"/>
            <w:vAlign w:val="bottom"/>
            <w:tcBorders>
              <w:right w:val="single" w:sz="8" w:color="auto"/>
            </w:tcBorders>
          </w:tcPr>
          <w:p>
            <w:pPr>
              <w:jc w:val="center"/>
              <w:ind w:right="740"/>
              <w:spacing w:after="0"/>
              <w:rPr>
                <w:sz w:val="20"/>
                <w:szCs w:val="20"/>
                <w:color w:val="auto"/>
              </w:rPr>
            </w:pPr>
            <w:r>
              <w:rPr>
                <w:rFonts w:ascii="Calibri" w:cs="Calibri" w:eastAsia="Calibri" w:hAnsi="Calibri"/>
                <w:sz w:val="12"/>
                <w:szCs w:val="12"/>
                <w:color w:val="auto"/>
              </w:rPr>
              <w:t>308,056</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Utlidades y Resultados Acumulados</w:t>
            </w:r>
          </w:p>
        </w:tc>
        <w:tc>
          <w:tcPr>
            <w:tcW w:w="800" w:type="dxa"/>
            <w:vAlign w:val="bottom"/>
          </w:tcPr>
          <w:p>
            <w:pPr>
              <w:spacing w:after="0"/>
              <w:rPr>
                <w:sz w:val="14"/>
                <w:szCs w:val="14"/>
                <w:color w:val="auto"/>
              </w:rPr>
            </w:pPr>
          </w:p>
        </w:tc>
        <w:tc>
          <w:tcPr>
            <w:tcW w:w="1440" w:type="dxa"/>
            <w:vAlign w:val="bottom"/>
            <w:tcBorders>
              <w:right w:val="single" w:sz="8" w:color="auto"/>
            </w:tcBorders>
          </w:tcPr>
          <w:p>
            <w:pPr>
              <w:jc w:val="center"/>
              <w:ind w:right="740"/>
              <w:spacing w:after="0"/>
              <w:rPr>
                <w:sz w:val="20"/>
                <w:szCs w:val="20"/>
                <w:color w:val="auto"/>
              </w:rPr>
            </w:pPr>
            <w:r>
              <w:rPr>
                <w:rFonts w:ascii="Calibri" w:cs="Calibri" w:eastAsia="Calibri" w:hAnsi="Calibri"/>
                <w:sz w:val="12"/>
                <w:szCs w:val="12"/>
                <w:color w:val="auto"/>
              </w:rPr>
              <w:t>556,972</w:t>
            </w:r>
          </w:p>
        </w:tc>
        <w:tc>
          <w:tcPr>
            <w:tcW w:w="0" w:type="dxa"/>
            <w:vAlign w:val="bottom"/>
          </w:tcPr>
          <w:p>
            <w:pPr>
              <w:spacing w:after="0"/>
              <w:rPr>
                <w:sz w:val="1"/>
                <w:szCs w:val="1"/>
                <w:color w:val="auto"/>
              </w:rPr>
            </w:pPr>
          </w:p>
        </w:tc>
      </w:tr>
      <w:tr>
        <w:trPr>
          <w:trHeight w:val="196"/>
        </w:trPr>
        <w:tc>
          <w:tcPr>
            <w:tcW w:w="5640" w:type="dxa"/>
            <w:vAlign w:val="bottom"/>
            <w:tcBorders>
              <w:left w:val="single" w:sz="8" w:color="auto"/>
              <w:right w:val="single" w:sz="8" w:color="auto"/>
            </w:tcBorders>
          </w:tcPr>
          <w:p>
            <w:pPr>
              <w:ind w:left="40"/>
              <w:spacing w:after="0" w:line="196" w:lineRule="exact"/>
              <w:rPr>
                <w:sz w:val="20"/>
                <w:szCs w:val="20"/>
                <w:color w:val="auto"/>
              </w:rPr>
            </w:pPr>
            <w:r>
              <w:rPr>
                <w:rFonts w:ascii="Calibri" w:cs="Calibri" w:eastAsia="Calibri" w:hAnsi="Calibri"/>
                <w:sz w:val="12"/>
                <w:szCs w:val="12"/>
                <w:color w:val="auto"/>
              </w:rPr>
              <w:t xml:space="preserve">Provisiones </w:t>
            </w:r>
            <w:r>
              <w:rPr>
                <w:rFonts w:ascii="Calibri" w:cs="Calibri" w:eastAsia="Calibri" w:hAnsi="Calibri"/>
                <w:sz w:val="20"/>
                <w:szCs w:val="20"/>
                <w:color w:val="auto"/>
                <w:vertAlign w:val="superscript"/>
              </w:rPr>
              <w:t>(1)</w:t>
            </w:r>
          </w:p>
        </w:tc>
        <w:tc>
          <w:tcPr>
            <w:tcW w:w="800" w:type="dxa"/>
            <w:vAlign w:val="bottom"/>
          </w:tcPr>
          <w:p>
            <w:pPr>
              <w:spacing w:after="0"/>
              <w:rPr>
                <w:sz w:val="17"/>
                <w:szCs w:val="17"/>
                <w:color w:val="auto"/>
              </w:rPr>
            </w:pPr>
          </w:p>
        </w:tc>
        <w:tc>
          <w:tcPr>
            <w:tcW w:w="1440" w:type="dxa"/>
            <w:vAlign w:val="bottom"/>
            <w:tcBorders>
              <w:right w:val="single" w:sz="8" w:color="auto"/>
            </w:tcBorders>
          </w:tcPr>
          <w:p>
            <w:pPr>
              <w:jc w:val="center"/>
              <w:ind w:right="740"/>
              <w:spacing w:after="0"/>
              <w:rPr>
                <w:sz w:val="20"/>
                <w:szCs w:val="20"/>
                <w:color w:val="auto"/>
              </w:rPr>
            </w:pPr>
            <w:r>
              <w:rPr>
                <w:rFonts w:ascii="Calibri" w:cs="Calibri" w:eastAsia="Calibri" w:hAnsi="Calibri"/>
                <w:sz w:val="12"/>
                <w:szCs w:val="12"/>
                <w:color w:val="auto"/>
              </w:rPr>
              <w:t>168,965</w:t>
            </w: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tcPr>
          <w:p>
            <w:pPr>
              <w:ind w:left="40"/>
              <w:spacing w:after="0" w:line="145" w:lineRule="exact"/>
              <w:rPr>
                <w:sz w:val="20"/>
                <w:szCs w:val="20"/>
                <w:color w:val="auto"/>
              </w:rPr>
            </w:pPr>
            <w:r>
              <w:rPr>
                <w:rFonts w:ascii="Calibri" w:cs="Calibri" w:eastAsia="Calibri" w:hAnsi="Calibri"/>
                <w:sz w:val="12"/>
                <w:szCs w:val="12"/>
                <w:color w:val="auto"/>
              </w:rPr>
              <w:t>Deuda Subordinada Perpetua</w:t>
            </w:r>
          </w:p>
        </w:tc>
        <w:tc>
          <w:tcPr>
            <w:tcW w:w="800" w:type="dxa"/>
            <w:vAlign w:val="bottom"/>
          </w:tcPr>
          <w:p>
            <w:pPr>
              <w:spacing w:after="0"/>
              <w:rPr>
                <w:sz w:val="12"/>
                <w:szCs w:val="12"/>
                <w:color w:val="auto"/>
              </w:rPr>
            </w:pPr>
          </w:p>
        </w:tc>
        <w:tc>
          <w:tcPr>
            <w:tcW w:w="1440" w:type="dxa"/>
            <w:vAlign w:val="bottom"/>
            <w:tcBorders>
              <w:right w:val="single" w:sz="8" w:color="auto"/>
            </w:tcBorders>
          </w:tcPr>
          <w:p>
            <w:pPr>
              <w:jc w:val="center"/>
              <w:ind w:right="760"/>
              <w:spacing w:after="0" w:line="145" w:lineRule="exact"/>
              <w:rPr>
                <w:sz w:val="20"/>
                <w:szCs w:val="20"/>
                <w:color w:val="auto"/>
              </w:rPr>
            </w:pPr>
            <w:r>
              <w:rPr>
                <w:rFonts w:ascii="Calibri" w:cs="Calibri" w:eastAsia="Calibri" w:hAnsi="Calibri"/>
                <w:sz w:val="12"/>
                <w:szCs w:val="12"/>
                <w:color w:val="auto"/>
                <w:w w:val="97"/>
              </w:rPr>
              <w:t>0</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Deuda Subordinada</w:t>
            </w:r>
          </w:p>
        </w:tc>
        <w:tc>
          <w:tcPr>
            <w:tcW w:w="800" w:type="dxa"/>
            <w:vAlign w:val="bottom"/>
          </w:tcPr>
          <w:p>
            <w:pPr>
              <w:spacing w:after="0"/>
              <w:rPr>
                <w:sz w:val="14"/>
                <w:szCs w:val="14"/>
                <w:color w:val="auto"/>
              </w:rPr>
            </w:pPr>
          </w:p>
        </w:tc>
        <w:tc>
          <w:tcPr>
            <w:tcW w:w="1440" w:type="dxa"/>
            <w:vAlign w:val="bottom"/>
            <w:tcBorders>
              <w:right w:val="single" w:sz="8" w:color="auto"/>
            </w:tcBorders>
          </w:tcPr>
          <w:p>
            <w:pPr>
              <w:jc w:val="center"/>
              <w:ind w:right="740"/>
              <w:spacing w:after="0"/>
              <w:rPr>
                <w:sz w:val="20"/>
                <w:szCs w:val="20"/>
                <w:color w:val="auto"/>
              </w:rPr>
            </w:pPr>
            <w:r>
              <w:rPr>
                <w:rFonts w:ascii="Calibri" w:cs="Calibri" w:eastAsia="Calibri" w:hAnsi="Calibri"/>
                <w:sz w:val="12"/>
                <w:szCs w:val="12"/>
                <w:color w:val="auto"/>
              </w:rPr>
              <w:t>179,000</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Pérdida No Realizada</w:t>
            </w:r>
          </w:p>
        </w:tc>
        <w:tc>
          <w:tcPr>
            <w:tcW w:w="800" w:type="dxa"/>
            <w:vAlign w:val="bottom"/>
          </w:tcPr>
          <w:p>
            <w:pPr>
              <w:spacing w:after="0"/>
              <w:rPr>
                <w:sz w:val="14"/>
                <w:szCs w:val="14"/>
                <w:color w:val="auto"/>
              </w:rPr>
            </w:pPr>
          </w:p>
        </w:tc>
        <w:tc>
          <w:tcPr>
            <w:tcW w:w="1440" w:type="dxa"/>
            <w:vAlign w:val="bottom"/>
            <w:tcBorders>
              <w:right w:val="single" w:sz="8" w:color="auto"/>
            </w:tcBorders>
          </w:tcPr>
          <w:p>
            <w:pPr>
              <w:jc w:val="center"/>
              <w:ind w:right="760"/>
              <w:spacing w:after="0"/>
              <w:rPr>
                <w:sz w:val="20"/>
                <w:szCs w:val="20"/>
                <w:color w:val="auto"/>
              </w:rPr>
            </w:pPr>
            <w:r>
              <w:rPr>
                <w:rFonts w:ascii="Calibri" w:cs="Calibri" w:eastAsia="Calibri" w:hAnsi="Calibri"/>
                <w:sz w:val="12"/>
                <w:szCs w:val="12"/>
                <w:color w:val="auto"/>
              </w:rPr>
              <w:t>-15,467</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Inversiones en subsidiarias y otros, netas de ganancias no realizadas y utlidades</w:t>
            </w:r>
          </w:p>
        </w:tc>
        <w:tc>
          <w:tcPr>
            <w:tcW w:w="800" w:type="dxa"/>
            <w:vAlign w:val="bottom"/>
          </w:tcPr>
          <w:p>
            <w:pPr>
              <w:spacing w:after="0"/>
              <w:rPr>
                <w:sz w:val="14"/>
                <w:szCs w:val="14"/>
                <w:color w:val="auto"/>
              </w:rPr>
            </w:pPr>
          </w:p>
        </w:tc>
        <w:tc>
          <w:tcPr>
            <w:tcW w:w="1440" w:type="dxa"/>
            <w:vAlign w:val="bottom"/>
            <w:tcBorders>
              <w:right w:val="single" w:sz="8" w:color="auto"/>
            </w:tcBorders>
          </w:tcPr>
          <w:p>
            <w:pPr>
              <w:jc w:val="center"/>
              <w:ind w:right="760"/>
              <w:spacing w:after="0"/>
              <w:rPr>
                <w:sz w:val="20"/>
                <w:szCs w:val="20"/>
                <w:color w:val="auto"/>
              </w:rPr>
            </w:pPr>
            <w:r>
              <w:rPr>
                <w:rFonts w:ascii="Calibri" w:cs="Calibri" w:eastAsia="Calibri" w:hAnsi="Calibri"/>
                <w:sz w:val="12"/>
                <w:szCs w:val="12"/>
                <w:color w:val="auto"/>
              </w:rPr>
              <w:t>-281</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Intangibles</w:t>
            </w:r>
          </w:p>
        </w:tc>
        <w:tc>
          <w:tcPr>
            <w:tcW w:w="800" w:type="dxa"/>
            <w:vAlign w:val="bottom"/>
          </w:tcPr>
          <w:p>
            <w:pPr>
              <w:spacing w:after="0"/>
              <w:rPr>
                <w:sz w:val="14"/>
                <w:szCs w:val="14"/>
                <w:color w:val="auto"/>
              </w:rPr>
            </w:pPr>
          </w:p>
        </w:tc>
        <w:tc>
          <w:tcPr>
            <w:tcW w:w="1440" w:type="dxa"/>
            <w:vAlign w:val="bottom"/>
            <w:tcBorders>
              <w:right w:val="single" w:sz="8" w:color="auto"/>
            </w:tcBorders>
          </w:tcPr>
          <w:p>
            <w:pPr>
              <w:jc w:val="center"/>
              <w:ind w:right="760"/>
              <w:spacing w:after="0"/>
              <w:rPr>
                <w:sz w:val="20"/>
                <w:szCs w:val="20"/>
                <w:color w:val="auto"/>
              </w:rPr>
            </w:pPr>
            <w:r>
              <w:rPr>
                <w:rFonts w:ascii="Calibri" w:cs="Calibri" w:eastAsia="Calibri" w:hAnsi="Calibri"/>
                <w:sz w:val="12"/>
                <w:szCs w:val="12"/>
                <w:color w:val="auto"/>
                <w:w w:val="97"/>
              </w:rPr>
              <w:t>-135,202</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Goodwill</w:t>
            </w:r>
          </w:p>
        </w:tc>
        <w:tc>
          <w:tcPr>
            <w:tcW w:w="800" w:type="dxa"/>
            <w:vAlign w:val="bottom"/>
          </w:tcPr>
          <w:p>
            <w:pPr>
              <w:spacing w:after="0"/>
              <w:rPr>
                <w:sz w:val="14"/>
                <w:szCs w:val="14"/>
                <w:color w:val="auto"/>
              </w:rPr>
            </w:pPr>
          </w:p>
        </w:tc>
        <w:tc>
          <w:tcPr>
            <w:tcW w:w="1440" w:type="dxa"/>
            <w:vAlign w:val="bottom"/>
            <w:tcBorders>
              <w:right w:val="single" w:sz="8" w:color="auto"/>
            </w:tcBorders>
          </w:tcPr>
          <w:p>
            <w:pPr>
              <w:jc w:val="center"/>
              <w:ind w:right="760"/>
              <w:spacing w:after="0"/>
              <w:rPr>
                <w:sz w:val="20"/>
                <w:szCs w:val="20"/>
                <w:color w:val="auto"/>
              </w:rPr>
            </w:pPr>
            <w:r>
              <w:rPr>
                <w:rFonts w:ascii="Calibri" w:cs="Calibri" w:eastAsia="Calibri" w:hAnsi="Calibri"/>
                <w:sz w:val="12"/>
                <w:szCs w:val="12"/>
                <w:color w:val="auto"/>
                <w:w w:val="97"/>
              </w:rPr>
              <w:t>-139,180</w:t>
            </w:r>
          </w:p>
        </w:tc>
        <w:tc>
          <w:tcPr>
            <w:tcW w:w="0" w:type="dxa"/>
            <w:vAlign w:val="bottom"/>
          </w:tcPr>
          <w:p>
            <w:pPr>
              <w:spacing w:after="0"/>
              <w:rPr>
                <w:sz w:val="1"/>
                <w:szCs w:val="1"/>
                <w:color w:val="auto"/>
              </w:rPr>
            </w:pPr>
          </w:p>
        </w:tc>
      </w:tr>
      <w:tr>
        <w:trPr>
          <w:trHeight w:val="29"/>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tcPr>
          <w:p>
            <w:pPr>
              <w:ind w:left="40"/>
              <w:spacing w:after="0" w:line="145" w:lineRule="exact"/>
              <w:rPr>
                <w:sz w:val="20"/>
                <w:szCs w:val="20"/>
                <w:color w:val="auto"/>
              </w:rPr>
            </w:pPr>
            <w:r>
              <w:rPr>
                <w:rFonts w:ascii="Calibri" w:cs="Calibri" w:eastAsia="Calibri" w:hAnsi="Calibri"/>
                <w:sz w:val="12"/>
                <w:szCs w:val="12"/>
                <w:b w:val="1"/>
                <w:bCs w:val="1"/>
                <w:color w:val="auto"/>
              </w:rPr>
              <w:t>Patrimonio Efectvo Total</w:t>
            </w:r>
          </w:p>
        </w:tc>
        <w:tc>
          <w:tcPr>
            <w:tcW w:w="800" w:type="dxa"/>
            <w:vAlign w:val="bottom"/>
          </w:tcPr>
          <w:p>
            <w:pPr>
              <w:spacing w:after="0"/>
              <w:rPr>
                <w:sz w:val="12"/>
                <w:szCs w:val="12"/>
                <w:color w:val="auto"/>
              </w:rPr>
            </w:pPr>
          </w:p>
        </w:tc>
        <w:tc>
          <w:tcPr>
            <w:tcW w:w="1440" w:type="dxa"/>
            <w:vAlign w:val="bottom"/>
            <w:tcBorders>
              <w:right w:val="single" w:sz="8" w:color="auto"/>
            </w:tcBorders>
          </w:tcPr>
          <w:p>
            <w:pPr>
              <w:jc w:val="center"/>
              <w:ind w:right="760"/>
              <w:spacing w:after="0" w:line="145" w:lineRule="exact"/>
              <w:rPr>
                <w:sz w:val="20"/>
                <w:szCs w:val="20"/>
                <w:color w:val="auto"/>
              </w:rPr>
            </w:pPr>
            <w:r>
              <w:rPr>
                <w:rFonts w:ascii="Calibri" w:cs="Calibri" w:eastAsia="Calibri" w:hAnsi="Calibri"/>
                <w:sz w:val="12"/>
                <w:szCs w:val="12"/>
                <w:b w:val="1"/>
                <w:bCs w:val="1"/>
                <w:color w:val="auto"/>
              </w:rPr>
              <w:t>2,763,469</w:t>
            </w:r>
          </w:p>
        </w:tc>
        <w:tc>
          <w:tcPr>
            <w:tcW w:w="0" w:type="dxa"/>
            <w:vAlign w:val="bottom"/>
          </w:tcPr>
          <w:p>
            <w:pPr>
              <w:spacing w:after="0"/>
              <w:rPr>
                <w:sz w:val="1"/>
                <w:szCs w:val="1"/>
                <w:color w:val="auto"/>
              </w:rPr>
            </w:pPr>
          </w:p>
        </w:tc>
      </w:tr>
      <w:tr>
        <w:trPr>
          <w:trHeight w:val="28"/>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64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Calibri" w:cs="Calibri" w:eastAsia="Calibri" w:hAnsi="Calibri"/>
                <w:sz w:val="11"/>
                <w:szCs w:val="11"/>
                <w:b w:val="1"/>
                <w:bCs w:val="1"/>
                <w:color w:val="auto"/>
              </w:rPr>
              <w:t xml:space="preserve">Capital Ordinario Nivel 1 </w:t>
            </w:r>
            <w:r>
              <w:rPr>
                <w:rFonts w:ascii="Calibri" w:cs="Calibri" w:eastAsia="Calibri" w:hAnsi="Calibri"/>
                <w:sz w:val="18"/>
                <w:szCs w:val="18"/>
                <w:b w:val="1"/>
                <w:bCs w:val="1"/>
                <w:color w:val="auto"/>
                <w:vertAlign w:val="superscript"/>
              </w:rPr>
              <w:t>(2)</w:t>
            </w:r>
          </w:p>
        </w:tc>
        <w:tc>
          <w:tcPr>
            <w:tcW w:w="80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jc w:val="center"/>
              <w:ind w:right="760"/>
              <w:spacing w:after="0" w:line="145" w:lineRule="exact"/>
              <w:rPr>
                <w:sz w:val="20"/>
                <w:szCs w:val="20"/>
                <w:color w:val="auto"/>
              </w:rPr>
            </w:pPr>
            <w:r>
              <w:rPr>
                <w:rFonts w:ascii="Calibri" w:cs="Calibri" w:eastAsia="Calibri" w:hAnsi="Calibri"/>
                <w:sz w:val="12"/>
                <w:szCs w:val="12"/>
                <w:b w:val="1"/>
                <w:bCs w:val="1"/>
                <w:color w:val="auto"/>
              </w:rPr>
              <w:t>2,415,504</w:t>
            </w:r>
          </w:p>
        </w:tc>
        <w:tc>
          <w:tcPr>
            <w:tcW w:w="0" w:type="dxa"/>
            <w:vAlign w:val="bottom"/>
          </w:tcPr>
          <w:p>
            <w:pPr>
              <w:spacing w:after="0"/>
              <w:rPr>
                <w:sz w:val="1"/>
                <w:szCs w:val="1"/>
                <w:color w:val="auto"/>
              </w:rPr>
            </w:pPr>
          </w:p>
        </w:tc>
      </w:tr>
      <w:tr>
        <w:trPr>
          <w:trHeight w:val="173"/>
        </w:trPr>
        <w:tc>
          <w:tcPr>
            <w:tcW w:w="564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Calibri" w:cs="Calibri" w:eastAsia="Calibri" w:hAnsi="Calibri"/>
                <w:sz w:val="11"/>
                <w:szCs w:val="11"/>
                <w:b w:val="1"/>
                <w:bCs w:val="1"/>
                <w:color w:val="auto"/>
              </w:rPr>
              <w:t xml:space="preserve">Patrimonio Efectvo Nivel 1 </w:t>
            </w:r>
            <w:r>
              <w:rPr>
                <w:rFonts w:ascii="Calibri" w:cs="Calibri" w:eastAsia="Calibri" w:hAnsi="Calibri"/>
                <w:sz w:val="18"/>
                <w:szCs w:val="18"/>
                <w:b w:val="1"/>
                <w:bCs w:val="1"/>
                <w:color w:val="auto"/>
                <w:vertAlign w:val="superscript"/>
              </w:rPr>
              <w:t>(3)</w:t>
            </w:r>
          </w:p>
        </w:tc>
        <w:tc>
          <w:tcPr>
            <w:tcW w:w="80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jc w:val="center"/>
              <w:ind w:right="760"/>
              <w:spacing w:after="0" w:line="145" w:lineRule="exact"/>
              <w:rPr>
                <w:sz w:val="20"/>
                <w:szCs w:val="20"/>
                <w:color w:val="auto"/>
              </w:rPr>
            </w:pPr>
            <w:r>
              <w:rPr>
                <w:rFonts w:ascii="Calibri" w:cs="Calibri" w:eastAsia="Calibri" w:hAnsi="Calibri"/>
                <w:sz w:val="12"/>
                <w:szCs w:val="12"/>
                <w:b w:val="1"/>
                <w:bCs w:val="1"/>
                <w:color w:val="auto"/>
              </w:rPr>
              <w:t>2,415,504</w:t>
            </w:r>
          </w:p>
        </w:tc>
        <w:tc>
          <w:tcPr>
            <w:tcW w:w="0" w:type="dxa"/>
            <w:vAlign w:val="bottom"/>
          </w:tcPr>
          <w:p>
            <w:pPr>
              <w:spacing w:after="0"/>
              <w:rPr>
                <w:sz w:val="1"/>
                <w:szCs w:val="1"/>
                <w:color w:val="auto"/>
              </w:rPr>
            </w:pPr>
          </w:p>
        </w:tc>
      </w:tr>
      <w:tr>
        <w:trPr>
          <w:trHeight w:val="173"/>
        </w:trPr>
        <w:tc>
          <w:tcPr>
            <w:tcW w:w="564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Calibri" w:cs="Calibri" w:eastAsia="Calibri" w:hAnsi="Calibri"/>
                <w:sz w:val="11"/>
                <w:szCs w:val="11"/>
                <w:b w:val="1"/>
                <w:bCs w:val="1"/>
                <w:color w:val="auto"/>
              </w:rPr>
              <w:t xml:space="preserve">Patrimonio Efectvo Nivel 2 </w:t>
            </w:r>
            <w:r>
              <w:rPr>
                <w:rFonts w:ascii="Calibri" w:cs="Calibri" w:eastAsia="Calibri" w:hAnsi="Calibri"/>
                <w:sz w:val="18"/>
                <w:szCs w:val="18"/>
                <w:b w:val="1"/>
                <w:bCs w:val="1"/>
                <w:color w:val="auto"/>
                <w:vertAlign w:val="superscript"/>
              </w:rPr>
              <w:t>(4)</w:t>
            </w:r>
          </w:p>
        </w:tc>
        <w:tc>
          <w:tcPr>
            <w:tcW w:w="80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jc w:val="center"/>
              <w:ind w:right="740"/>
              <w:spacing w:after="0" w:line="145" w:lineRule="exact"/>
              <w:rPr>
                <w:sz w:val="20"/>
                <w:szCs w:val="20"/>
                <w:color w:val="auto"/>
              </w:rPr>
            </w:pPr>
            <w:r>
              <w:rPr>
                <w:rFonts w:ascii="Calibri" w:cs="Calibri" w:eastAsia="Calibri" w:hAnsi="Calibri"/>
                <w:sz w:val="12"/>
                <w:szCs w:val="12"/>
                <w:b w:val="1"/>
                <w:bCs w:val="1"/>
                <w:color w:val="auto"/>
              </w:rPr>
              <w:t>347,965</w:t>
            </w:r>
          </w:p>
        </w:tc>
        <w:tc>
          <w:tcPr>
            <w:tcW w:w="0" w:type="dxa"/>
            <w:vAlign w:val="bottom"/>
          </w:tcPr>
          <w:p>
            <w:pPr>
              <w:spacing w:after="0"/>
              <w:rPr>
                <w:sz w:val="1"/>
                <w:szCs w:val="1"/>
                <w:color w:val="auto"/>
              </w:rPr>
            </w:pPr>
          </w:p>
        </w:tc>
      </w:tr>
      <w:tr>
        <w:trPr>
          <w:trHeight w:val="184"/>
        </w:trPr>
        <w:tc>
          <w:tcPr>
            <w:tcW w:w="56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shd w:val="clear" w:color="auto" w:fill="33CCCC"/>
          </w:tcPr>
          <w:p>
            <w:pPr>
              <w:ind w:left="40"/>
              <w:spacing w:after="0" w:line="145" w:lineRule="exact"/>
              <w:rPr>
                <w:sz w:val="20"/>
                <w:szCs w:val="20"/>
                <w:color w:val="auto"/>
              </w:rPr>
            </w:pPr>
            <w:r>
              <w:rPr>
                <w:rFonts w:ascii="Calibri" w:cs="Calibri" w:eastAsia="Calibri" w:hAnsi="Calibri"/>
                <w:sz w:val="12"/>
                <w:szCs w:val="12"/>
                <w:b w:val="1"/>
                <w:bCs w:val="1"/>
                <w:color w:val="FFFFFF"/>
              </w:rPr>
              <w:t>Actvos ponderados por riesgo</w:t>
            </w:r>
          </w:p>
        </w:tc>
        <w:tc>
          <w:tcPr>
            <w:tcW w:w="800" w:type="dxa"/>
            <w:vAlign w:val="bottom"/>
            <w:shd w:val="clear" w:color="auto" w:fill="33CCCC"/>
          </w:tcPr>
          <w:p>
            <w:pPr>
              <w:spacing w:after="0"/>
              <w:rPr>
                <w:sz w:val="12"/>
                <w:szCs w:val="12"/>
                <w:color w:val="auto"/>
              </w:rPr>
            </w:pPr>
          </w:p>
        </w:tc>
        <w:tc>
          <w:tcPr>
            <w:tcW w:w="1440" w:type="dxa"/>
            <w:vAlign w:val="bottom"/>
            <w:tcBorders>
              <w:right w:val="single" w:sz="8" w:color="auto"/>
            </w:tcBorders>
            <w:vMerge w:val="restart"/>
            <w:shd w:val="clear" w:color="auto" w:fill="33CCCC"/>
          </w:tcPr>
          <w:p>
            <w:pPr>
              <w:jc w:val="center"/>
              <w:ind w:right="760"/>
              <w:spacing w:after="0"/>
              <w:rPr>
                <w:sz w:val="20"/>
                <w:szCs w:val="20"/>
                <w:color w:val="auto"/>
              </w:rPr>
            </w:pPr>
            <w:r>
              <w:rPr>
                <w:rFonts w:ascii="Calibri" w:cs="Calibri" w:eastAsia="Calibri" w:hAnsi="Calibri"/>
                <w:sz w:val="12"/>
                <w:szCs w:val="12"/>
                <w:b w:val="1"/>
                <w:bCs w:val="1"/>
                <w:color w:val="FFFFFF"/>
                <w:w w:val="97"/>
              </w:rPr>
              <w:t>1Q23</w:t>
            </w:r>
          </w:p>
        </w:tc>
        <w:tc>
          <w:tcPr>
            <w:tcW w:w="0" w:type="dxa"/>
            <w:vAlign w:val="bottom"/>
          </w:tcPr>
          <w:p>
            <w:pPr>
              <w:spacing w:after="0"/>
              <w:rPr>
                <w:sz w:val="1"/>
                <w:szCs w:val="1"/>
                <w:color w:val="auto"/>
              </w:rPr>
            </w:pPr>
          </w:p>
        </w:tc>
      </w:tr>
      <w:tr>
        <w:trPr>
          <w:trHeight w:val="78"/>
        </w:trPr>
        <w:tc>
          <w:tcPr>
            <w:tcW w:w="5640" w:type="dxa"/>
            <w:vAlign w:val="bottom"/>
            <w:tcBorders>
              <w:left w:val="single" w:sz="8" w:color="auto"/>
              <w:right w:val="single" w:sz="8" w:color="auto"/>
            </w:tcBorders>
            <w:vMerge w:val="restart"/>
            <w:shd w:val="clear" w:color="auto" w:fill="33CCCC"/>
          </w:tcPr>
          <w:p>
            <w:pPr>
              <w:ind w:left="40"/>
              <w:spacing w:after="0"/>
              <w:rPr>
                <w:sz w:val="20"/>
                <w:szCs w:val="20"/>
                <w:color w:val="auto"/>
              </w:rPr>
            </w:pPr>
            <w:r>
              <w:rPr>
                <w:rFonts w:ascii="Calibri" w:cs="Calibri" w:eastAsia="Calibri" w:hAnsi="Calibri"/>
                <w:sz w:val="12"/>
                <w:szCs w:val="12"/>
                <w:color w:val="FFFFFF"/>
              </w:rPr>
              <w:t>(S/ miles)</w:t>
            </w:r>
          </w:p>
        </w:tc>
        <w:tc>
          <w:tcPr>
            <w:tcW w:w="800" w:type="dxa"/>
            <w:vAlign w:val="bottom"/>
            <w:shd w:val="clear" w:color="auto" w:fill="33CCCC"/>
          </w:tcPr>
          <w:p>
            <w:pPr>
              <w:spacing w:after="0"/>
              <w:rPr>
                <w:sz w:val="6"/>
                <w:szCs w:val="6"/>
                <w:color w:val="auto"/>
              </w:rPr>
            </w:pPr>
          </w:p>
        </w:tc>
        <w:tc>
          <w:tcPr>
            <w:tcW w:w="1440" w:type="dxa"/>
            <w:vAlign w:val="bottom"/>
            <w:tcBorders>
              <w:right w:val="single" w:sz="8" w:color="auto"/>
            </w:tcBorders>
            <w:vMerge w:val="continue"/>
            <w:shd w:val="clear" w:color="auto" w:fill="33CCCC"/>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5640" w:type="dxa"/>
            <w:vAlign w:val="bottom"/>
            <w:tcBorders>
              <w:left w:val="single" w:sz="8" w:color="auto"/>
              <w:bottom w:val="single" w:sz="8" w:color="33CCCC"/>
              <w:right w:val="single" w:sz="8" w:color="auto"/>
            </w:tcBorders>
            <w:vMerge w:val="continue"/>
            <w:shd w:val="clear" w:color="auto" w:fill="33CCCC"/>
          </w:tcPr>
          <w:p>
            <w:pPr>
              <w:spacing w:after="0"/>
              <w:rPr>
                <w:sz w:val="10"/>
                <w:szCs w:val="10"/>
                <w:color w:val="auto"/>
              </w:rPr>
            </w:pPr>
          </w:p>
        </w:tc>
        <w:tc>
          <w:tcPr>
            <w:tcW w:w="800" w:type="dxa"/>
            <w:vAlign w:val="bottom"/>
            <w:tcBorders>
              <w:bottom w:val="single" w:sz="8" w:color="33CCCC"/>
            </w:tcBorders>
            <w:shd w:val="clear" w:color="auto" w:fill="33CCCC"/>
          </w:tcPr>
          <w:p>
            <w:pPr>
              <w:spacing w:after="0"/>
              <w:rPr>
                <w:sz w:val="10"/>
                <w:szCs w:val="10"/>
                <w:color w:val="auto"/>
              </w:rPr>
            </w:pPr>
          </w:p>
        </w:tc>
        <w:tc>
          <w:tcPr>
            <w:tcW w:w="1440" w:type="dxa"/>
            <w:vAlign w:val="bottom"/>
            <w:tcBorders>
              <w:bottom w:val="single" w:sz="8" w:color="33CCCC"/>
              <w:right w:val="single" w:sz="8" w:color="auto"/>
            </w:tcBorders>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640" w:type="dxa"/>
            <w:vAlign w:val="bottom"/>
            <w:tcBorders>
              <w:top w:val="single" w:sz="8" w:color="auto"/>
              <w:left w:val="single" w:sz="8" w:color="auto"/>
              <w:right w:val="single" w:sz="8" w:color="auto"/>
            </w:tcBorders>
          </w:tcPr>
          <w:p>
            <w:pPr>
              <w:ind w:left="40"/>
              <w:spacing w:after="0" w:line="145" w:lineRule="exact"/>
              <w:rPr>
                <w:sz w:val="20"/>
                <w:szCs w:val="20"/>
                <w:color w:val="auto"/>
              </w:rPr>
            </w:pPr>
            <w:r>
              <w:rPr>
                <w:rFonts w:ascii="Calibri" w:cs="Calibri" w:eastAsia="Calibri" w:hAnsi="Calibri"/>
                <w:sz w:val="12"/>
                <w:szCs w:val="12"/>
                <w:color w:val="auto"/>
              </w:rPr>
              <w:t>Actvos ponderados por riesgo de mercado</w:t>
            </w:r>
          </w:p>
        </w:tc>
        <w:tc>
          <w:tcPr>
            <w:tcW w:w="800" w:type="dxa"/>
            <w:vAlign w:val="bottom"/>
            <w:tcBorders>
              <w:top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jc w:val="center"/>
              <w:ind w:right="740"/>
              <w:spacing w:after="0" w:line="145" w:lineRule="exact"/>
              <w:rPr>
                <w:sz w:val="20"/>
                <w:szCs w:val="20"/>
                <w:color w:val="auto"/>
              </w:rPr>
            </w:pPr>
            <w:r>
              <w:rPr>
                <w:rFonts w:ascii="Calibri" w:cs="Calibri" w:eastAsia="Calibri" w:hAnsi="Calibri"/>
                <w:sz w:val="12"/>
                <w:szCs w:val="12"/>
                <w:color w:val="auto"/>
              </w:rPr>
              <w:t>141,441</w:t>
            </w: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Actvos ponderados por riesgo creditcio</w:t>
            </w:r>
          </w:p>
        </w:tc>
        <w:tc>
          <w:tcPr>
            <w:tcW w:w="800" w:type="dxa"/>
            <w:vAlign w:val="bottom"/>
          </w:tcPr>
          <w:p>
            <w:pPr>
              <w:spacing w:after="0"/>
              <w:rPr>
                <w:sz w:val="14"/>
                <w:szCs w:val="14"/>
                <w:color w:val="auto"/>
              </w:rPr>
            </w:pPr>
          </w:p>
        </w:tc>
        <w:tc>
          <w:tcPr>
            <w:tcW w:w="1440" w:type="dxa"/>
            <w:vAlign w:val="bottom"/>
            <w:tcBorders>
              <w:right w:val="single" w:sz="8" w:color="auto"/>
            </w:tcBorders>
          </w:tcPr>
          <w:p>
            <w:pPr>
              <w:jc w:val="center"/>
              <w:ind w:right="760"/>
              <w:spacing w:after="0"/>
              <w:rPr>
                <w:sz w:val="20"/>
                <w:szCs w:val="20"/>
                <w:color w:val="auto"/>
              </w:rPr>
            </w:pPr>
            <w:r>
              <w:rPr>
                <w:rFonts w:ascii="Calibri" w:cs="Calibri" w:eastAsia="Calibri" w:hAnsi="Calibri"/>
                <w:sz w:val="12"/>
                <w:szCs w:val="12"/>
                <w:color w:val="auto"/>
                <w:w w:val="98"/>
              </w:rPr>
              <w:t>13,160,337</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Actvos ponderados por riesgo operacional</w:t>
            </w:r>
          </w:p>
        </w:tc>
        <w:tc>
          <w:tcPr>
            <w:tcW w:w="800" w:type="dxa"/>
            <w:vAlign w:val="bottom"/>
          </w:tcPr>
          <w:p>
            <w:pPr>
              <w:spacing w:after="0"/>
              <w:rPr>
                <w:sz w:val="14"/>
                <w:szCs w:val="14"/>
                <w:color w:val="auto"/>
              </w:rPr>
            </w:pPr>
          </w:p>
        </w:tc>
        <w:tc>
          <w:tcPr>
            <w:tcW w:w="1440" w:type="dxa"/>
            <w:vAlign w:val="bottom"/>
            <w:tcBorders>
              <w:right w:val="single" w:sz="8" w:color="auto"/>
            </w:tcBorders>
          </w:tcPr>
          <w:p>
            <w:pPr>
              <w:jc w:val="center"/>
              <w:ind w:right="760"/>
              <w:spacing w:after="0"/>
              <w:rPr>
                <w:sz w:val="20"/>
                <w:szCs w:val="20"/>
                <w:color w:val="auto"/>
              </w:rPr>
            </w:pPr>
            <w:r>
              <w:rPr>
                <w:rFonts w:ascii="Calibri" w:cs="Calibri" w:eastAsia="Calibri" w:hAnsi="Calibri"/>
                <w:sz w:val="12"/>
                <w:szCs w:val="12"/>
                <w:color w:val="auto"/>
              </w:rPr>
              <w:t>1,427,428</w:t>
            </w:r>
          </w:p>
        </w:tc>
        <w:tc>
          <w:tcPr>
            <w:tcW w:w="0" w:type="dxa"/>
            <w:vAlign w:val="bottom"/>
          </w:tcPr>
          <w:p>
            <w:pPr>
              <w:spacing w:after="0"/>
              <w:rPr>
                <w:sz w:val="1"/>
                <w:szCs w:val="1"/>
                <w:color w:val="auto"/>
              </w:rPr>
            </w:pPr>
          </w:p>
        </w:tc>
      </w:tr>
      <w:tr>
        <w:trPr>
          <w:trHeight w:val="29"/>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tcPr>
          <w:p>
            <w:pPr>
              <w:ind w:left="40"/>
              <w:spacing w:after="0" w:line="145" w:lineRule="exact"/>
              <w:rPr>
                <w:sz w:val="20"/>
                <w:szCs w:val="20"/>
                <w:color w:val="auto"/>
              </w:rPr>
            </w:pPr>
            <w:r>
              <w:rPr>
                <w:rFonts w:ascii="Calibri" w:cs="Calibri" w:eastAsia="Calibri" w:hAnsi="Calibri"/>
                <w:sz w:val="12"/>
                <w:szCs w:val="12"/>
                <w:b w:val="1"/>
                <w:bCs w:val="1"/>
                <w:color w:val="auto"/>
              </w:rPr>
              <w:t>Total</w:t>
            </w:r>
          </w:p>
        </w:tc>
        <w:tc>
          <w:tcPr>
            <w:tcW w:w="800" w:type="dxa"/>
            <w:vAlign w:val="bottom"/>
          </w:tcPr>
          <w:p>
            <w:pPr>
              <w:spacing w:after="0"/>
              <w:rPr>
                <w:sz w:val="12"/>
                <w:szCs w:val="12"/>
                <w:color w:val="auto"/>
              </w:rPr>
            </w:pPr>
          </w:p>
        </w:tc>
        <w:tc>
          <w:tcPr>
            <w:tcW w:w="1440" w:type="dxa"/>
            <w:vAlign w:val="bottom"/>
            <w:tcBorders>
              <w:right w:val="single" w:sz="8" w:color="auto"/>
            </w:tcBorders>
          </w:tcPr>
          <w:p>
            <w:pPr>
              <w:jc w:val="center"/>
              <w:ind w:right="760"/>
              <w:spacing w:after="0" w:line="145" w:lineRule="exact"/>
              <w:rPr>
                <w:sz w:val="20"/>
                <w:szCs w:val="20"/>
                <w:color w:val="auto"/>
              </w:rPr>
            </w:pPr>
            <w:r>
              <w:rPr>
                <w:rFonts w:ascii="Calibri" w:cs="Calibri" w:eastAsia="Calibri" w:hAnsi="Calibri"/>
                <w:sz w:val="12"/>
                <w:szCs w:val="12"/>
                <w:b w:val="1"/>
                <w:bCs w:val="1"/>
                <w:color w:val="auto"/>
                <w:w w:val="98"/>
              </w:rPr>
              <w:t>14,729,206</w:t>
            </w:r>
          </w:p>
        </w:tc>
        <w:tc>
          <w:tcPr>
            <w:tcW w:w="0" w:type="dxa"/>
            <w:vAlign w:val="bottom"/>
          </w:tcPr>
          <w:p>
            <w:pPr>
              <w:spacing w:after="0"/>
              <w:rPr>
                <w:sz w:val="1"/>
                <w:szCs w:val="1"/>
                <w:color w:val="auto"/>
              </w:rPr>
            </w:pPr>
          </w:p>
        </w:tc>
      </w:tr>
      <w:tr>
        <w:trPr>
          <w:trHeight w:val="28"/>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shd w:val="clear" w:color="auto" w:fill="33CCCC"/>
          </w:tcPr>
          <w:p>
            <w:pPr>
              <w:ind w:left="40"/>
              <w:spacing w:after="0" w:line="145" w:lineRule="exact"/>
              <w:rPr>
                <w:sz w:val="20"/>
                <w:szCs w:val="20"/>
                <w:color w:val="auto"/>
              </w:rPr>
            </w:pPr>
            <w:r>
              <w:rPr>
                <w:rFonts w:ascii="Calibri" w:cs="Calibri" w:eastAsia="Calibri" w:hAnsi="Calibri"/>
                <w:sz w:val="12"/>
                <w:szCs w:val="12"/>
                <w:b w:val="1"/>
                <w:bCs w:val="1"/>
                <w:color w:val="FFFFFF"/>
              </w:rPr>
              <w:t>Requerimiento de patrimonio</w:t>
            </w:r>
          </w:p>
        </w:tc>
        <w:tc>
          <w:tcPr>
            <w:tcW w:w="800" w:type="dxa"/>
            <w:vAlign w:val="bottom"/>
            <w:shd w:val="clear" w:color="auto" w:fill="33CCCC"/>
          </w:tcPr>
          <w:p>
            <w:pPr>
              <w:spacing w:after="0"/>
              <w:rPr>
                <w:sz w:val="12"/>
                <w:szCs w:val="12"/>
                <w:color w:val="auto"/>
              </w:rPr>
            </w:pPr>
          </w:p>
        </w:tc>
        <w:tc>
          <w:tcPr>
            <w:tcW w:w="1440" w:type="dxa"/>
            <w:vAlign w:val="bottom"/>
            <w:tcBorders>
              <w:right w:val="single" w:sz="8" w:color="auto"/>
            </w:tcBorders>
            <w:vMerge w:val="restart"/>
            <w:shd w:val="clear" w:color="auto" w:fill="33CCCC"/>
          </w:tcPr>
          <w:p>
            <w:pPr>
              <w:jc w:val="center"/>
              <w:ind w:right="760"/>
              <w:spacing w:after="0"/>
              <w:rPr>
                <w:sz w:val="20"/>
                <w:szCs w:val="20"/>
                <w:color w:val="auto"/>
              </w:rPr>
            </w:pPr>
            <w:r>
              <w:rPr>
                <w:rFonts w:ascii="Calibri" w:cs="Calibri" w:eastAsia="Calibri" w:hAnsi="Calibri"/>
                <w:sz w:val="12"/>
                <w:szCs w:val="12"/>
                <w:b w:val="1"/>
                <w:bCs w:val="1"/>
                <w:color w:val="FFFFFF"/>
                <w:w w:val="97"/>
              </w:rPr>
              <w:t>1Q23</w:t>
            </w:r>
          </w:p>
        </w:tc>
        <w:tc>
          <w:tcPr>
            <w:tcW w:w="0" w:type="dxa"/>
            <w:vAlign w:val="bottom"/>
          </w:tcPr>
          <w:p>
            <w:pPr>
              <w:spacing w:after="0"/>
              <w:rPr>
                <w:sz w:val="1"/>
                <w:szCs w:val="1"/>
                <w:color w:val="auto"/>
              </w:rPr>
            </w:pPr>
          </w:p>
        </w:tc>
      </w:tr>
      <w:tr>
        <w:trPr>
          <w:trHeight w:val="78"/>
        </w:trPr>
        <w:tc>
          <w:tcPr>
            <w:tcW w:w="5640" w:type="dxa"/>
            <w:vAlign w:val="bottom"/>
            <w:tcBorders>
              <w:left w:val="single" w:sz="8" w:color="auto"/>
              <w:right w:val="single" w:sz="8" w:color="auto"/>
            </w:tcBorders>
            <w:vMerge w:val="restart"/>
            <w:shd w:val="clear" w:color="auto" w:fill="33CCCC"/>
          </w:tcPr>
          <w:p>
            <w:pPr>
              <w:ind w:left="40"/>
              <w:spacing w:after="0"/>
              <w:rPr>
                <w:sz w:val="20"/>
                <w:szCs w:val="20"/>
                <w:color w:val="auto"/>
              </w:rPr>
            </w:pPr>
            <w:r>
              <w:rPr>
                <w:rFonts w:ascii="Calibri" w:cs="Calibri" w:eastAsia="Calibri" w:hAnsi="Calibri"/>
                <w:sz w:val="12"/>
                <w:szCs w:val="12"/>
                <w:color w:val="FFFFFF"/>
              </w:rPr>
              <w:t>(S/ miles)</w:t>
            </w:r>
          </w:p>
        </w:tc>
        <w:tc>
          <w:tcPr>
            <w:tcW w:w="800" w:type="dxa"/>
            <w:vAlign w:val="bottom"/>
            <w:shd w:val="clear" w:color="auto" w:fill="33CCCC"/>
          </w:tcPr>
          <w:p>
            <w:pPr>
              <w:spacing w:after="0"/>
              <w:rPr>
                <w:sz w:val="6"/>
                <w:szCs w:val="6"/>
                <w:color w:val="auto"/>
              </w:rPr>
            </w:pPr>
          </w:p>
        </w:tc>
        <w:tc>
          <w:tcPr>
            <w:tcW w:w="1440" w:type="dxa"/>
            <w:vAlign w:val="bottom"/>
            <w:tcBorders>
              <w:right w:val="single" w:sz="8" w:color="auto"/>
            </w:tcBorders>
            <w:vMerge w:val="continue"/>
            <w:shd w:val="clear" w:color="auto" w:fill="33CCCC"/>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5640" w:type="dxa"/>
            <w:vAlign w:val="bottom"/>
            <w:tcBorders>
              <w:left w:val="single" w:sz="8" w:color="auto"/>
              <w:bottom w:val="single" w:sz="8" w:color="33CCCC"/>
              <w:right w:val="single" w:sz="8" w:color="auto"/>
            </w:tcBorders>
            <w:vMerge w:val="continue"/>
            <w:shd w:val="clear" w:color="auto" w:fill="33CCCC"/>
          </w:tcPr>
          <w:p>
            <w:pPr>
              <w:spacing w:after="0"/>
              <w:rPr>
                <w:sz w:val="10"/>
                <w:szCs w:val="10"/>
                <w:color w:val="auto"/>
              </w:rPr>
            </w:pPr>
          </w:p>
        </w:tc>
        <w:tc>
          <w:tcPr>
            <w:tcW w:w="800" w:type="dxa"/>
            <w:vAlign w:val="bottom"/>
            <w:tcBorders>
              <w:bottom w:val="single" w:sz="8" w:color="33CCCC"/>
            </w:tcBorders>
            <w:shd w:val="clear" w:color="auto" w:fill="33CCCC"/>
          </w:tcPr>
          <w:p>
            <w:pPr>
              <w:spacing w:after="0"/>
              <w:rPr>
                <w:sz w:val="10"/>
                <w:szCs w:val="10"/>
                <w:color w:val="auto"/>
              </w:rPr>
            </w:pPr>
          </w:p>
        </w:tc>
        <w:tc>
          <w:tcPr>
            <w:tcW w:w="1440" w:type="dxa"/>
            <w:vAlign w:val="bottom"/>
            <w:tcBorders>
              <w:bottom w:val="single" w:sz="8" w:color="33CCCC"/>
              <w:right w:val="single" w:sz="8" w:color="auto"/>
            </w:tcBorders>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640" w:type="dxa"/>
            <w:vAlign w:val="bottom"/>
            <w:tcBorders>
              <w:top w:val="single" w:sz="8" w:color="auto"/>
              <w:left w:val="single" w:sz="8" w:color="auto"/>
              <w:right w:val="single" w:sz="8" w:color="auto"/>
            </w:tcBorders>
          </w:tcPr>
          <w:p>
            <w:pPr>
              <w:ind w:left="40"/>
              <w:spacing w:after="0" w:line="145" w:lineRule="exact"/>
              <w:rPr>
                <w:sz w:val="20"/>
                <w:szCs w:val="20"/>
                <w:color w:val="auto"/>
              </w:rPr>
            </w:pPr>
            <w:r>
              <w:rPr>
                <w:rFonts w:ascii="Calibri" w:cs="Calibri" w:eastAsia="Calibri" w:hAnsi="Calibri"/>
                <w:sz w:val="12"/>
                <w:szCs w:val="12"/>
                <w:color w:val="auto"/>
              </w:rPr>
              <w:t>Requerimiento de patrimonio por riesgo de mercado</w:t>
            </w:r>
          </w:p>
        </w:tc>
        <w:tc>
          <w:tcPr>
            <w:tcW w:w="800" w:type="dxa"/>
            <w:vAlign w:val="bottom"/>
            <w:tcBorders>
              <w:top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jc w:val="center"/>
              <w:ind w:right="760"/>
              <w:spacing w:after="0" w:line="145" w:lineRule="exact"/>
              <w:rPr>
                <w:sz w:val="20"/>
                <w:szCs w:val="20"/>
                <w:color w:val="auto"/>
              </w:rPr>
            </w:pPr>
            <w:r>
              <w:rPr>
                <w:rFonts w:ascii="Calibri" w:cs="Calibri" w:eastAsia="Calibri" w:hAnsi="Calibri"/>
                <w:sz w:val="12"/>
                <w:szCs w:val="12"/>
                <w:color w:val="auto"/>
              </w:rPr>
              <w:t>14,144</w:t>
            </w: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Requerimiento de patrimonio por riesgo creditcio</w:t>
            </w:r>
          </w:p>
        </w:tc>
        <w:tc>
          <w:tcPr>
            <w:tcW w:w="800" w:type="dxa"/>
            <w:vAlign w:val="bottom"/>
          </w:tcPr>
          <w:p>
            <w:pPr>
              <w:spacing w:after="0"/>
              <w:rPr>
                <w:sz w:val="14"/>
                <w:szCs w:val="14"/>
                <w:color w:val="auto"/>
              </w:rPr>
            </w:pPr>
          </w:p>
        </w:tc>
        <w:tc>
          <w:tcPr>
            <w:tcW w:w="1440" w:type="dxa"/>
            <w:vAlign w:val="bottom"/>
            <w:tcBorders>
              <w:right w:val="single" w:sz="8" w:color="auto"/>
            </w:tcBorders>
          </w:tcPr>
          <w:p>
            <w:pPr>
              <w:jc w:val="center"/>
              <w:ind w:right="760"/>
              <w:spacing w:after="0"/>
              <w:rPr>
                <w:sz w:val="20"/>
                <w:szCs w:val="20"/>
                <w:color w:val="auto"/>
              </w:rPr>
            </w:pPr>
            <w:r>
              <w:rPr>
                <w:rFonts w:ascii="Calibri" w:cs="Calibri" w:eastAsia="Calibri" w:hAnsi="Calibri"/>
                <w:sz w:val="12"/>
                <w:szCs w:val="12"/>
                <w:color w:val="auto"/>
              </w:rPr>
              <w:t>1,118,629</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Requerimiento de patrimonio por riesgo operacional</w:t>
            </w:r>
          </w:p>
        </w:tc>
        <w:tc>
          <w:tcPr>
            <w:tcW w:w="800" w:type="dxa"/>
            <w:vAlign w:val="bottom"/>
          </w:tcPr>
          <w:p>
            <w:pPr>
              <w:spacing w:after="0"/>
              <w:rPr>
                <w:sz w:val="14"/>
                <w:szCs w:val="14"/>
                <w:color w:val="auto"/>
              </w:rPr>
            </w:pPr>
          </w:p>
        </w:tc>
        <w:tc>
          <w:tcPr>
            <w:tcW w:w="1440" w:type="dxa"/>
            <w:vAlign w:val="bottom"/>
            <w:tcBorders>
              <w:right w:val="single" w:sz="8" w:color="auto"/>
            </w:tcBorders>
          </w:tcPr>
          <w:p>
            <w:pPr>
              <w:jc w:val="center"/>
              <w:ind w:right="740"/>
              <w:spacing w:after="0"/>
              <w:rPr>
                <w:sz w:val="20"/>
                <w:szCs w:val="20"/>
                <w:color w:val="auto"/>
              </w:rPr>
            </w:pPr>
            <w:r>
              <w:rPr>
                <w:rFonts w:ascii="Calibri" w:cs="Calibri" w:eastAsia="Calibri" w:hAnsi="Calibri"/>
                <w:sz w:val="12"/>
                <w:szCs w:val="12"/>
                <w:color w:val="auto"/>
              </w:rPr>
              <w:t>142,743</w:t>
            </w:r>
          </w:p>
        </w:tc>
        <w:tc>
          <w:tcPr>
            <w:tcW w:w="0" w:type="dxa"/>
            <w:vAlign w:val="bottom"/>
          </w:tcPr>
          <w:p>
            <w:pPr>
              <w:spacing w:after="0"/>
              <w:rPr>
                <w:sz w:val="1"/>
                <w:szCs w:val="1"/>
                <w:color w:val="auto"/>
              </w:rPr>
            </w:pPr>
          </w:p>
        </w:tc>
      </w:tr>
      <w:tr>
        <w:trPr>
          <w:trHeight w:val="170"/>
        </w:trPr>
        <w:tc>
          <w:tcPr>
            <w:tcW w:w="564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2"/>
                <w:szCs w:val="12"/>
                <w:color w:val="auto"/>
              </w:rPr>
              <w:t>Requerimientos adicionales de capital</w:t>
            </w:r>
          </w:p>
        </w:tc>
        <w:tc>
          <w:tcPr>
            <w:tcW w:w="800" w:type="dxa"/>
            <w:vAlign w:val="bottom"/>
          </w:tcPr>
          <w:p>
            <w:pPr>
              <w:spacing w:after="0"/>
              <w:rPr>
                <w:sz w:val="14"/>
                <w:szCs w:val="14"/>
                <w:color w:val="auto"/>
              </w:rPr>
            </w:pPr>
          </w:p>
        </w:tc>
        <w:tc>
          <w:tcPr>
            <w:tcW w:w="1440" w:type="dxa"/>
            <w:vAlign w:val="bottom"/>
            <w:tcBorders>
              <w:right w:val="single" w:sz="8" w:color="auto"/>
            </w:tcBorders>
          </w:tcPr>
          <w:p>
            <w:pPr>
              <w:jc w:val="center"/>
              <w:ind w:right="740"/>
              <w:spacing w:after="0"/>
              <w:rPr>
                <w:sz w:val="20"/>
                <w:szCs w:val="20"/>
                <w:color w:val="auto"/>
              </w:rPr>
            </w:pPr>
            <w:r>
              <w:rPr>
                <w:rFonts w:ascii="Calibri" w:cs="Calibri" w:eastAsia="Calibri" w:hAnsi="Calibri"/>
                <w:sz w:val="12"/>
                <w:szCs w:val="12"/>
                <w:color w:val="auto"/>
              </w:rPr>
              <w:t>398,603</w:t>
            </w:r>
          </w:p>
        </w:tc>
        <w:tc>
          <w:tcPr>
            <w:tcW w:w="0" w:type="dxa"/>
            <w:vAlign w:val="bottom"/>
          </w:tcPr>
          <w:p>
            <w:pPr>
              <w:spacing w:after="0"/>
              <w:rPr>
                <w:sz w:val="1"/>
                <w:szCs w:val="1"/>
                <w:color w:val="auto"/>
              </w:rPr>
            </w:pPr>
          </w:p>
        </w:tc>
      </w:tr>
      <w:tr>
        <w:trPr>
          <w:trHeight w:val="29"/>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tcPr>
          <w:p>
            <w:pPr>
              <w:ind w:left="40"/>
              <w:spacing w:after="0" w:line="145" w:lineRule="exact"/>
              <w:rPr>
                <w:sz w:val="20"/>
                <w:szCs w:val="20"/>
                <w:color w:val="auto"/>
              </w:rPr>
            </w:pPr>
            <w:r>
              <w:rPr>
                <w:rFonts w:ascii="Calibri" w:cs="Calibri" w:eastAsia="Calibri" w:hAnsi="Calibri"/>
                <w:sz w:val="12"/>
                <w:szCs w:val="12"/>
                <w:b w:val="1"/>
                <w:bCs w:val="1"/>
                <w:color w:val="auto"/>
              </w:rPr>
              <w:t>Total</w:t>
            </w:r>
          </w:p>
        </w:tc>
        <w:tc>
          <w:tcPr>
            <w:tcW w:w="800" w:type="dxa"/>
            <w:vAlign w:val="bottom"/>
          </w:tcPr>
          <w:p>
            <w:pPr>
              <w:spacing w:after="0"/>
              <w:rPr>
                <w:sz w:val="12"/>
                <w:szCs w:val="12"/>
                <w:color w:val="auto"/>
              </w:rPr>
            </w:pPr>
          </w:p>
        </w:tc>
        <w:tc>
          <w:tcPr>
            <w:tcW w:w="1440" w:type="dxa"/>
            <w:vAlign w:val="bottom"/>
            <w:tcBorders>
              <w:right w:val="single" w:sz="8" w:color="auto"/>
            </w:tcBorders>
          </w:tcPr>
          <w:p>
            <w:pPr>
              <w:jc w:val="center"/>
              <w:ind w:right="760"/>
              <w:spacing w:after="0" w:line="145" w:lineRule="exact"/>
              <w:rPr>
                <w:sz w:val="20"/>
                <w:szCs w:val="20"/>
                <w:color w:val="auto"/>
              </w:rPr>
            </w:pPr>
            <w:r>
              <w:rPr>
                <w:rFonts w:ascii="Calibri" w:cs="Calibri" w:eastAsia="Calibri" w:hAnsi="Calibri"/>
                <w:sz w:val="12"/>
                <w:szCs w:val="12"/>
                <w:b w:val="1"/>
                <w:bCs w:val="1"/>
                <w:color w:val="auto"/>
              </w:rPr>
              <w:t>1,674,118</w:t>
            </w:r>
          </w:p>
        </w:tc>
        <w:tc>
          <w:tcPr>
            <w:tcW w:w="0" w:type="dxa"/>
            <w:vAlign w:val="bottom"/>
          </w:tcPr>
          <w:p>
            <w:pPr>
              <w:spacing w:after="0"/>
              <w:rPr>
                <w:sz w:val="1"/>
                <w:szCs w:val="1"/>
                <w:color w:val="auto"/>
              </w:rPr>
            </w:pPr>
          </w:p>
        </w:tc>
      </w:tr>
      <w:tr>
        <w:trPr>
          <w:trHeight w:val="28"/>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60" w:hanging="125"/>
        <w:spacing w:after="0"/>
        <w:tabs>
          <w:tab w:leader="none" w:pos="660" w:val="left"/>
        </w:tabs>
        <w:numPr>
          <w:ilvl w:val="0"/>
          <w:numId w:val="64"/>
        </w:numPr>
        <w:rPr>
          <w:rFonts w:ascii="Calibri" w:cs="Calibri" w:eastAsia="Calibri" w:hAnsi="Calibri"/>
          <w:sz w:val="10"/>
          <w:szCs w:val="10"/>
          <w:color w:val="auto"/>
        </w:rPr>
      </w:pPr>
      <w:r>
        <w:rPr>
          <w:rFonts w:ascii="Calibri" w:cs="Calibri" w:eastAsia="Calibri" w:hAnsi="Calibri"/>
          <w:sz w:val="10"/>
          <w:szCs w:val="10"/>
          <w:color w:val="auto"/>
        </w:rPr>
        <w:t>(1) Up to 1.25% of total risk-weighted assets.</w:t>
      </w:r>
    </w:p>
    <w:p>
      <w:pPr>
        <w:ind w:left="660" w:hanging="125"/>
        <w:spacing w:after="0" w:line="223" w:lineRule="auto"/>
        <w:tabs>
          <w:tab w:leader="none" w:pos="660" w:val="left"/>
        </w:tabs>
        <w:numPr>
          <w:ilvl w:val="0"/>
          <w:numId w:val="64"/>
        </w:numPr>
        <w:rPr>
          <w:rFonts w:ascii="Calibri" w:cs="Calibri" w:eastAsia="Calibri" w:hAnsi="Calibri"/>
          <w:sz w:val="10"/>
          <w:szCs w:val="10"/>
          <w:color w:val="auto"/>
        </w:rPr>
      </w:pPr>
      <w:r>
        <w:rPr>
          <w:rFonts w:ascii="Calibri" w:cs="Calibri" w:eastAsia="Calibri" w:hAnsi="Calibri"/>
          <w:sz w:val="10"/>
          <w:szCs w:val="10"/>
          <w:color w:val="auto"/>
        </w:rPr>
        <w:t>Common Equity Tier 1 = Capital Stock + Reserves + Accumulated earnings – Unrealized profts or losses - 100% deductons (investment in subsidiaries, goodwill, intangible assets and deferred tax assets based on future returns).</w:t>
      </w:r>
    </w:p>
    <w:p>
      <w:pPr>
        <w:ind w:left="660" w:hanging="125"/>
        <w:spacing w:after="0" w:line="223" w:lineRule="auto"/>
        <w:tabs>
          <w:tab w:leader="none" w:pos="660" w:val="left"/>
        </w:tabs>
        <w:numPr>
          <w:ilvl w:val="0"/>
          <w:numId w:val="64"/>
        </w:numPr>
        <w:rPr>
          <w:rFonts w:ascii="Calibri" w:cs="Calibri" w:eastAsia="Calibri" w:hAnsi="Calibri"/>
          <w:sz w:val="10"/>
          <w:szCs w:val="10"/>
          <w:color w:val="auto"/>
        </w:rPr>
      </w:pPr>
      <w:r>
        <w:rPr>
          <w:rFonts w:ascii="Calibri" w:cs="Calibri" w:eastAsia="Calibri" w:hAnsi="Calibri"/>
          <w:sz w:val="10"/>
          <w:szCs w:val="10"/>
          <w:color w:val="auto"/>
        </w:rPr>
        <w:t>Regulatory Tier 1 Capital = Common Equity Tier 1 + Tier 1 Subordinated Debt (Perpetual).</w:t>
      </w:r>
    </w:p>
    <w:p>
      <w:pPr>
        <w:ind w:left="660" w:hanging="125"/>
        <w:spacing w:after="0" w:line="223" w:lineRule="auto"/>
        <w:tabs>
          <w:tab w:leader="none" w:pos="660" w:val="left"/>
        </w:tabs>
        <w:numPr>
          <w:ilvl w:val="0"/>
          <w:numId w:val="64"/>
        </w:numPr>
        <w:rPr>
          <w:rFonts w:ascii="Calibri" w:cs="Calibri" w:eastAsia="Calibri" w:hAnsi="Calibri"/>
          <w:sz w:val="10"/>
          <w:szCs w:val="10"/>
          <w:color w:val="auto"/>
        </w:rPr>
      </w:pPr>
      <w:r>
        <w:rPr>
          <w:rFonts w:ascii="Calibri" w:cs="Calibri" w:eastAsia="Calibri" w:hAnsi="Calibri"/>
          <w:sz w:val="10"/>
          <w:szCs w:val="10"/>
          <w:color w:val="auto"/>
        </w:rPr>
        <w:t>Regulatory Tier 2 Capital = Subordinated Debt + Loan loss reserves.</w:t>
      </w:r>
    </w:p>
    <w:p>
      <w:pPr>
        <w:spacing w:after="0" w:line="200" w:lineRule="exact"/>
        <w:rPr>
          <w:sz w:val="20"/>
          <w:szCs w:val="20"/>
          <w:color w:val="auto"/>
        </w:rPr>
      </w:pPr>
    </w:p>
    <w:p>
      <w:pPr>
        <w:spacing w:after="0" w:line="206" w:lineRule="exact"/>
        <w:rPr>
          <w:sz w:val="20"/>
          <w:szCs w:val="20"/>
          <w:color w:val="auto"/>
        </w:rPr>
      </w:pPr>
    </w:p>
    <w:p>
      <w:pPr>
        <w:ind w:left="1700"/>
        <w:spacing w:after="0"/>
        <w:rPr>
          <w:sz w:val="20"/>
          <w:szCs w:val="20"/>
          <w:color w:val="auto"/>
        </w:rPr>
      </w:pPr>
      <w:r>
        <w:rPr>
          <w:rFonts w:ascii="Calibri" w:cs="Calibri" w:eastAsia="Calibri" w:hAnsi="Calibri"/>
          <w:sz w:val="14"/>
          <w:szCs w:val="14"/>
          <w:b w:val="1"/>
          <w:bCs w:val="1"/>
          <w:color w:val="auto"/>
        </w:rPr>
        <w:t>Ratos de Capital</w:t>
      </w:r>
    </w:p>
    <w:p>
      <w:pPr>
        <w:spacing w:after="0" w:line="14" w:lineRule="exact"/>
        <w:rPr>
          <w:sz w:val="20"/>
          <w:szCs w:val="20"/>
          <w:color w:val="auto"/>
        </w:rPr>
      </w:pPr>
    </w:p>
    <w:tbl>
      <w:tblPr>
        <w:tblLayout w:type="fixed"/>
        <w:tblInd w:w="1670" w:type="dxa"/>
        <w:tblCellMar>
          <w:top w:w="0" w:type="dxa"/>
          <w:left w:w="0" w:type="dxa"/>
          <w:bottom w:w="0" w:type="dxa"/>
          <w:right w:w="0" w:type="dxa"/>
        </w:tblCellMar>
      </w:tblPr>
      <w:tr>
        <w:trPr>
          <w:trHeight w:val="167"/>
        </w:trPr>
        <w:tc>
          <w:tcPr>
            <w:tcW w:w="4140" w:type="dxa"/>
            <w:vAlign w:val="bottom"/>
            <w:tcBorders>
              <w:top w:val="single" w:sz="8" w:color="auto"/>
              <w:left w:val="single" w:sz="8" w:color="auto"/>
            </w:tcBorders>
          </w:tcPr>
          <w:p>
            <w:pPr>
              <w:ind w:left="40"/>
              <w:spacing w:after="0"/>
              <w:rPr>
                <w:sz w:val="20"/>
                <w:szCs w:val="20"/>
                <w:color w:val="auto"/>
              </w:rPr>
            </w:pPr>
            <w:r>
              <w:rPr>
                <w:rFonts w:ascii="Calibri" w:cs="Calibri" w:eastAsia="Calibri" w:hAnsi="Calibri"/>
                <w:sz w:val="12"/>
                <w:szCs w:val="12"/>
                <w:b w:val="1"/>
                <w:bCs w:val="1"/>
                <w:color w:val="auto"/>
              </w:rPr>
              <w:t>Rato Capital Ordinario Nivel 1</w:t>
            </w:r>
          </w:p>
        </w:tc>
        <w:tc>
          <w:tcPr>
            <w:tcW w:w="3780" w:type="dxa"/>
            <w:vAlign w:val="bottom"/>
            <w:tcBorders>
              <w:top w:val="single" w:sz="8" w:color="auto"/>
              <w:right w:val="single" w:sz="8" w:color="auto"/>
            </w:tcBorders>
          </w:tcPr>
          <w:p>
            <w:pPr>
              <w:jc w:val="right"/>
              <w:ind w:right="900"/>
              <w:spacing w:after="0"/>
              <w:rPr>
                <w:sz w:val="20"/>
                <w:szCs w:val="20"/>
                <w:color w:val="auto"/>
              </w:rPr>
            </w:pPr>
            <w:r>
              <w:rPr>
                <w:rFonts w:ascii="Calibri" w:cs="Calibri" w:eastAsia="Calibri" w:hAnsi="Calibri"/>
                <w:sz w:val="12"/>
                <w:szCs w:val="12"/>
                <w:color w:val="auto"/>
              </w:rPr>
              <w:t>16.40%</w:t>
            </w:r>
          </w:p>
        </w:tc>
      </w:tr>
      <w:tr>
        <w:trPr>
          <w:trHeight w:val="169"/>
        </w:trPr>
        <w:tc>
          <w:tcPr>
            <w:tcW w:w="4140" w:type="dxa"/>
            <w:vAlign w:val="bottom"/>
            <w:tcBorders>
              <w:left w:val="single" w:sz="8" w:color="auto"/>
            </w:tcBorders>
          </w:tcPr>
          <w:p>
            <w:pPr>
              <w:ind w:left="40"/>
              <w:spacing w:after="0"/>
              <w:rPr>
                <w:sz w:val="20"/>
                <w:szCs w:val="20"/>
                <w:color w:val="auto"/>
              </w:rPr>
            </w:pPr>
            <w:r>
              <w:rPr>
                <w:rFonts w:ascii="Calibri" w:cs="Calibri" w:eastAsia="Calibri" w:hAnsi="Calibri"/>
                <w:sz w:val="12"/>
                <w:szCs w:val="12"/>
                <w:b w:val="1"/>
                <w:bCs w:val="1"/>
                <w:color w:val="auto"/>
              </w:rPr>
              <w:t>Rato Patrimonio Efectvo Nivel 1</w:t>
            </w:r>
          </w:p>
        </w:tc>
        <w:tc>
          <w:tcPr>
            <w:tcW w:w="3780" w:type="dxa"/>
            <w:vAlign w:val="bottom"/>
            <w:tcBorders>
              <w:right w:val="single" w:sz="8" w:color="auto"/>
            </w:tcBorders>
          </w:tcPr>
          <w:p>
            <w:pPr>
              <w:jc w:val="right"/>
              <w:ind w:right="900"/>
              <w:spacing w:after="0"/>
              <w:rPr>
                <w:sz w:val="20"/>
                <w:szCs w:val="20"/>
                <w:color w:val="auto"/>
              </w:rPr>
            </w:pPr>
            <w:r>
              <w:rPr>
                <w:rFonts w:ascii="Calibri" w:cs="Calibri" w:eastAsia="Calibri" w:hAnsi="Calibri"/>
                <w:sz w:val="12"/>
                <w:szCs w:val="12"/>
                <w:color w:val="auto"/>
              </w:rPr>
              <w:t>16.40%</w:t>
            </w:r>
          </w:p>
        </w:tc>
      </w:tr>
      <w:tr>
        <w:trPr>
          <w:trHeight w:val="170"/>
        </w:trPr>
        <w:tc>
          <w:tcPr>
            <w:tcW w:w="4140" w:type="dxa"/>
            <w:vAlign w:val="bottom"/>
            <w:tcBorders>
              <w:left w:val="single" w:sz="8" w:color="auto"/>
            </w:tcBorders>
          </w:tcPr>
          <w:p>
            <w:pPr>
              <w:ind w:left="40"/>
              <w:spacing w:after="0"/>
              <w:rPr>
                <w:sz w:val="20"/>
                <w:szCs w:val="20"/>
                <w:color w:val="auto"/>
              </w:rPr>
            </w:pPr>
            <w:r>
              <w:rPr>
                <w:rFonts w:ascii="Calibri" w:cs="Calibri" w:eastAsia="Calibri" w:hAnsi="Calibri"/>
                <w:sz w:val="12"/>
                <w:szCs w:val="12"/>
                <w:b w:val="1"/>
                <w:bCs w:val="1"/>
                <w:color w:val="auto"/>
              </w:rPr>
              <w:t>Rato Patrimonio Efectvo Total</w:t>
            </w:r>
          </w:p>
        </w:tc>
        <w:tc>
          <w:tcPr>
            <w:tcW w:w="3780" w:type="dxa"/>
            <w:vAlign w:val="bottom"/>
            <w:tcBorders>
              <w:right w:val="single" w:sz="8" w:color="auto"/>
            </w:tcBorders>
          </w:tcPr>
          <w:p>
            <w:pPr>
              <w:jc w:val="right"/>
              <w:ind w:right="900"/>
              <w:spacing w:after="0"/>
              <w:rPr>
                <w:sz w:val="20"/>
                <w:szCs w:val="20"/>
                <w:color w:val="auto"/>
              </w:rPr>
            </w:pPr>
            <w:r>
              <w:rPr>
                <w:rFonts w:ascii="Calibri" w:cs="Calibri" w:eastAsia="Calibri" w:hAnsi="Calibri"/>
                <w:sz w:val="12"/>
                <w:szCs w:val="12"/>
                <w:color w:val="auto"/>
              </w:rPr>
              <w:t>18.76%</w:t>
            </w:r>
          </w:p>
        </w:tc>
      </w:tr>
      <w:tr>
        <w:trPr>
          <w:trHeight w:val="170"/>
        </w:trPr>
        <w:tc>
          <w:tcPr>
            <w:tcW w:w="4140" w:type="dxa"/>
            <w:vAlign w:val="bottom"/>
            <w:tcBorders>
              <w:left w:val="single" w:sz="8" w:color="auto"/>
            </w:tcBorders>
          </w:tcPr>
          <w:p>
            <w:pPr>
              <w:ind w:left="40"/>
              <w:spacing w:after="0"/>
              <w:rPr>
                <w:sz w:val="20"/>
                <w:szCs w:val="20"/>
                <w:color w:val="auto"/>
              </w:rPr>
            </w:pPr>
            <w:r>
              <w:rPr>
                <w:rFonts w:ascii="Calibri" w:cs="Calibri" w:eastAsia="Calibri" w:hAnsi="Calibri"/>
                <w:sz w:val="12"/>
                <w:szCs w:val="12"/>
                <w:b w:val="1"/>
                <w:bCs w:val="1"/>
                <w:color w:val="auto"/>
              </w:rPr>
              <w:t>Rato CET1 NIIF</w:t>
            </w:r>
          </w:p>
        </w:tc>
        <w:tc>
          <w:tcPr>
            <w:tcW w:w="3780" w:type="dxa"/>
            <w:vAlign w:val="bottom"/>
            <w:tcBorders>
              <w:right w:val="single" w:sz="8" w:color="auto"/>
            </w:tcBorders>
          </w:tcPr>
          <w:p>
            <w:pPr>
              <w:jc w:val="right"/>
              <w:ind w:right="900"/>
              <w:spacing w:after="0"/>
              <w:rPr>
                <w:sz w:val="20"/>
                <w:szCs w:val="20"/>
                <w:color w:val="auto"/>
              </w:rPr>
            </w:pPr>
            <w:r>
              <w:rPr>
                <w:rFonts w:ascii="Calibri" w:cs="Calibri" w:eastAsia="Calibri" w:hAnsi="Calibri"/>
                <w:sz w:val="12"/>
                <w:szCs w:val="12"/>
                <w:color w:val="auto"/>
              </w:rPr>
              <w:t>16.38%</w:t>
            </w:r>
          </w:p>
        </w:tc>
      </w:tr>
      <w:tr>
        <w:trPr>
          <w:trHeight w:val="29"/>
        </w:trPr>
        <w:tc>
          <w:tcPr>
            <w:tcW w:w="4140" w:type="dxa"/>
            <w:vAlign w:val="bottom"/>
            <w:tcBorders>
              <w:left w:val="single" w:sz="8" w:color="auto"/>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bl>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5" w:right="319" w:bottom="1440" w:gutter="0" w:footer="0" w:header="0"/>
        </w:sectPr>
      </w:pPr>
    </w:p>
    <w:bookmarkStart w:id="67" w:name="page68"/>
    <w:bookmarkEnd w:id="6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3910" cy="410845"/>
                    </a:xfrm>
                    <a:prstGeom prst="rect">
                      <a:avLst/>
                    </a:prstGeom>
                    <a:noFill/>
                  </pic:spPr>
                </pic:pic>
              </a:graphicData>
            </a:graphic>
          </wp:anchor>
        </w:drawing>
      </w:r>
    </w:p>
    <w:p>
      <w:pPr>
        <w:ind w:left="2720"/>
        <w:spacing w:after="0"/>
        <w:tabs>
          <w:tab w:leader="none" w:pos="2920" w:val="left"/>
          <w:tab w:leader="none" w:pos="8580" w:val="left"/>
        </w:tabs>
        <w:rPr>
          <w:sz w:val="20"/>
          <w:szCs w:val="20"/>
          <w:color w:val="auto"/>
        </w:rPr>
      </w:pPr>
      <w:r>
        <w:rPr>
          <w:rFonts w:ascii="Arial" w:cs="Arial" w:eastAsia="Arial" w:hAnsi="Arial"/>
          <w:sz w:val="14"/>
          <w:szCs w:val="14"/>
          <w:color w:val="A6A6A6"/>
        </w:rPr>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3910" cy="2305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FFFFFF"/>
        </w:rPr>
        <w:t>12. Appendix</w:t>
      </w:r>
    </w:p>
    <w:p>
      <w:pPr>
        <w:spacing w:after="0" w:line="242"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auto"/>
        </w:rPr>
        <w:t>12.</w:t>
      </w:r>
      <w:r>
        <w:rPr>
          <w:rFonts w:ascii="Calibri" w:cs="Calibri" w:eastAsia="Calibri" w:hAnsi="Calibri"/>
          <w:sz w:val="15"/>
          <w:szCs w:val="15"/>
          <w:b w:val="1"/>
          <w:bCs w:val="1"/>
          <w:color w:val="auto"/>
        </w:rPr>
        <w:t>6. Financial Statements and Ratos by Business</w:t>
      </w:r>
    </w:p>
    <w:p>
      <w:pPr>
        <w:spacing w:after="0" w:line="19"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auto"/>
        </w:rPr>
        <w:t>12.</w:t>
      </w:r>
      <w:r>
        <w:rPr>
          <w:rFonts w:ascii="Calibri" w:cs="Calibri" w:eastAsia="Calibri" w:hAnsi="Calibri"/>
          <w:sz w:val="15"/>
          <w:szCs w:val="15"/>
          <w:b w:val="1"/>
          <w:bCs w:val="1"/>
          <w:color w:val="auto"/>
        </w:rPr>
        <w:t>6.1. Credicorp Consolidated</w:t>
      </w:r>
    </w:p>
    <w:p>
      <w:pPr>
        <w:spacing w:after="0" w:line="210"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CREDICORP LTD. AND SUBSIDIARIES</w:t>
      </w:r>
    </w:p>
    <w:p>
      <w:pPr>
        <w:jc w:val="center"/>
        <w:ind w:right="-19"/>
        <w:spacing w:after="0" w:line="237" w:lineRule="auto"/>
        <w:rPr>
          <w:sz w:val="20"/>
          <w:szCs w:val="20"/>
          <w:color w:val="auto"/>
        </w:rPr>
      </w:pPr>
      <w:r>
        <w:rPr>
          <w:rFonts w:ascii="Calibri" w:cs="Calibri" w:eastAsia="Calibri" w:hAnsi="Calibri"/>
          <w:sz w:val="15"/>
          <w:szCs w:val="15"/>
          <w:b w:val="1"/>
          <w:bCs w:val="1"/>
          <w:color w:val="auto"/>
        </w:rPr>
        <w:t>CONSOLIDATED STATEMENT OF FINANCIAL POSITION</w:t>
      </w:r>
    </w:p>
    <w:p>
      <w:pPr>
        <w:jc w:val="center"/>
        <w:spacing w:after="0"/>
        <w:rPr>
          <w:sz w:val="20"/>
          <w:szCs w:val="20"/>
          <w:color w:val="auto"/>
        </w:rPr>
      </w:pPr>
      <w:r>
        <w:rPr>
          <w:rFonts w:ascii="Calibri" w:cs="Calibri" w:eastAsia="Calibri" w:hAnsi="Calibri"/>
          <w:sz w:val="15"/>
          <w:szCs w:val="15"/>
          <w:b w:val="1"/>
          <w:bCs w:val="1"/>
          <w:color w:val="auto"/>
        </w:rPr>
        <w:t>(In S/ thousands, IFRS)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5200" w:type="dxa"/>
            <w:vAlign w:val="bottom"/>
            <w:tcBorders>
              <w:right w:val="single" w:sz="8" w:color="auto"/>
            </w:tcBorders>
          </w:tcPr>
          <w:p>
            <w:pPr>
              <w:spacing w:after="0"/>
              <w:rPr>
                <w:sz w:val="17"/>
                <w:szCs w:val="17"/>
                <w:color w:val="auto"/>
              </w:rPr>
            </w:pPr>
          </w:p>
        </w:tc>
        <w:tc>
          <w:tcPr>
            <w:tcW w:w="1580" w:type="dxa"/>
            <w:vAlign w:val="bottom"/>
            <w:tcBorders>
              <w:top w:val="single" w:sz="8" w:color="auto"/>
            </w:tcBorders>
            <w:shd w:val="clear" w:color="auto" w:fill="33CCCC"/>
          </w:tcPr>
          <w:p>
            <w:pPr>
              <w:spacing w:after="0"/>
              <w:rPr>
                <w:sz w:val="17"/>
                <w:szCs w:val="17"/>
                <w:color w:val="auto"/>
              </w:rPr>
            </w:pPr>
          </w:p>
        </w:tc>
        <w:tc>
          <w:tcPr>
            <w:tcW w:w="1340" w:type="dxa"/>
            <w:vAlign w:val="bottom"/>
            <w:tcBorders>
              <w:top w:val="single" w:sz="8" w:color="auto"/>
            </w:tcBorders>
            <w:shd w:val="clear" w:color="auto" w:fill="33CCCC"/>
          </w:tcPr>
          <w:p>
            <w:pPr>
              <w:jc w:val="right"/>
              <w:ind w:right="665"/>
              <w:spacing w:after="0"/>
              <w:rPr>
                <w:sz w:val="20"/>
                <w:szCs w:val="20"/>
                <w:color w:val="auto"/>
              </w:rPr>
            </w:pPr>
            <w:r>
              <w:rPr>
                <w:rFonts w:ascii="Calibri" w:cs="Calibri" w:eastAsia="Calibri" w:hAnsi="Calibri"/>
                <w:sz w:val="15"/>
                <w:szCs w:val="15"/>
                <w:b w:val="1"/>
                <w:bCs w:val="1"/>
                <w:color w:val="FFFFFF"/>
              </w:rPr>
              <w:t>As of</w:t>
            </w:r>
          </w:p>
        </w:tc>
        <w:tc>
          <w:tcPr>
            <w:tcW w:w="1140" w:type="dxa"/>
            <w:vAlign w:val="bottom"/>
            <w:tcBorders>
              <w:top w:val="single" w:sz="8" w:color="auto"/>
              <w:right w:val="single" w:sz="8" w:color="auto"/>
            </w:tcBorders>
            <w:shd w:val="clear" w:color="auto" w:fill="33CCCC"/>
          </w:tcPr>
          <w:p>
            <w:pPr>
              <w:spacing w:after="0"/>
              <w:rPr>
                <w:sz w:val="17"/>
                <w:szCs w:val="17"/>
                <w:color w:val="auto"/>
              </w:rPr>
            </w:pPr>
          </w:p>
        </w:tc>
        <w:tc>
          <w:tcPr>
            <w:tcW w:w="1280" w:type="dxa"/>
            <w:vAlign w:val="bottom"/>
            <w:tcBorders>
              <w:top w:val="single" w:sz="8" w:color="auto"/>
            </w:tcBorders>
            <w:shd w:val="clear" w:color="auto" w:fill="33CCCC"/>
          </w:tcPr>
          <w:p>
            <w:pPr>
              <w:ind w:left="700"/>
              <w:spacing w:after="0"/>
              <w:rPr>
                <w:sz w:val="20"/>
                <w:szCs w:val="20"/>
                <w:color w:val="auto"/>
              </w:rPr>
            </w:pPr>
            <w:r>
              <w:rPr>
                <w:rFonts w:ascii="Calibri" w:cs="Calibri" w:eastAsia="Calibri" w:hAnsi="Calibri"/>
                <w:sz w:val="15"/>
                <w:szCs w:val="15"/>
                <w:b w:val="1"/>
                <w:bCs w:val="1"/>
                <w:color w:val="FFFFFF"/>
                <w:w w:val="95"/>
              </w:rPr>
              <w:t>% change</w:t>
            </w:r>
          </w:p>
        </w:tc>
        <w:tc>
          <w:tcPr>
            <w:tcW w:w="740" w:type="dxa"/>
            <w:vAlign w:val="bottom"/>
            <w:tcBorders>
              <w:top w:val="single" w:sz="8" w:color="auto"/>
              <w:right w:val="single" w:sz="8" w:color="auto"/>
            </w:tcBorders>
            <w:shd w:val="clear" w:color="auto" w:fill="33CCCC"/>
          </w:tcPr>
          <w:p>
            <w:pPr>
              <w:spacing w:after="0"/>
              <w:rPr>
                <w:sz w:val="17"/>
                <w:szCs w:val="17"/>
                <w:color w:val="auto"/>
              </w:rPr>
            </w:pPr>
          </w:p>
        </w:tc>
      </w:tr>
      <w:tr>
        <w:trPr>
          <w:trHeight w:val="232"/>
        </w:trPr>
        <w:tc>
          <w:tcPr>
            <w:tcW w:w="5200" w:type="dxa"/>
            <w:vAlign w:val="bottom"/>
            <w:tcBorders>
              <w:right w:val="single" w:sz="8" w:color="auto"/>
            </w:tcBorders>
          </w:tcPr>
          <w:p>
            <w:pPr>
              <w:spacing w:after="0"/>
              <w:rPr>
                <w:sz w:val="20"/>
                <w:szCs w:val="20"/>
                <w:color w:val="auto"/>
              </w:rPr>
            </w:pPr>
          </w:p>
        </w:tc>
        <w:tc>
          <w:tcPr>
            <w:tcW w:w="1580" w:type="dxa"/>
            <w:vAlign w:val="bottom"/>
            <w:tcBorders>
              <w:bottom w:val="single" w:sz="8" w:color="33CCCC"/>
            </w:tcBorders>
            <w:shd w:val="clear" w:color="auto" w:fill="33CCCC"/>
          </w:tcPr>
          <w:p>
            <w:pPr>
              <w:jc w:val="right"/>
              <w:ind w:right="605"/>
              <w:spacing w:after="0"/>
              <w:rPr>
                <w:sz w:val="20"/>
                <w:szCs w:val="20"/>
                <w:color w:val="auto"/>
              </w:rPr>
            </w:pPr>
            <w:r>
              <w:rPr>
                <w:rFonts w:ascii="Calibri" w:cs="Calibri" w:eastAsia="Calibri" w:hAnsi="Calibri"/>
                <w:sz w:val="15"/>
                <w:szCs w:val="15"/>
                <w:b w:val="1"/>
                <w:bCs w:val="1"/>
                <w:color w:val="FFFFFF"/>
              </w:rPr>
              <w:t>Mar 22</w:t>
            </w:r>
          </w:p>
        </w:tc>
        <w:tc>
          <w:tcPr>
            <w:tcW w:w="1340" w:type="dxa"/>
            <w:vAlign w:val="bottom"/>
            <w:tcBorders>
              <w:bottom w:val="single" w:sz="8" w:color="33CCCC"/>
            </w:tcBorders>
            <w:shd w:val="clear" w:color="auto" w:fill="33CCCC"/>
          </w:tcPr>
          <w:p>
            <w:pPr>
              <w:jc w:val="right"/>
              <w:ind w:right="625"/>
              <w:spacing w:after="0"/>
              <w:rPr>
                <w:sz w:val="20"/>
                <w:szCs w:val="20"/>
                <w:color w:val="auto"/>
              </w:rPr>
            </w:pPr>
            <w:r>
              <w:rPr>
                <w:rFonts w:ascii="Calibri" w:cs="Calibri" w:eastAsia="Calibri" w:hAnsi="Calibri"/>
                <w:sz w:val="15"/>
                <w:szCs w:val="15"/>
                <w:b w:val="1"/>
                <w:bCs w:val="1"/>
                <w:color w:val="FFFFFF"/>
              </w:rPr>
              <w:t>Dec 22</w:t>
            </w:r>
          </w:p>
        </w:tc>
        <w:tc>
          <w:tcPr>
            <w:tcW w:w="1140" w:type="dxa"/>
            <w:vAlign w:val="bottom"/>
            <w:tcBorders>
              <w:bottom w:val="single" w:sz="8" w:color="33CCCC"/>
              <w:right w:val="single" w:sz="8" w:color="auto"/>
            </w:tcBorders>
            <w:shd w:val="clear" w:color="auto" w:fill="33CCCC"/>
          </w:tcPr>
          <w:p>
            <w:pPr>
              <w:jc w:val="right"/>
              <w:ind w:right="405"/>
              <w:spacing w:after="0"/>
              <w:rPr>
                <w:sz w:val="20"/>
                <w:szCs w:val="20"/>
                <w:color w:val="auto"/>
              </w:rPr>
            </w:pPr>
            <w:r>
              <w:rPr>
                <w:rFonts w:ascii="Calibri" w:cs="Calibri" w:eastAsia="Calibri" w:hAnsi="Calibri"/>
                <w:sz w:val="15"/>
                <w:szCs w:val="15"/>
                <w:b w:val="1"/>
                <w:bCs w:val="1"/>
                <w:color w:val="FFFFFF"/>
              </w:rPr>
              <w:t>Mar 23</w:t>
            </w:r>
          </w:p>
        </w:tc>
        <w:tc>
          <w:tcPr>
            <w:tcW w:w="1280" w:type="dxa"/>
            <w:vAlign w:val="bottom"/>
            <w:tcBorders>
              <w:bottom w:val="single" w:sz="8" w:color="33CCCC"/>
            </w:tcBorders>
            <w:shd w:val="clear" w:color="auto" w:fill="33CCCC"/>
          </w:tcPr>
          <w:p>
            <w:pPr>
              <w:ind w:left="360"/>
              <w:spacing w:after="0"/>
              <w:rPr>
                <w:sz w:val="20"/>
                <w:szCs w:val="20"/>
                <w:color w:val="auto"/>
              </w:rPr>
            </w:pPr>
            <w:r>
              <w:rPr>
                <w:rFonts w:ascii="Calibri" w:cs="Calibri" w:eastAsia="Calibri" w:hAnsi="Calibri"/>
                <w:sz w:val="15"/>
                <w:szCs w:val="15"/>
                <w:b w:val="1"/>
                <w:bCs w:val="1"/>
                <w:color w:val="FFFFFF"/>
              </w:rPr>
              <w:t>QoQ</w:t>
            </w:r>
          </w:p>
        </w:tc>
        <w:tc>
          <w:tcPr>
            <w:tcW w:w="740" w:type="dxa"/>
            <w:vAlign w:val="bottom"/>
            <w:tcBorders>
              <w:bottom w:val="single" w:sz="8" w:color="33CCCC"/>
              <w:right w:val="single" w:sz="8" w:color="auto"/>
            </w:tcBorders>
            <w:shd w:val="clear" w:color="auto" w:fill="33CCCC"/>
          </w:tcPr>
          <w:p>
            <w:pPr>
              <w:ind w:left="100"/>
              <w:spacing w:after="0"/>
              <w:rPr>
                <w:sz w:val="20"/>
                <w:szCs w:val="20"/>
                <w:color w:val="auto"/>
              </w:rPr>
            </w:pPr>
            <w:r>
              <w:rPr>
                <w:rFonts w:ascii="Calibri" w:cs="Calibri" w:eastAsia="Calibri" w:hAnsi="Calibri"/>
                <w:sz w:val="15"/>
                <w:szCs w:val="15"/>
                <w:b w:val="1"/>
                <w:bCs w:val="1"/>
                <w:color w:val="FFFFFF"/>
              </w:rPr>
              <w:t>YoY</w:t>
            </w:r>
          </w:p>
        </w:tc>
      </w:tr>
      <w:tr>
        <w:trPr>
          <w:trHeight w:val="179"/>
        </w:trPr>
        <w:tc>
          <w:tcPr>
            <w:tcW w:w="5200" w:type="dxa"/>
            <w:vAlign w:val="bottom"/>
            <w:tcBorders>
              <w:top w:val="single" w:sz="8" w:color="auto"/>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b w:val="1"/>
                <w:bCs w:val="1"/>
                <w:color w:val="auto"/>
              </w:rPr>
              <w:t>ASSETS</w:t>
            </w:r>
          </w:p>
        </w:tc>
        <w:tc>
          <w:tcPr>
            <w:tcW w:w="15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r>
      <w:tr>
        <w:trPr>
          <w:trHeight w:val="197"/>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Cash and due from banks</w:t>
            </w: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Non-interest bearing</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6,748,517</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7,286,624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6,946,112</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-4.7%</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2.9%</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Interest bearing</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29,563,512</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26,897,216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28,158,941</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4.7%</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-4.8%</w:t>
            </w:r>
          </w:p>
        </w:tc>
      </w:tr>
      <w:tr>
        <w:trPr>
          <w:trHeight w:val="386"/>
        </w:trPr>
        <w:tc>
          <w:tcPr>
            <w:tcW w:w="52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7"/>
              </w:rPr>
              <w:t>Total cash and due from banks</w:t>
            </w:r>
          </w:p>
        </w:tc>
        <w:tc>
          <w:tcPr>
            <w:tcW w:w="1580" w:type="dxa"/>
            <w:vAlign w:val="bottom"/>
          </w:tcPr>
          <w:p>
            <w:pPr>
              <w:jc w:val="right"/>
              <w:ind w:right="165"/>
              <w:spacing w:after="0"/>
              <w:rPr>
                <w:sz w:val="20"/>
                <w:szCs w:val="20"/>
                <w:color w:val="auto"/>
              </w:rPr>
            </w:pPr>
            <w:r>
              <w:rPr>
                <w:rFonts w:ascii="Calibri" w:cs="Calibri" w:eastAsia="Calibri" w:hAnsi="Calibri"/>
                <w:sz w:val="15"/>
                <w:szCs w:val="15"/>
                <w:b w:val="1"/>
                <w:bCs w:val="1"/>
                <w:color w:val="auto"/>
              </w:rPr>
              <w:t>36,312,029</w:t>
            </w:r>
          </w:p>
        </w:tc>
        <w:tc>
          <w:tcPr>
            <w:tcW w:w="1340" w:type="dxa"/>
            <w:vAlign w:val="bottom"/>
          </w:tcPr>
          <w:p>
            <w:pPr>
              <w:jc w:val="right"/>
              <w:ind w:right="165"/>
              <w:spacing w:after="0"/>
              <w:rPr>
                <w:sz w:val="20"/>
                <w:szCs w:val="20"/>
                <w:color w:val="auto"/>
              </w:rPr>
            </w:pPr>
            <w:r>
              <w:rPr>
                <w:rFonts w:ascii="Calibri" w:cs="Calibri" w:eastAsia="Calibri" w:hAnsi="Calibri"/>
                <w:sz w:val="15"/>
                <w:szCs w:val="15"/>
                <w:b w:val="1"/>
                <w:bCs w:val="1"/>
                <w:color w:val="auto"/>
              </w:rPr>
              <w:t>34,183,840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35,105,053</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2.7%</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7"/>
              </w:rPr>
              <w:t>-3.3%</w:t>
            </w:r>
          </w:p>
        </w:tc>
      </w:tr>
      <w:tr>
        <w:trPr>
          <w:trHeight w:val="386"/>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Cash collateral, reverse repurchase agreements and securites borrowing</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1,516,855</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1,101,856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1,468,180</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6"/>
              </w:rPr>
              <w:t>33.2%</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-3.2%</w:t>
            </w:r>
          </w:p>
        </w:tc>
      </w:tr>
      <w:tr>
        <w:trPr>
          <w:trHeight w:val="386"/>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Fair value through proft or loss investments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4,628,870</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4,199,334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4,080,266</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-2.8%</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-11.9%</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Fair value through other comprehensive income investments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35,452,509</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30,786,161</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33,395,987</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8.5%</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-5.8%</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Amortzed cost investments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8,064,050</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10,445,729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10,253,251</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-1.8%</w:t>
            </w:r>
          </w:p>
        </w:tc>
        <w:tc>
          <w:tcPr>
            <w:tcW w:w="74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w w:val="96"/>
              </w:rPr>
              <w:t>27.1%</w:t>
            </w:r>
          </w:p>
        </w:tc>
      </w:tr>
      <w:tr>
        <w:trPr>
          <w:trHeight w:val="386"/>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Loans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144,621,513</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148,626,374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145,165,713</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-2.3%</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0.4%</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Current</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138,748,514</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142,686,630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139,376,216</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-2.3%</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0.5%</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Internal overdue loans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5,872,999</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5,939,744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5,789,497</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-2.5%</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-1.4%</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Less - allowance for loan losses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(8,262,383)</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(7,872,402)</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(7,915,350)</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0.5%</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-4.2%</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Loans, net</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136,359,130</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140,753,972</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137,250,363</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-2.5%</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0.7%</w:t>
            </w:r>
          </w:p>
        </w:tc>
      </w:tr>
      <w:tr>
        <w:trPr>
          <w:trHeight w:val="386"/>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Financial assets designated at fair value through proft or loss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856,337</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768,801</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795,225</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3.4%</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-7.1%</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Accounts receivable from reinsurers and coinsurers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174,982</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110,963</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107,619</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-3.0%</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-38.5%</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Premiums and other policyholder receivables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873,505</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921,611</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842,865</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-8.5%</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-3.5%</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Property, plant and equipment, net</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1,864,825</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1,824,931</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1,786,992</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-2.1%</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-4.2%</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Due from customers on acceptances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524,448</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699,678</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496,170</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5"/>
              </w:rPr>
              <w:t>-29.1%</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-5.4%</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Investments in associates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629,009</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726,993</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660,741</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-9.1%</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5.0%</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Intangible assets and goodwill, net</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2,703,238</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2,899,429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2,942,367</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1.5%</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8.8%</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Assets by insurance and reinsurance contracts</w:t>
            </w: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317"/>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 xml:space="preserve">Other assets </w:t>
            </w:r>
            <w:r>
              <w:rPr>
                <w:rFonts w:ascii="Calibri" w:cs="Calibri" w:eastAsia="Calibri" w:hAnsi="Calibri"/>
                <w:sz w:val="25"/>
                <w:szCs w:val="25"/>
                <w:color w:val="auto"/>
                <w:vertAlign w:val="superscript"/>
              </w:rPr>
              <w:t>(1)</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6,901,336</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6,293,599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8,118,268</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6"/>
              </w:rPr>
              <w:t>29.0%</w:t>
            </w:r>
          </w:p>
        </w:tc>
        <w:tc>
          <w:tcPr>
            <w:tcW w:w="74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w w:val="96"/>
              </w:rPr>
              <w:t>17.6%</w:t>
            </w:r>
          </w:p>
        </w:tc>
      </w:tr>
      <w:tr>
        <w:trPr>
          <w:trHeight w:val="273"/>
        </w:trPr>
        <w:tc>
          <w:tcPr>
            <w:tcW w:w="52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5"/>
              </w:rPr>
              <w:t>Total Assets</w:t>
            </w:r>
          </w:p>
        </w:tc>
        <w:tc>
          <w:tcPr>
            <w:tcW w:w="1580" w:type="dxa"/>
            <w:vAlign w:val="bottom"/>
          </w:tcPr>
          <w:p>
            <w:pPr>
              <w:jc w:val="right"/>
              <w:ind w:right="165"/>
              <w:spacing w:after="0"/>
              <w:rPr>
                <w:sz w:val="20"/>
                <w:szCs w:val="20"/>
                <w:color w:val="auto"/>
              </w:rPr>
            </w:pPr>
            <w:r>
              <w:rPr>
                <w:rFonts w:ascii="Calibri" w:cs="Calibri" w:eastAsia="Calibri" w:hAnsi="Calibri"/>
                <w:sz w:val="15"/>
                <w:szCs w:val="15"/>
                <w:b w:val="1"/>
                <w:bCs w:val="1"/>
                <w:color w:val="auto"/>
              </w:rPr>
              <w:t>237,871,204</w:t>
            </w:r>
          </w:p>
        </w:tc>
        <w:tc>
          <w:tcPr>
            <w:tcW w:w="1340" w:type="dxa"/>
            <w:vAlign w:val="bottom"/>
          </w:tcPr>
          <w:p>
            <w:pPr>
              <w:jc w:val="right"/>
              <w:ind w:right="165"/>
              <w:spacing w:after="0"/>
              <w:rPr>
                <w:sz w:val="20"/>
                <w:szCs w:val="20"/>
                <w:color w:val="auto"/>
              </w:rPr>
            </w:pPr>
            <w:r>
              <w:rPr>
                <w:rFonts w:ascii="Calibri" w:cs="Calibri" w:eastAsia="Calibri" w:hAnsi="Calibri"/>
                <w:sz w:val="15"/>
                <w:szCs w:val="15"/>
                <w:b w:val="1"/>
                <w:bCs w:val="1"/>
                <w:color w:val="auto"/>
              </w:rPr>
              <w:t>236,750,138</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238,324,333</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0.7%</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9"/>
              </w:rPr>
              <w:t>0.2%</w:t>
            </w:r>
          </w:p>
        </w:tc>
      </w:tr>
      <w:tr>
        <w:trPr>
          <w:trHeight w:val="386"/>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LIABILITIES AND EQUITY</w:t>
            </w: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Deposits and obligatons</w:t>
            </w: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Non-interest bearing</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50,939,859</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43,346,151</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41,596,964</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-4.0%</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-18.3%</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Interest bearing</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96,976,105</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103,674,636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107,026,336</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3.2%</w:t>
            </w:r>
          </w:p>
        </w:tc>
        <w:tc>
          <w:tcPr>
            <w:tcW w:w="74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w w:val="96"/>
              </w:rPr>
              <w:t>10.4%</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Total deposits and obligatons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147,915,964</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147,020,787</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148,623,300</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1.1%</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0.5%</w:t>
            </w:r>
          </w:p>
        </w:tc>
      </w:tr>
      <w:tr>
        <w:trPr>
          <w:trHeight w:val="386"/>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Payables from repurchase agreements and securites lending</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19,388,995</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12,966,725</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11,686,495</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-9.9%</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-39.7%</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BCRP instruments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17,532,350</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11,297,659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9,780,540</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5"/>
              </w:rPr>
              <w:t>-13.4%</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-44.2%</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Repurchase agreements with third partes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1,218,028</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976,020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1,206,574</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6"/>
              </w:rPr>
              <w:t>23.6%</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-0.9%</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Repurchase agreements with customers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638,617</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693,046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699,381</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0.9%</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9.5%</w:t>
            </w:r>
          </w:p>
        </w:tc>
      </w:tr>
      <w:tr>
        <w:trPr>
          <w:trHeight w:val="386"/>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Due to banks and correspondents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6,362,990</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8,937,411</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10,199,650</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6"/>
              </w:rPr>
              <w:t>14.1%</w:t>
            </w:r>
          </w:p>
        </w:tc>
        <w:tc>
          <w:tcPr>
            <w:tcW w:w="74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w w:val="96"/>
              </w:rPr>
              <w:t>60.3%</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Bonds and notes issued</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16,044,671</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17,007,194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14,313,030</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5"/>
              </w:rPr>
              <w:t>-15.8%</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-10.8%</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Banker’s acceptances outstanding</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524,448</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699,678</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496,170</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5"/>
              </w:rPr>
              <w:t>-29.1%</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-5.4%</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Liabilites by insurance and reinsurance contracts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11,984,619</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11,974,714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12,291,538</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2.6%</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2.6%</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Accounts payable to reinsurers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414,506</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420,094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343,067</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5"/>
              </w:rPr>
              <w:t>-18.3%</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-17.2%</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Financial liabilites at fair value through proft or loss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232,185</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191,010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417,146</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7"/>
              </w:rPr>
              <w:t>118.4%</w:t>
            </w:r>
          </w:p>
        </w:tc>
        <w:tc>
          <w:tcPr>
            <w:tcW w:w="74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w w:val="96"/>
              </w:rPr>
              <w:t>79.7%</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Other liabilites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7,655,867</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7,943,225</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9,019,443</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6"/>
              </w:rPr>
              <w:t>13.5%</w:t>
            </w:r>
          </w:p>
        </w:tc>
        <w:tc>
          <w:tcPr>
            <w:tcW w:w="74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w w:val="96"/>
              </w:rPr>
              <w:t>17.8%</w:t>
            </w:r>
          </w:p>
        </w:tc>
      </w:tr>
      <w:tr>
        <w:trPr>
          <w:trHeight w:val="386"/>
        </w:trPr>
        <w:tc>
          <w:tcPr>
            <w:tcW w:w="52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rPr>
              <w:t>Total Liabilites</w:t>
            </w:r>
          </w:p>
        </w:tc>
        <w:tc>
          <w:tcPr>
            <w:tcW w:w="1580" w:type="dxa"/>
            <w:vAlign w:val="bottom"/>
          </w:tcPr>
          <w:p>
            <w:pPr>
              <w:jc w:val="right"/>
              <w:ind w:right="165"/>
              <w:spacing w:after="0"/>
              <w:rPr>
                <w:sz w:val="20"/>
                <w:szCs w:val="20"/>
                <w:color w:val="auto"/>
              </w:rPr>
            </w:pPr>
            <w:r>
              <w:rPr>
                <w:rFonts w:ascii="Calibri" w:cs="Calibri" w:eastAsia="Calibri" w:hAnsi="Calibri"/>
                <w:sz w:val="15"/>
                <w:szCs w:val="15"/>
                <w:b w:val="1"/>
                <w:bCs w:val="1"/>
                <w:color w:val="auto"/>
              </w:rPr>
              <w:t>210,524,245</w:t>
            </w:r>
          </w:p>
        </w:tc>
        <w:tc>
          <w:tcPr>
            <w:tcW w:w="1340" w:type="dxa"/>
            <w:vAlign w:val="bottom"/>
          </w:tcPr>
          <w:p>
            <w:pPr>
              <w:jc w:val="right"/>
              <w:ind w:right="165"/>
              <w:spacing w:after="0"/>
              <w:rPr>
                <w:sz w:val="20"/>
                <w:szCs w:val="20"/>
                <w:color w:val="auto"/>
              </w:rPr>
            </w:pPr>
            <w:r>
              <w:rPr>
                <w:rFonts w:ascii="Calibri" w:cs="Calibri" w:eastAsia="Calibri" w:hAnsi="Calibri"/>
                <w:sz w:val="15"/>
                <w:szCs w:val="15"/>
                <w:b w:val="1"/>
                <w:bCs w:val="1"/>
                <w:color w:val="auto"/>
              </w:rPr>
              <w:t>207,160,838</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207,389,839</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0.1%</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7"/>
              </w:rPr>
              <w:t>-1.5%</w:t>
            </w:r>
          </w:p>
        </w:tc>
      </w:tr>
      <w:tr>
        <w:trPr>
          <w:trHeight w:val="386"/>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Net equity</w:t>
            </w:r>
          </w:p>
        </w:tc>
        <w:tc>
          <w:tcPr>
            <w:tcW w:w="1580" w:type="dxa"/>
            <w:vAlign w:val="bottom"/>
          </w:tcPr>
          <w:p>
            <w:pPr>
              <w:jc w:val="right"/>
              <w:ind w:right="165"/>
              <w:spacing w:after="0"/>
              <w:rPr>
                <w:sz w:val="20"/>
                <w:szCs w:val="20"/>
                <w:color w:val="auto"/>
              </w:rPr>
            </w:pPr>
            <w:r>
              <w:rPr>
                <w:rFonts w:ascii="Calibri" w:cs="Calibri" w:eastAsia="Calibri" w:hAnsi="Calibri"/>
                <w:sz w:val="15"/>
                <w:szCs w:val="15"/>
                <w:b w:val="1"/>
                <w:bCs w:val="1"/>
                <w:color w:val="auto"/>
              </w:rPr>
              <w:t>26,818,054</w:t>
            </w:r>
          </w:p>
        </w:tc>
        <w:tc>
          <w:tcPr>
            <w:tcW w:w="1340" w:type="dxa"/>
            <w:vAlign w:val="bottom"/>
          </w:tcPr>
          <w:p>
            <w:pPr>
              <w:jc w:val="right"/>
              <w:ind w:right="165"/>
              <w:spacing w:after="0"/>
              <w:rPr>
                <w:sz w:val="20"/>
                <w:szCs w:val="20"/>
                <w:color w:val="auto"/>
              </w:rPr>
            </w:pPr>
            <w:r>
              <w:rPr>
                <w:rFonts w:ascii="Calibri" w:cs="Calibri" w:eastAsia="Calibri" w:hAnsi="Calibri"/>
                <w:sz w:val="15"/>
                <w:szCs w:val="15"/>
                <w:b w:val="1"/>
                <w:bCs w:val="1"/>
                <w:color w:val="auto"/>
              </w:rPr>
              <w:t>28,997,731</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30,359,898</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4.7%</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rPr>
              <w:t>13.2%</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Capital stock</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1,318,993</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1,318,993</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1,318,993</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0.0%</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0.0%</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Treasury stock</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(207,700)</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(207,518)</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(208,041)</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0.3%</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0.2%</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Capital surplus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227,361</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231,556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226,189</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-2.3%</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-0.5%</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Reserves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21,292,614</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23,659,626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23,603,001</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-0.2%</w:t>
            </w:r>
          </w:p>
        </w:tc>
        <w:tc>
          <w:tcPr>
            <w:tcW w:w="74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w w:val="96"/>
              </w:rPr>
              <w:t>10.9%</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Other reserves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-318,628</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(434,838)</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(403,391)</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-7.2%</w:t>
            </w:r>
          </w:p>
        </w:tc>
        <w:tc>
          <w:tcPr>
            <w:tcW w:w="74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w w:val="96"/>
              </w:rPr>
              <w:t>26.6%</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Retained earnings</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4,505,414</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4,429,912</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5,823,147</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6"/>
              </w:rPr>
              <w:t>31.5%</w:t>
            </w:r>
          </w:p>
        </w:tc>
        <w:tc>
          <w:tcPr>
            <w:tcW w:w="74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w w:val="96"/>
              </w:rPr>
              <w:t>29.2%</w:t>
            </w:r>
          </w:p>
        </w:tc>
      </w:tr>
      <w:tr>
        <w:trPr>
          <w:trHeight w:val="204"/>
        </w:trPr>
        <w:tc>
          <w:tcPr>
            <w:tcW w:w="5200" w:type="dxa"/>
            <w:vAlign w:val="bottom"/>
            <w:tcBorders>
              <w:left w:val="single" w:sz="8" w:color="auto"/>
              <w:right w:val="single" w:sz="8" w:color="auto"/>
            </w:tcBorders>
          </w:tcPr>
          <w:p>
            <w:pPr>
              <w:spacing w:after="0"/>
              <w:rPr>
                <w:sz w:val="17"/>
                <w:szCs w:val="17"/>
                <w:color w:val="auto"/>
              </w:rPr>
            </w:pP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128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Non-controlling interest</w:t>
            </w: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528,905</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591,569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574,596</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-2.9%</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8.6%</w:t>
            </w:r>
          </w:p>
        </w:tc>
      </w:tr>
      <w:tr>
        <w:trPr>
          <w:trHeight w:val="386"/>
        </w:trPr>
        <w:tc>
          <w:tcPr>
            <w:tcW w:w="52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7"/>
              </w:rPr>
              <w:t>Total Net Equity</w:t>
            </w:r>
          </w:p>
        </w:tc>
        <w:tc>
          <w:tcPr>
            <w:tcW w:w="1580" w:type="dxa"/>
            <w:vAlign w:val="bottom"/>
          </w:tcPr>
          <w:p>
            <w:pPr>
              <w:jc w:val="right"/>
              <w:ind w:right="165"/>
              <w:spacing w:after="0"/>
              <w:rPr>
                <w:sz w:val="20"/>
                <w:szCs w:val="20"/>
                <w:color w:val="auto"/>
              </w:rPr>
            </w:pPr>
            <w:r>
              <w:rPr>
                <w:rFonts w:ascii="Calibri" w:cs="Calibri" w:eastAsia="Calibri" w:hAnsi="Calibri"/>
                <w:sz w:val="15"/>
                <w:szCs w:val="15"/>
                <w:b w:val="1"/>
                <w:bCs w:val="1"/>
                <w:color w:val="auto"/>
              </w:rPr>
              <w:t>27,346,959</w:t>
            </w:r>
          </w:p>
        </w:tc>
        <w:tc>
          <w:tcPr>
            <w:tcW w:w="1340" w:type="dxa"/>
            <w:vAlign w:val="bottom"/>
          </w:tcPr>
          <w:p>
            <w:pPr>
              <w:jc w:val="right"/>
              <w:ind w:right="165"/>
              <w:spacing w:after="0"/>
              <w:rPr>
                <w:sz w:val="20"/>
                <w:szCs w:val="20"/>
                <w:color w:val="auto"/>
              </w:rPr>
            </w:pPr>
            <w:r>
              <w:rPr>
                <w:rFonts w:ascii="Calibri" w:cs="Calibri" w:eastAsia="Calibri" w:hAnsi="Calibri"/>
                <w:sz w:val="15"/>
                <w:szCs w:val="15"/>
                <w:b w:val="1"/>
                <w:bCs w:val="1"/>
                <w:color w:val="auto"/>
              </w:rPr>
              <w:t>29,589,300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30,934,494</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4.5%</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rPr>
              <w:t>13.1%</w:t>
            </w:r>
          </w:p>
        </w:tc>
      </w:tr>
      <w:tr>
        <w:trPr>
          <w:trHeight w:val="204"/>
        </w:trPr>
        <w:tc>
          <w:tcPr>
            <w:tcW w:w="5200" w:type="dxa"/>
            <w:vAlign w:val="bottom"/>
            <w:tcBorders>
              <w:left w:val="single" w:sz="8" w:color="auto"/>
              <w:right w:val="single" w:sz="8" w:color="auto"/>
            </w:tcBorders>
          </w:tcPr>
          <w:p>
            <w:pPr>
              <w:spacing w:after="0"/>
              <w:rPr>
                <w:sz w:val="17"/>
                <w:szCs w:val="17"/>
                <w:color w:val="auto"/>
              </w:rPr>
            </w:pP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128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Total liabilites and equity</w:t>
            </w:r>
          </w:p>
        </w:tc>
        <w:tc>
          <w:tcPr>
            <w:tcW w:w="1580" w:type="dxa"/>
            <w:vAlign w:val="bottom"/>
          </w:tcPr>
          <w:p>
            <w:pPr>
              <w:jc w:val="right"/>
              <w:ind w:right="165"/>
              <w:spacing w:after="0"/>
              <w:rPr>
                <w:sz w:val="20"/>
                <w:szCs w:val="20"/>
                <w:color w:val="auto"/>
              </w:rPr>
            </w:pPr>
            <w:r>
              <w:rPr>
                <w:rFonts w:ascii="Calibri" w:cs="Calibri" w:eastAsia="Calibri" w:hAnsi="Calibri"/>
                <w:sz w:val="15"/>
                <w:szCs w:val="15"/>
                <w:b w:val="1"/>
                <w:bCs w:val="1"/>
                <w:color w:val="auto"/>
              </w:rPr>
              <w:t>237,871,204</w:t>
            </w:r>
          </w:p>
        </w:tc>
        <w:tc>
          <w:tcPr>
            <w:tcW w:w="1340" w:type="dxa"/>
            <w:vAlign w:val="bottom"/>
          </w:tcPr>
          <w:p>
            <w:pPr>
              <w:jc w:val="right"/>
              <w:ind w:right="165"/>
              <w:spacing w:after="0"/>
              <w:rPr>
                <w:sz w:val="20"/>
                <w:szCs w:val="20"/>
                <w:color w:val="auto"/>
              </w:rPr>
            </w:pPr>
            <w:r>
              <w:rPr>
                <w:rFonts w:ascii="Calibri" w:cs="Calibri" w:eastAsia="Calibri" w:hAnsi="Calibri"/>
                <w:sz w:val="15"/>
                <w:szCs w:val="15"/>
                <w:b w:val="1"/>
                <w:bCs w:val="1"/>
                <w:color w:val="auto"/>
              </w:rPr>
              <w:t>236,750,138</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238,324,333</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0.7%</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9"/>
              </w:rPr>
              <w:t>0.2%</w:t>
            </w:r>
          </w:p>
        </w:tc>
      </w:tr>
      <w:tr>
        <w:trPr>
          <w:trHeight w:val="204"/>
        </w:trPr>
        <w:tc>
          <w:tcPr>
            <w:tcW w:w="5200" w:type="dxa"/>
            <w:vAlign w:val="bottom"/>
            <w:tcBorders>
              <w:left w:val="single" w:sz="8" w:color="auto"/>
              <w:right w:val="single" w:sz="8" w:color="auto"/>
            </w:tcBorders>
          </w:tcPr>
          <w:p>
            <w:pPr>
              <w:spacing w:after="0"/>
              <w:rPr>
                <w:sz w:val="17"/>
                <w:szCs w:val="17"/>
                <w:color w:val="auto"/>
              </w:rPr>
            </w:pPr>
          </w:p>
        </w:tc>
        <w:tc>
          <w:tcPr>
            <w:tcW w:w="1580" w:type="dxa"/>
            <w:vAlign w:val="bottom"/>
          </w:tcPr>
          <w:p>
            <w:pPr>
              <w:jc w:val="right"/>
              <w:ind w:right="165"/>
              <w:spacing w:after="0"/>
              <w:rPr>
                <w:sz w:val="20"/>
                <w:szCs w:val="20"/>
                <w:color w:val="auto"/>
              </w:rPr>
            </w:pPr>
            <w:r>
              <w:rPr>
                <w:rFonts w:ascii="Calibri" w:cs="Calibri" w:eastAsia="Calibri" w:hAnsi="Calibri"/>
                <w:sz w:val="15"/>
                <w:szCs w:val="15"/>
                <w:color w:val="auto"/>
              </w:rPr>
              <w:t>-</w:t>
            </w:r>
          </w:p>
        </w:tc>
        <w:tc>
          <w:tcPr>
            <w:tcW w:w="1340" w:type="dxa"/>
            <w:vAlign w:val="bottom"/>
          </w:tcPr>
          <w:p>
            <w:pPr>
              <w:jc w:val="right"/>
              <w:ind w:right="165"/>
              <w:spacing w:after="0"/>
              <w:rPr>
                <w:sz w:val="20"/>
                <w:szCs w:val="20"/>
                <w:color w:val="auto"/>
              </w:rPr>
            </w:pPr>
            <w:r>
              <w:rPr>
                <w:rFonts w:ascii="Calibri" w:cs="Calibri" w:eastAsia="Calibri" w:hAnsi="Calibri"/>
                <w:sz w:val="15"/>
                <w:szCs w:val="15"/>
                <w:color w:val="auto"/>
              </w:rPr>
              <w:t>-</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128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Of-balance sheet</w:t>
            </w:r>
          </w:p>
        </w:tc>
        <w:tc>
          <w:tcPr>
            <w:tcW w:w="1580" w:type="dxa"/>
            <w:vAlign w:val="bottom"/>
          </w:tcPr>
          <w:p>
            <w:pPr>
              <w:jc w:val="right"/>
              <w:ind w:right="165"/>
              <w:spacing w:after="0"/>
              <w:rPr>
                <w:sz w:val="20"/>
                <w:szCs w:val="20"/>
                <w:color w:val="auto"/>
              </w:rPr>
            </w:pPr>
            <w:r>
              <w:rPr>
                <w:rFonts w:ascii="Arial" w:cs="Arial" w:eastAsia="Arial" w:hAnsi="Arial"/>
                <w:sz w:val="12"/>
                <w:szCs w:val="12"/>
                <w:b w:val="1"/>
                <w:bCs w:val="1"/>
                <w:color w:val="auto"/>
              </w:rPr>
              <w:t>142,337,944</w:t>
            </w:r>
          </w:p>
        </w:tc>
        <w:tc>
          <w:tcPr>
            <w:tcW w:w="1340" w:type="dxa"/>
            <w:vAlign w:val="bottom"/>
          </w:tcPr>
          <w:p>
            <w:pPr>
              <w:jc w:val="right"/>
              <w:ind w:right="165"/>
              <w:spacing w:after="0"/>
              <w:rPr>
                <w:sz w:val="20"/>
                <w:szCs w:val="20"/>
                <w:color w:val="auto"/>
              </w:rPr>
            </w:pPr>
            <w:r>
              <w:rPr>
                <w:rFonts w:ascii="Arial" w:cs="Arial" w:eastAsia="Arial" w:hAnsi="Arial"/>
                <w:sz w:val="12"/>
                <w:szCs w:val="12"/>
                <w:b w:val="1"/>
                <w:bCs w:val="1"/>
                <w:color w:val="auto"/>
              </w:rPr>
              <w:t>150,977,864</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154,477,055</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2.3%</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9"/>
              </w:rPr>
              <w:t>8.5%</w:t>
            </w:r>
          </w:p>
        </w:tc>
      </w:tr>
      <w:tr>
        <w:trPr>
          <w:trHeight w:val="118"/>
        </w:trPr>
        <w:tc>
          <w:tcPr>
            <w:tcW w:w="5200" w:type="dxa"/>
            <w:vAlign w:val="bottom"/>
            <w:tcBorders>
              <w:left w:val="single" w:sz="8" w:color="auto"/>
              <w:right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r>
    </w:tbl>
    <w:p>
      <w:pPr>
        <w:sectPr>
          <w:pgSz w:w="11900" w:h="16900" w:orient="portrait"/>
          <w:cols w:equalWidth="0" w:num="1">
            <w:col w:w="11280"/>
          </w:cols>
          <w:pgMar w:left="300" w:top="365" w:right="319" w:bottom="0" w:gutter="0" w:footer="0" w:header="0"/>
        </w:sectPr>
      </w:pPr>
    </w:p>
    <w:bookmarkStart w:id="68" w:name="page69"/>
    <w:bookmarkEnd w:id="6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Total performance bonds, stand-by and L/Cs.</w:t>
            </w:r>
          </w:p>
        </w:tc>
        <w:tc>
          <w:tcPr>
            <w:tcW w:w="1700" w:type="dxa"/>
            <w:vAlign w:val="bottom"/>
          </w:tcPr>
          <w:p>
            <w:pPr>
              <w:jc w:val="right"/>
              <w:ind w:right="300"/>
              <w:spacing w:after="0"/>
              <w:rPr>
                <w:sz w:val="20"/>
                <w:szCs w:val="20"/>
                <w:color w:val="auto"/>
              </w:rPr>
            </w:pPr>
            <w:r>
              <w:rPr>
                <w:rFonts w:ascii="Arial" w:cs="Arial" w:eastAsia="Arial" w:hAnsi="Arial"/>
                <w:sz w:val="12"/>
                <w:szCs w:val="12"/>
                <w:color w:val="auto"/>
              </w:rPr>
              <w:t>21,196,817</w:t>
            </w:r>
          </w:p>
        </w:tc>
        <w:tc>
          <w:tcPr>
            <w:tcW w:w="1360" w:type="dxa"/>
            <w:vAlign w:val="bottom"/>
          </w:tcPr>
          <w:p>
            <w:pPr>
              <w:jc w:val="right"/>
              <w:ind w:right="320"/>
              <w:spacing w:after="0"/>
              <w:rPr>
                <w:sz w:val="20"/>
                <w:szCs w:val="20"/>
                <w:color w:val="auto"/>
              </w:rPr>
            </w:pPr>
            <w:r>
              <w:rPr>
                <w:rFonts w:ascii="Arial" w:cs="Arial" w:eastAsia="Arial" w:hAnsi="Arial"/>
                <w:sz w:val="12"/>
                <w:szCs w:val="12"/>
                <w:color w:val="auto"/>
              </w:rPr>
              <w:t>20,928,054</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18,731,789</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5"/>
              </w:rPr>
              <w:t>-10.5%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-11.6%</w:t>
            </w:r>
          </w:p>
        </w:tc>
      </w:tr>
      <w:tr>
        <w:trPr>
          <w:trHeight w:val="179"/>
        </w:trPr>
        <w:tc>
          <w:tcPr>
            <w:tcW w:w="5200" w:type="dxa"/>
            <w:vAlign w:val="bottom"/>
            <w:tcBorders>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color w:val="auto"/>
              </w:rPr>
              <w:t>Undrawn credit lines, advised but not commited</w:t>
            </w:r>
          </w:p>
        </w:tc>
        <w:tc>
          <w:tcPr>
            <w:tcW w:w="1700" w:type="dxa"/>
            <w:vAlign w:val="bottom"/>
          </w:tcPr>
          <w:p>
            <w:pPr>
              <w:jc w:val="right"/>
              <w:ind w:right="300"/>
              <w:spacing w:after="0"/>
              <w:rPr>
                <w:sz w:val="20"/>
                <w:szCs w:val="20"/>
                <w:color w:val="auto"/>
              </w:rPr>
            </w:pPr>
            <w:r>
              <w:rPr>
                <w:rFonts w:ascii="Arial" w:cs="Arial" w:eastAsia="Arial" w:hAnsi="Arial"/>
                <w:sz w:val="12"/>
                <w:szCs w:val="12"/>
                <w:color w:val="auto"/>
              </w:rPr>
              <w:t>80,155,277</w:t>
            </w:r>
          </w:p>
        </w:tc>
        <w:tc>
          <w:tcPr>
            <w:tcW w:w="1360" w:type="dxa"/>
            <w:vAlign w:val="bottom"/>
          </w:tcPr>
          <w:p>
            <w:pPr>
              <w:jc w:val="right"/>
              <w:ind w:right="320"/>
              <w:spacing w:after="0"/>
              <w:rPr>
                <w:sz w:val="20"/>
                <w:szCs w:val="20"/>
                <w:color w:val="auto"/>
              </w:rPr>
            </w:pPr>
            <w:r>
              <w:rPr>
                <w:rFonts w:ascii="Arial" w:cs="Arial" w:eastAsia="Arial" w:hAnsi="Arial"/>
                <w:sz w:val="12"/>
                <w:szCs w:val="12"/>
                <w:color w:val="auto"/>
              </w:rPr>
              <w:t>86,597,041</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87,232,214</w:t>
            </w:r>
          </w:p>
        </w:tc>
        <w:tc>
          <w:tcPr>
            <w:tcW w:w="1000" w:type="dxa"/>
            <w:vAlign w:val="bottom"/>
          </w:tcPr>
          <w:p>
            <w:pPr>
              <w:jc w:val="center"/>
              <w:spacing w:after="0" w:line="180" w:lineRule="exact"/>
              <w:rPr>
                <w:sz w:val="20"/>
                <w:szCs w:val="20"/>
                <w:color w:val="auto"/>
              </w:rPr>
            </w:pPr>
            <w:r>
              <w:rPr>
                <w:rFonts w:ascii="Calibri" w:cs="Calibri" w:eastAsia="Calibri" w:hAnsi="Calibri"/>
                <w:sz w:val="15"/>
                <w:szCs w:val="15"/>
                <w:color w:val="auto"/>
                <w:w w:val="94"/>
              </w:rPr>
              <w:t>0.7%</w:t>
            </w:r>
          </w:p>
        </w:tc>
        <w:tc>
          <w:tcPr>
            <w:tcW w:w="102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8.8%</w:t>
            </w:r>
          </w:p>
        </w:tc>
      </w:tr>
      <w:tr>
        <w:trPr>
          <w:trHeight w:val="23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Total derivatves (notonal) and others</w:t>
            </w:r>
          </w:p>
        </w:tc>
        <w:tc>
          <w:tcPr>
            <w:tcW w:w="17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40,985,850</w:t>
            </w:r>
          </w:p>
        </w:tc>
        <w:tc>
          <w:tcPr>
            <w:tcW w:w="13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43,452,769</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48,513,052</w:t>
            </w: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color w:val="auto"/>
                <w:w w:val="96"/>
              </w:rPr>
              <w:t>11.6%</w:t>
            </w:r>
          </w:p>
        </w:tc>
        <w:tc>
          <w:tcPr>
            <w:tcW w:w="10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5"/>
                <w:szCs w:val="15"/>
                <w:color w:val="auto"/>
                <w:w w:val="96"/>
              </w:rPr>
              <w:t>18.4%</w:t>
            </w:r>
          </w:p>
        </w:tc>
      </w:tr>
    </w:tbl>
    <w:p>
      <w:pPr>
        <w:ind w:left="20"/>
        <w:spacing w:after="0" w:line="203" w:lineRule="auto"/>
        <w:rPr>
          <w:sz w:val="20"/>
          <w:szCs w:val="20"/>
          <w:color w:val="auto"/>
        </w:rPr>
      </w:pPr>
      <w:r>
        <w:rPr>
          <w:rFonts w:ascii="Calibri" w:cs="Calibri" w:eastAsia="Calibri" w:hAnsi="Calibri"/>
          <w:sz w:val="10"/>
          <w:szCs w:val="10"/>
          <w:color w:val="auto"/>
        </w:rPr>
        <w:t>(1) Includes mainly accounts receivables from brokerage and others.</w:t>
      </w:r>
    </w:p>
    <w:p>
      <w:pPr>
        <w:spacing w:after="0" w:line="331"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3910" cy="146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69" w:name="page70"/>
    <w:bookmarkEnd w:id="69"/>
    <w:p>
      <w:pPr>
        <w:ind w:left="2720"/>
        <w:spacing w:after="0"/>
        <w:tabs>
          <w:tab w:leader="none" w:pos="2920" w:val="left"/>
          <w:tab w:leader="none" w:pos="858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3910" cy="2305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CREDICORP LTD. AND SUBSIDIARIES</w:t>
      </w:r>
    </w:p>
    <w:p>
      <w:pPr>
        <w:jc w:val="center"/>
        <w:spacing w:after="0" w:line="237" w:lineRule="auto"/>
        <w:rPr>
          <w:sz w:val="20"/>
          <w:szCs w:val="20"/>
          <w:color w:val="auto"/>
        </w:rPr>
      </w:pPr>
      <w:r>
        <w:rPr>
          <w:rFonts w:ascii="Calibri" w:cs="Calibri" w:eastAsia="Calibri" w:hAnsi="Calibri"/>
          <w:sz w:val="15"/>
          <w:szCs w:val="15"/>
          <w:b w:val="1"/>
          <w:bCs w:val="1"/>
          <w:color w:val="auto"/>
        </w:rPr>
        <w:t>CONSOLIDATED STATEMENT OF INCOME</w:t>
      </w:r>
    </w:p>
    <w:p>
      <w:pPr>
        <w:jc w:val="center"/>
        <w:spacing w:after="0"/>
        <w:rPr>
          <w:sz w:val="20"/>
          <w:szCs w:val="20"/>
          <w:color w:val="auto"/>
        </w:rPr>
      </w:pPr>
      <w:r>
        <w:rPr>
          <w:rFonts w:ascii="Calibri" w:cs="Calibri" w:eastAsia="Calibri" w:hAnsi="Calibri"/>
          <w:sz w:val="15"/>
          <w:szCs w:val="15"/>
          <w:b w:val="1"/>
          <w:bCs w:val="1"/>
          <w:color w:val="auto"/>
        </w:rPr>
        <w:t>(In S/ thousands, IFRS)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5200" w:type="dxa"/>
            <w:vAlign w:val="bottom"/>
            <w:tcBorders>
              <w:right w:val="single" w:sz="8" w:color="auto"/>
            </w:tcBorders>
          </w:tcPr>
          <w:p>
            <w:pPr>
              <w:spacing w:after="0"/>
              <w:rPr>
                <w:sz w:val="17"/>
                <w:szCs w:val="17"/>
                <w:color w:val="auto"/>
              </w:rPr>
            </w:pPr>
          </w:p>
        </w:tc>
        <w:tc>
          <w:tcPr>
            <w:tcW w:w="1560" w:type="dxa"/>
            <w:vAlign w:val="bottom"/>
            <w:tcBorders>
              <w:top w:val="single" w:sz="8" w:color="auto"/>
            </w:tcBorders>
            <w:shd w:val="clear" w:color="auto" w:fill="33CCCC"/>
          </w:tcPr>
          <w:p>
            <w:pPr>
              <w:spacing w:after="0"/>
              <w:rPr>
                <w:sz w:val="17"/>
                <w:szCs w:val="17"/>
                <w:color w:val="auto"/>
              </w:rPr>
            </w:pPr>
          </w:p>
        </w:tc>
        <w:tc>
          <w:tcPr>
            <w:tcW w:w="1380" w:type="dxa"/>
            <w:vAlign w:val="bottom"/>
            <w:tcBorders>
              <w:top w:val="single" w:sz="8" w:color="auto"/>
            </w:tcBorders>
            <w:shd w:val="clear" w:color="auto" w:fill="33CCCC"/>
          </w:tcPr>
          <w:p>
            <w:pPr>
              <w:jc w:val="right"/>
              <w:ind w:right="604"/>
              <w:spacing w:after="0"/>
              <w:rPr>
                <w:sz w:val="20"/>
                <w:szCs w:val="20"/>
                <w:color w:val="auto"/>
              </w:rPr>
            </w:pPr>
            <w:r>
              <w:rPr>
                <w:rFonts w:ascii="Calibri" w:cs="Calibri" w:eastAsia="Calibri" w:hAnsi="Calibri"/>
                <w:sz w:val="15"/>
                <w:szCs w:val="15"/>
                <w:b w:val="1"/>
                <w:bCs w:val="1"/>
                <w:color w:val="FFFFFF"/>
              </w:rPr>
              <w:t>Quarter</w:t>
            </w:r>
          </w:p>
        </w:tc>
        <w:tc>
          <w:tcPr>
            <w:tcW w:w="1120" w:type="dxa"/>
            <w:vAlign w:val="bottom"/>
            <w:tcBorders>
              <w:top w:val="single" w:sz="8" w:color="auto"/>
              <w:right w:val="single" w:sz="8" w:color="auto"/>
            </w:tcBorders>
            <w:shd w:val="clear" w:color="auto" w:fill="33CCCC"/>
          </w:tcPr>
          <w:p>
            <w:pPr>
              <w:spacing w:after="0"/>
              <w:rPr>
                <w:sz w:val="17"/>
                <w:szCs w:val="17"/>
                <w:color w:val="auto"/>
              </w:rPr>
            </w:pPr>
          </w:p>
        </w:tc>
        <w:tc>
          <w:tcPr>
            <w:tcW w:w="2020" w:type="dxa"/>
            <w:vAlign w:val="bottom"/>
            <w:tcBorders>
              <w:top w:val="single" w:sz="8" w:color="auto"/>
              <w:right w:val="single" w:sz="8" w:color="auto"/>
            </w:tcBorders>
            <w:gridSpan w:val="2"/>
            <w:shd w:val="clear" w:color="auto" w:fill="33CCCC"/>
          </w:tcPr>
          <w:p>
            <w:pPr>
              <w:ind w:left="700"/>
              <w:spacing w:after="0"/>
              <w:rPr>
                <w:sz w:val="20"/>
                <w:szCs w:val="20"/>
                <w:color w:val="auto"/>
              </w:rPr>
            </w:pPr>
            <w:r>
              <w:rPr>
                <w:rFonts w:ascii="Calibri" w:cs="Calibri" w:eastAsia="Calibri" w:hAnsi="Calibri"/>
                <w:sz w:val="15"/>
                <w:szCs w:val="15"/>
                <w:b w:val="1"/>
                <w:bCs w:val="1"/>
                <w:color w:val="FFFFFF"/>
              </w:rPr>
              <w:t>% change</w:t>
            </w:r>
          </w:p>
        </w:tc>
      </w:tr>
      <w:tr>
        <w:trPr>
          <w:trHeight w:val="232"/>
        </w:trPr>
        <w:tc>
          <w:tcPr>
            <w:tcW w:w="5200" w:type="dxa"/>
            <w:vAlign w:val="bottom"/>
            <w:tcBorders>
              <w:right w:val="single" w:sz="8" w:color="auto"/>
            </w:tcBorders>
          </w:tcPr>
          <w:p>
            <w:pPr>
              <w:spacing w:after="0"/>
              <w:rPr>
                <w:sz w:val="20"/>
                <w:szCs w:val="20"/>
                <w:color w:val="auto"/>
              </w:rPr>
            </w:pPr>
          </w:p>
        </w:tc>
        <w:tc>
          <w:tcPr>
            <w:tcW w:w="1560" w:type="dxa"/>
            <w:vAlign w:val="bottom"/>
            <w:tcBorders>
              <w:bottom w:val="single" w:sz="8" w:color="33CCCC"/>
            </w:tcBorders>
            <w:shd w:val="clear" w:color="auto" w:fill="33CCCC"/>
          </w:tcPr>
          <w:p>
            <w:pPr>
              <w:jc w:val="right"/>
              <w:ind w:right="644"/>
              <w:spacing w:after="0"/>
              <w:rPr>
                <w:sz w:val="20"/>
                <w:szCs w:val="20"/>
                <w:color w:val="auto"/>
              </w:rPr>
            </w:pPr>
            <w:r>
              <w:rPr>
                <w:rFonts w:ascii="Calibri" w:cs="Calibri" w:eastAsia="Calibri" w:hAnsi="Calibri"/>
                <w:sz w:val="15"/>
                <w:szCs w:val="15"/>
                <w:b w:val="1"/>
                <w:bCs w:val="1"/>
                <w:color w:val="FFFFFF"/>
              </w:rPr>
              <w:t>1Q22</w:t>
            </w:r>
          </w:p>
        </w:tc>
        <w:tc>
          <w:tcPr>
            <w:tcW w:w="1380" w:type="dxa"/>
            <w:vAlign w:val="bottom"/>
            <w:tcBorders>
              <w:bottom w:val="single" w:sz="8" w:color="33CCCC"/>
            </w:tcBorders>
            <w:shd w:val="clear" w:color="auto" w:fill="33CCCC"/>
          </w:tcPr>
          <w:p>
            <w:pPr>
              <w:jc w:val="right"/>
              <w:ind w:right="684"/>
              <w:spacing w:after="0"/>
              <w:rPr>
                <w:sz w:val="20"/>
                <w:szCs w:val="20"/>
                <w:color w:val="auto"/>
              </w:rPr>
            </w:pPr>
            <w:r>
              <w:rPr>
                <w:rFonts w:ascii="Calibri" w:cs="Calibri" w:eastAsia="Calibri" w:hAnsi="Calibri"/>
                <w:sz w:val="15"/>
                <w:szCs w:val="15"/>
                <w:b w:val="1"/>
                <w:bCs w:val="1"/>
                <w:color w:val="FFFFFF"/>
              </w:rPr>
              <w:t>4Q22</w:t>
            </w:r>
          </w:p>
        </w:tc>
        <w:tc>
          <w:tcPr>
            <w:tcW w:w="1120" w:type="dxa"/>
            <w:vAlign w:val="bottom"/>
            <w:tcBorders>
              <w:bottom w:val="single" w:sz="8" w:color="33CCCC"/>
              <w:right w:val="single" w:sz="8" w:color="auto"/>
            </w:tcBorders>
            <w:shd w:val="clear" w:color="auto" w:fill="33CCCC"/>
          </w:tcPr>
          <w:p>
            <w:pPr>
              <w:jc w:val="right"/>
              <w:ind w:right="444"/>
              <w:spacing w:after="0"/>
              <w:rPr>
                <w:sz w:val="20"/>
                <w:szCs w:val="20"/>
                <w:color w:val="auto"/>
              </w:rPr>
            </w:pPr>
            <w:r>
              <w:rPr>
                <w:rFonts w:ascii="Calibri" w:cs="Calibri" w:eastAsia="Calibri" w:hAnsi="Calibri"/>
                <w:sz w:val="15"/>
                <w:szCs w:val="15"/>
                <w:b w:val="1"/>
                <w:bCs w:val="1"/>
                <w:color w:val="FFFFFF"/>
              </w:rPr>
              <w:t>1Q23</w:t>
            </w:r>
          </w:p>
        </w:tc>
        <w:tc>
          <w:tcPr>
            <w:tcW w:w="1000" w:type="dxa"/>
            <w:vAlign w:val="bottom"/>
            <w:tcBorders>
              <w:bottom w:val="single" w:sz="8" w:color="33CCCC"/>
            </w:tcBorders>
            <w:shd w:val="clear" w:color="auto" w:fill="33CCCC"/>
          </w:tcPr>
          <w:p>
            <w:pPr>
              <w:ind w:left="360"/>
              <w:spacing w:after="0"/>
              <w:rPr>
                <w:sz w:val="20"/>
                <w:szCs w:val="20"/>
                <w:color w:val="auto"/>
              </w:rPr>
            </w:pPr>
            <w:r>
              <w:rPr>
                <w:rFonts w:ascii="Calibri" w:cs="Calibri" w:eastAsia="Calibri" w:hAnsi="Calibri"/>
                <w:sz w:val="15"/>
                <w:szCs w:val="15"/>
                <w:b w:val="1"/>
                <w:bCs w:val="1"/>
                <w:color w:val="FFFFFF"/>
              </w:rPr>
              <w:t>QoQ</w:t>
            </w:r>
          </w:p>
        </w:tc>
        <w:tc>
          <w:tcPr>
            <w:tcW w:w="1020" w:type="dxa"/>
            <w:vAlign w:val="bottom"/>
            <w:tcBorders>
              <w:bottom w:val="single" w:sz="8" w:color="33CCCC"/>
              <w:right w:val="single" w:sz="8" w:color="auto"/>
            </w:tcBorders>
            <w:shd w:val="clear" w:color="auto" w:fill="33CCCC"/>
          </w:tcPr>
          <w:p>
            <w:pPr>
              <w:ind w:left="380"/>
              <w:spacing w:after="0"/>
              <w:rPr>
                <w:sz w:val="20"/>
                <w:szCs w:val="20"/>
                <w:color w:val="auto"/>
              </w:rPr>
            </w:pPr>
            <w:r>
              <w:rPr>
                <w:rFonts w:ascii="Calibri" w:cs="Calibri" w:eastAsia="Calibri" w:hAnsi="Calibri"/>
                <w:sz w:val="15"/>
                <w:szCs w:val="15"/>
                <w:b w:val="1"/>
                <w:bCs w:val="1"/>
                <w:color w:val="FFFFFF"/>
              </w:rPr>
              <w:t>YoY</w:t>
            </w:r>
          </w:p>
        </w:tc>
      </w:tr>
      <w:tr>
        <w:trPr>
          <w:trHeight w:val="179"/>
        </w:trPr>
        <w:tc>
          <w:tcPr>
            <w:tcW w:w="5200" w:type="dxa"/>
            <w:vAlign w:val="bottom"/>
            <w:tcBorders>
              <w:top w:val="single" w:sz="8" w:color="auto"/>
              <w:left w:val="single" w:sz="8" w:color="auto"/>
              <w:right w:val="single" w:sz="8" w:color="auto"/>
            </w:tcBorders>
          </w:tcPr>
          <w:p>
            <w:pPr>
              <w:ind w:left="40"/>
              <w:spacing w:after="0" w:line="180" w:lineRule="exact"/>
              <w:rPr>
                <w:sz w:val="20"/>
                <w:szCs w:val="20"/>
                <w:color w:val="auto"/>
              </w:rPr>
            </w:pPr>
            <w:r>
              <w:rPr>
                <w:rFonts w:ascii="Calibri" w:cs="Calibri" w:eastAsia="Calibri" w:hAnsi="Calibri"/>
                <w:sz w:val="15"/>
                <w:szCs w:val="15"/>
                <w:b w:val="1"/>
                <w:bCs w:val="1"/>
                <w:color w:val="auto"/>
              </w:rPr>
              <w:t>Interest income and expense</w:t>
            </w:r>
          </w:p>
        </w:tc>
        <w:tc>
          <w:tcPr>
            <w:tcW w:w="15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12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r>
      <w:tr>
        <w:trPr>
          <w:trHeight w:val="197"/>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Interest and similar income</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3,172,346</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4,362,142</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4,456,106</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2.2%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40.5%</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Interest and similar expenses</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(740,639)</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(1,227,364)</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(1,324,017)</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7.9%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78.8%</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b w:val="1"/>
                <w:bCs w:val="1"/>
                <w:color w:val="auto"/>
              </w:rPr>
              <w:t>Net interest, similar income and expenses</w:t>
            </w:r>
          </w:p>
        </w:tc>
        <w:tc>
          <w:tcPr>
            <w:tcW w:w="1560" w:type="dxa"/>
            <w:vAlign w:val="bottom"/>
          </w:tcPr>
          <w:p>
            <w:pPr>
              <w:jc w:val="right"/>
              <w:ind w:right="144"/>
              <w:spacing w:after="0"/>
              <w:rPr>
                <w:sz w:val="20"/>
                <w:szCs w:val="20"/>
                <w:color w:val="auto"/>
              </w:rPr>
            </w:pPr>
            <w:r>
              <w:rPr>
                <w:rFonts w:ascii="Calibri" w:cs="Calibri" w:eastAsia="Calibri" w:hAnsi="Calibri"/>
                <w:sz w:val="15"/>
                <w:szCs w:val="15"/>
                <w:b w:val="1"/>
                <w:bCs w:val="1"/>
                <w:color w:val="auto"/>
              </w:rPr>
              <w:t>2,431,707</w:t>
            </w:r>
          </w:p>
        </w:tc>
        <w:tc>
          <w:tcPr>
            <w:tcW w:w="1380" w:type="dxa"/>
            <w:vAlign w:val="bottom"/>
          </w:tcPr>
          <w:p>
            <w:pPr>
              <w:jc w:val="right"/>
              <w:ind w:right="184"/>
              <w:spacing w:after="0"/>
              <w:rPr>
                <w:sz w:val="20"/>
                <w:szCs w:val="20"/>
                <w:color w:val="auto"/>
              </w:rPr>
            </w:pPr>
            <w:r>
              <w:rPr>
                <w:rFonts w:ascii="Calibri" w:cs="Calibri" w:eastAsia="Calibri" w:hAnsi="Calibri"/>
                <w:sz w:val="15"/>
                <w:szCs w:val="15"/>
                <w:b w:val="1"/>
                <w:bCs w:val="1"/>
                <w:color w:val="auto"/>
              </w:rPr>
              <w:t>3,134,778</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3,132,089</w:t>
            </w:r>
          </w:p>
        </w:tc>
        <w:tc>
          <w:tcPr>
            <w:tcW w:w="1000" w:type="dxa"/>
            <w:vAlign w:val="bottom"/>
          </w:tcPr>
          <w:p>
            <w:pPr>
              <w:jc w:val="center"/>
              <w:spacing w:after="0"/>
              <w:rPr>
                <w:sz w:val="20"/>
                <w:szCs w:val="20"/>
                <w:color w:val="auto"/>
              </w:rPr>
            </w:pPr>
            <w:r>
              <w:rPr>
                <w:rFonts w:ascii="Calibri" w:cs="Calibri" w:eastAsia="Calibri" w:hAnsi="Calibri"/>
                <w:sz w:val="15"/>
                <w:szCs w:val="15"/>
                <w:b w:val="1"/>
                <w:bCs w:val="1"/>
                <w:color w:val="auto"/>
              </w:rPr>
              <w:t>-0.1%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rPr>
              <w:t>28.8%</w:t>
            </w:r>
          </w:p>
        </w:tc>
      </w:tr>
      <w:tr>
        <w:trPr>
          <w:trHeight w:val="386"/>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Gross provision for credit losses on loan portolio</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(350,681)</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(815,589)</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(802,107)</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8"/>
              </w:rPr>
              <w:t>-1.7%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128.7%</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Recoveries of writen-of loans</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93,091</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84,908</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75,109</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5"/>
              </w:rPr>
              <w:t>-11.5%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-19.3%</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Provision for credit losses on loan portolio, net of recoveries</w:t>
            </w:r>
          </w:p>
        </w:tc>
        <w:tc>
          <w:tcPr>
            <w:tcW w:w="1560" w:type="dxa"/>
            <w:vAlign w:val="bottom"/>
          </w:tcPr>
          <w:p>
            <w:pPr>
              <w:jc w:val="right"/>
              <w:ind w:right="144"/>
              <w:spacing w:after="0"/>
              <w:rPr>
                <w:sz w:val="20"/>
                <w:szCs w:val="20"/>
                <w:color w:val="auto"/>
              </w:rPr>
            </w:pPr>
            <w:r>
              <w:rPr>
                <w:rFonts w:ascii="Calibri" w:cs="Calibri" w:eastAsia="Calibri" w:hAnsi="Calibri"/>
                <w:sz w:val="15"/>
                <w:szCs w:val="15"/>
                <w:b w:val="1"/>
                <w:bCs w:val="1"/>
                <w:color w:val="auto"/>
              </w:rPr>
              <w:t>(257,590)</w:t>
            </w:r>
          </w:p>
        </w:tc>
        <w:tc>
          <w:tcPr>
            <w:tcW w:w="1380" w:type="dxa"/>
            <w:vAlign w:val="bottom"/>
          </w:tcPr>
          <w:p>
            <w:pPr>
              <w:jc w:val="right"/>
              <w:ind w:right="184"/>
              <w:spacing w:after="0"/>
              <w:rPr>
                <w:sz w:val="20"/>
                <w:szCs w:val="20"/>
                <w:color w:val="auto"/>
              </w:rPr>
            </w:pPr>
            <w:r>
              <w:rPr>
                <w:rFonts w:ascii="Calibri" w:cs="Calibri" w:eastAsia="Calibri" w:hAnsi="Calibri"/>
                <w:sz w:val="15"/>
                <w:szCs w:val="15"/>
                <w:b w:val="1"/>
                <w:bCs w:val="1"/>
                <w:color w:val="auto"/>
              </w:rPr>
              <w:t>(730,681)</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(726,998)</w:t>
            </w:r>
          </w:p>
        </w:tc>
        <w:tc>
          <w:tcPr>
            <w:tcW w:w="1000" w:type="dxa"/>
            <w:vAlign w:val="bottom"/>
          </w:tcPr>
          <w:p>
            <w:pPr>
              <w:jc w:val="center"/>
              <w:spacing w:after="0"/>
              <w:rPr>
                <w:sz w:val="20"/>
                <w:szCs w:val="20"/>
                <w:color w:val="auto"/>
              </w:rPr>
            </w:pPr>
            <w:r>
              <w:rPr>
                <w:rFonts w:ascii="Calibri" w:cs="Calibri" w:eastAsia="Calibri" w:hAnsi="Calibri"/>
                <w:sz w:val="15"/>
                <w:szCs w:val="15"/>
                <w:b w:val="1"/>
                <w:bCs w:val="1"/>
                <w:color w:val="auto"/>
              </w:rPr>
              <w:t>-0.5%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6"/>
              </w:rPr>
              <w:t>182.2%</w:t>
            </w:r>
          </w:p>
        </w:tc>
      </w:tr>
      <w:tr>
        <w:trPr>
          <w:trHeight w:val="204"/>
        </w:trPr>
        <w:tc>
          <w:tcPr>
            <w:tcW w:w="5200" w:type="dxa"/>
            <w:vAlign w:val="bottom"/>
            <w:tcBorders>
              <w:left w:val="single" w:sz="8" w:color="auto"/>
              <w:right w:val="single" w:sz="8" w:color="auto"/>
            </w:tcBorders>
          </w:tcPr>
          <w:p>
            <w:pPr>
              <w:spacing w:after="0"/>
              <w:rPr>
                <w:sz w:val="17"/>
                <w:szCs w:val="17"/>
                <w:color w:val="auto"/>
              </w:rPr>
            </w:pPr>
          </w:p>
        </w:tc>
        <w:tc>
          <w:tcPr>
            <w:tcW w:w="1560" w:type="dxa"/>
            <w:vAlign w:val="bottom"/>
          </w:tcPr>
          <w:p>
            <w:pPr>
              <w:jc w:val="right"/>
              <w:ind w:right="144"/>
              <w:spacing w:after="0"/>
              <w:rPr>
                <w:sz w:val="20"/>
                <w:szCs w:val="20"/>
                <w:color w:val="auto"/>
              </w:rPr>
            </w:pPr>
            <w:r>
              <w:rPr>
                <w:rFonts w:ascii="Calibri" w:cs="Calibri" w:eastAsia="Calibri" w:hAnsi="Calibri"/>
                <w:sz w:val="15"/>
                <w:szCs w:val="15"/>
                <w:b w:val="1"/>
                <w:bCs w:val="1"/>
                <w:color w:val="auto"/>
              </w:rPr>
              <w:t>-</w:t>
            </w:r>
          </w:p>
        </w:tc>
        <w:tc>
          <w:tcPr>
            <w:tcW w:w="1380" w:type="dxa"/>
            <w:vAlign w:val="bottom"/>
          </w:tcPr>
          <w:p>
            <w:pPr>
              <w:jc w:val="right"/>
              <w:ind w:right="184"/>
              <w:spacing w:after="0"/>
              <w:rPr>
                <w:sz w:val="20"/>
                <w:szCs w:val="20"/>
                <w:color w:val="auto"/>
              </w:rPr>
            </w:pPr>
            <w:r>
              <w:rPr>
                <w:rFonts w:ascii="Calibri" w:cs="Calibri" w:eastAsia="Calibri" w:hAnsi="Calibri"/>
                <w:sz w:val="15"/>
                <w:szCs w:val="15"/>
                <w:b w:val="1"/>
                <w:bCs w:val="1"/>
                <w:color w:val="auto"/>
              </w:rPr>
              <w:t>-</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w:t>
            </w:r>
          </w:p>
        </w:tc>
        <w:tc>
          <w:tcPr>
            <w:tcW w:w="10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Net interest, similar income and expenses, afer provision for credit losses on loan</w:t>
            </w:r>
          </w:p>
        </w:tc>
        <w:tc>
          <w:tcPr>
            <w:tcW w:w="1560" w:type="dxa"/>
            <w:vAlign w:val="bottom"/>
          </w:tcPr>
          <w:p>
            <w:pPr>
              <w:jc w:val="right"/>
              <w:ind w:right="144"/>
              <w:spacing w:after="0"/>
              <w:rPr>
                <w:sz w:val="20"/>
                <w:szCs w:val="20"/>
                <w:color w:val="auto"/>
              </w:rPr>
            </w:pPr>
            <w:r>
              <w:rPr>
                <w:rFonts w:ascii="Calibri" w:cs="Calibri" w:eastAsia="Calibri" w:hAnsi="Calibri"/>
                <w:sz w:val="15"/>
                <w:szCs w:val="15"/>
                <w:b w:val="1"/>
                <w:bCs w:val="1"/>
                <w:color w:val="auto"/>
              </w:rPr>
              <w:t>2,174,117</w:t>
            </w:r>
          </w:p>
        </w:tc>
        <w:tc>
          <w:tcPr>
            <w:tcW w:w="1380" w:type="dxa"/>
            <w:vAlign w:val="bottom"/>
          </w:tcPr>
          <w:p>
            <w:pPr>
              <w:jc w:val="right"/>
              <w:ind w:right="184"/>
              <w:spacing w:after="0"/>
              <w:rPr>
                <w:sz w:val="20"/>
                <w:szCs w:val="20"/>
                <w:color w:val="auto"/>
              </w:rPr>
            </w:pPr>
            <w:r>
              <w:rPr>
                <w:rFonts w:ascii="Calibri" w:cs="Calibri" w:eastAsia="Calibri" w:hAnsi="Calibri"/>
                <w:sz w:val="15"/>
                <w:szCs w:val="15"/>
                <w:b w:val="1"/>
                <w:bCs w:val="1"/>
                <w:color w:val="auto"/>
              </w:rPr>
              <w:t>2,404,097</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2,405,091</w:t>
            </w:r>
          </w:p>
        </w:tc>
        <w:tc>
          <w:tcPr>
            <w:tcW w:w="1000" w:type="dxa"/>
            <w:vAlign w:val="bottom"/>
          </w:tcPr>
          <w:p>
            <w:pPr>
              <w:jc w:val="center"/>
              <w:spacing w:after="0"/>
              <w:rPr>
                <w:sz w:val="20"/>
                <w:szCs w:val="20"/>
                <w:color w:val="auto"/>
              </w:rPr>
            </w:pPr>
            <w:r>
              <w:rPr>
                <w:rFonts w:ascii="Calibri" w:cs="Calibri" w:eastAsia="Calibri" w:hAnsi="Calibri"/>
                <w:sz w:val="15"/>
                <w:szCs w:val="15"/>
                <w:b w:val="1"/>
                <w:bCs w:val="1"/>
                <w:color w:val="auto"/>
                <w:w w:val="99"/>
              </w:rPr>
              <w:t>0.0%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rPr>
              <w:t>10.6%</w:t>
            </w:r>
          </w:p>
        </w:tc>
      </w:tr>
      <w:tr>
        <w:trPr>
          <w:trHeight w:val="182"/>
        </w:trPr>
        <w:tc>
          <w:tcPr>
            <w:tcW w:w="5200" w:type="dxa"/>
            <w:vAlign w:val="bottom"/>
            <w:tcBorders>
              <w:left w:val="single" w:sz="8" w:color="auto"/>
              <w:right w:val="single" w:sz="8" w:color="auto"/>
            </w:tcBorders>
          </w:tcPr>
          <w:p>
            <w:pPr>
              <w:ind w:left="160"/>
              <w:spacing w:after="0" w:line="181" w:lineRule="exact"/>
              <w:rPr>
                <w:sz w:val="20"/>
                <w:szCs w:val="20"/>
                <w:color w:val="auto"/>
              </w:rPr>
            </w:pPr>
            <w:r>
              <w:rPr>
                <w:rFonts w:ascii="Calibri" w:cs="Calibri" w:eastAsia="Calibri" w:hAnsi="Calibri"/>
                <w:sz w:val="15"/>
                <w:szCs w:val="15"/>
                <w:b w:val="1"/>
                <w:bCs w:val="1"/>
                <w:color w:val="auto"/>
              </w:rPr>
              <w:t>portolio</w:t>
            </w:r>
          </w:p>
        </w:tc>
        <w:tc>
          <w:tcPr>
            <w:tcW w:w="1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r>
      <w:tr>
        <w:trPr>
          <w:trHeight w:val="386"/>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Other income</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Fee income</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891,628</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894,552</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881,781</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8"/>
              </w:rPr>
              <w:t>-1.4%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8"/>
              </w:rPr>
              <w:t>-1.1%</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Net gain on foreign exchange transactons</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259,710</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293,215</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248,515</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5"/>
              </w:rPr>
              <w:t>-15.2%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8"/>
              </w:rPr>
              <w:t>-4.3%</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Net loss on securites</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(56,866)</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77,512</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70,036</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8"/>
              </w:rPr>
              <w:t>-9.6%</w:t>
            </w:r>
          </w:p>
        </w:tc>
        <w:tc>
          <w:tcPr>
            <w:tcW w:w="1020" w:type="dxa"/>
            <w:vAlign w:val="bottom"/>
            <w:tcBorders>
              <w:right w:val="single" w:sz="8" w:color="auto"/>
            </w:tcBorders>
          </w:tcPr>
          <w:p>
            <w:pPr>
              <w:ind w:left="400"/>
              <w:spacing w:after="0"/>
              <w:rPr>
                <w:sz w:val="20"/>
                <w:szCs w:val="20"/>
                <w:color w:val="auto"/>
              </w:rPr>
            </w:pPr>
            <w:r>
              <w:rPr>
                <w:rFonts w:ascii="Calibri" w:cs="Calibri" w:eastAsia="Calibri" w:hAnsi="Calibri"/>
                <w:sz w:val="15"/>
                <w:szCs w:val="15"/>
                <w:color w:val="auto"/>
              </w:rPr>
              <w:t>n.a</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Net gain from associates</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24,014</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25,422</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27,212</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7.0%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13.3%</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Net gain (loss) on derivatves held for trading</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(5,982)</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5,857</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(6,570)</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6"/>
              </w:rPr>
              <w:t>-212.2%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9.8%</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Net gain (loss) from exchange diferences</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(8,363)</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22,039</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22,963</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4.2%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-374.6%</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Others</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135,257</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19,630</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84,127</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7"/>
              </w:rPr>
              <w:t>328.6%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-37.8%</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b w:val="1"/>
                <w:bCs w:val="1"/>
                <w:color w:val="auto"/>
              </w:rPr>
              <w:t>Total non-fnancial income</w:t>
            </w:r>
          </w:p>
        </w:tc>
        <w:tc>
          <w:tcPr>
            <w:tcW w:w="1560" w:type="dxa"/>
            <w:vAlign w:val="bottom"/>
          </w:tcPr>
          <w:p>
            <w:pPr>
              <w:jc w:val="right"/>
              <w:ind w:right="144"/>
              <w:spacing w:after="0"/>
              <w:rPr>
                <w:sz w:val="20"/>
                <w:szCs w:val="20"/>
                <w:color w:val="auto"/>
              </w:rPr>
            </w:pPr>
            <w:r>
              <w:rPr>
                <w:rFonts w:ascii="Calibri" w:cs="Calibri" w:eastAsia="Calibri" w:hAnsi="Calibri"/>
                <w:sz w:val="15"/>
                <w:szCs w:val="15"/>
                <w:b w:val="1"/>
                <w:bCs w:val="1"/>
                <w:color w:val="auto"/>
              </w:rPr>
              <w:t>1,239,398</w:t>
            </w:r>
          </w:p>
        </w:tc>
        <w:tc>
          <w:tcPr>
            <w:tcW w:w="1380" w:type="dxa"/>
            <w:vAlign w:val="bottom"/>
          </w:tcPr>
          <w:p>
            <w:pPr>
              <w:jc w:val="right"/>
              <w:ind w:right="184"/>
              <w:spacing w:after="0"/>
              <w:rPr>
                <w:sz w:val="20"/>
                <w:szCs w:val="20"/>
                <w:color w:val="auto"/>
              </w:rPr>
            </w:pPr>
            <w:r>
              <w:rPr>
                <w:rFonts w:ascii="Calibri" w:cs="Calibri" w:eastAsia="Calibri" w:hAnsi="Calibri"/>
                <w:sz w:val="15"/>
                <w:szCs w:val="15"/>
                <w:b w:val="1"/>
                <w:bCs w:val="1"/>
                <w:color w:val="auto"/>
              </w:rPr>
              <w:t>1,338,227</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1,328,064</w:t>
            </w:r>
          </w:p>
        </w:tc>
        <w:tc>
          <w:tcPr>
            <w:tcW w:w="1000" w:type="dxa"/>
            <w:vAlign w:val="bottom"/>
          </w:tcPr>
          <w:p>
            <w:pPr>
              <w:jc w:val="center"/>
              <w:spacing w:after="0"/>
              <w:rPr>
                <w:sz w:val="20"/>
                <w:szCs w:val="20"/>
                <w:color w:val="auto"/>
              </w:rPr>
            </w:pPr>
            <w:r>
              <w:rPr>
                <w:rFonts w:ascii="Calibri" w:cs="Calibri" w:eastAsia="Calibri" w:hAnsi="Calibri"/>
                <w:sz w:val="15"/>
                <w:szCs w:val="15"/>
                <w:b w:val="1"/>
                <w:bCs w:val="1"/>
                <w:color w:val="auto"/>
              </w:rPr>
              <w:t>-0.8%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9"/>
              </w:rPr>
              <w:t>7.2%</w:t>
            </w:r>
          </w:p>
        </w:tc>
      </w:tr>
      <w:tr>
        <w:trPr>
          <w:trHeight w:val="386"/>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Insurance underwritng result</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Insurance Service Result</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309,258</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331,030</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406,877</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6"/>
              </w:rPr>
              <w:t>22.9%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31.6%</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Reinsurance Result</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(102,591)</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(119,436)</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(110,536)</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8"/>
              </w:rPr>
              <w:t>-7.5%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7.7%</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b w:val="1"/>
                <w:bCs w:val="1"/>
                <w:color w:val="auto"/>
              </w:rPr>
              <w:t>Total insurance underwritng result</w:t>
            </w:r>
          </w:p>
        </w:tc>
        <w:tc>
          <w:tcPr>
            <w:tcW w:w="1560" w:type="dxa"/>
            <w:vAlign w:val="bottom"/>
          </w:tcPr>
          <w:p>
            <w:pPr>
              <w:jc w:val="right"/>
              <w:ind w:right="144"/>
              <w:spacing w:after="0"/>
              <w:rPr>
                <w:sz w:val="20"/>
                <w:szCs w:val="20"/>
                <w:color w:val="auto"/>
              </w:rPr>
            </w:pPr>
            <w:r>
              <w:rPr>
                <w:rFonts w:ascii="Calibri" w:cs="Calibri" w:eastAsia="Calibri" w:hAnsi="Calibri"/>
                <w:sz w:val="15"/>
                <w:szCs w:val="15"/>
                <w:b w:val="1"/>
                <w:bCs w:val="1"/>
                <w:color w:val="auto"/>
              </w:rPr>
              <w:t>206,667</w:t>
            </w:r>
          </w:p>
        </w:tc>
        <w:tc>
          <w:tcPr>
            <w:tcW w:w="1380" w:type="dxa"/>
            <w:vAlign w:val="bottom"/>
          </w:tcPr>
          <w:p>
            <w:pPr>
              <w:jc w:val="right"/>
              <w:ind w:right="184"/>
              <w:spacing w:after="0"/>
              <w:rPr>
                <w:sz w:val="20"/>
                <w:szCs w:val="20"/>
                <w:color w:val="auto"/>
              </w:rPr>
            </w:pPr>
            <w:r>
              <w:rPr>
                <w:rFonts w:ascii="Calibri" w:cs="Calibri" w:eastAsia="Calibri" w:hAnsi="Calibri"/>
                <w:sz w:val="15"/>
                <w:szCs w:val="15"/>
                <w:b w:val="1"/>
                <w:bCs w:val="1"/>
                <w:color w:val="auto"/>
              </w:rPr>
              <w:t>211,594</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296,341</w:t>
            </w:r>
          </w:p>
        </w:tc>
        <w:tc>
          <w:tcPr>
            <w:tcW w:w="1000" w:type="dxa"/>
            <w:vAlign w:val="bottom"/>
          </w:tcPr>
          <w:p>
            <w:pPr>
              <w:jc w:val="center"/>
              <w:spacing w:after="0"/>
              <w:rPr>
                <w:sz w:val="20"/>
                <w:szCs w:val="20"/>
                <w:color w:val="auto"/>
              </w:rPr>
            </w:pPr>
            <w:r>
              <w:rPr>
                <w:rFonts w:ascii="Calibri" w:cs="Calibri" w:eastAsia="Calibri" w:hAnsi="Calibri"/>
                <w:sz w:val="15"/>
                <w:szCs w:val="15"/>
                <w:b w:val="1"/>
                <w:bCs w:val="1"/>
                <w:color w:val="auto"/>
                <w:w w:val="95"/>
              </w:rPr>
              <w:t>40.1%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rPr>
              <w:t>43.4%</w:t>
            </w:r>
          </w:p>
        </w:tc>
      </w:tr>
      <w:tr>
        <w:trPr>
          <w:trHeight w:val="386"/>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Total expenses</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Salaries and employee benefts</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(939,518)</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(1,040,066)</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(1,029,558)</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8"/>
              </w:rPr>
              <w:t>-1.0%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9.6%</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Administratve, general and tax expenses</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(696,065)</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(1,042,882)</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(835,060)</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5"/>
              </w:rPr>
              <w:t>-19.9%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20.0%</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Depreciaton and amortzaton</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(151,894)</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(165,180)</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(160,924)</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8"/>
              </w:rPr>
              <w:t>-2.6%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5.9%</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Associaton in partcipaton</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(7,691)</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(12,936)</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(12,612)</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8"/>
              </w:rPr>
              <w:t>-2.5%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64.0%</w:t>
            </w:r>
          </w:p>
        </w:tc>
      </w:tr>
      <w:tr>
        <w:trPr>
          <w:trHeight w:val="204"/>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Other expenses</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(79,351)</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(137,891)</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(83,543)</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5"/>
              </w:rPr>
              <w:t>-39.4%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5.3%</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Total expenses</w:t>
            </w:r>
          </w:p>
        </w:tc>
        <w:tc>
          <w:tcPr>
            <w:tcW w:w="1560" w:type="dxa"/>
            <w:vAlign w:val="bottom"/>
          </w:tcPr>
          <w:p>
            <w:pPr>
              <w:jc w:val="right"/>
              <w:ind w:right="144"/>
              <w:spacing w:after="0"/>
              <w:rPr>
                <w:sz w:val="20"/>
                <w:szCs w:val="20"/>
                <w:color w:val="auto"/>
              </w:rPr>
            </w:pPr>
            <w:r>
              <w:rPr>
                <w:rFonts w:ascii="Calibri" w:cs="Calibri" w:eastAsia="Calibri" w:hAnsi="Calibri"/>
                <w:sz w:val="15"/>
                <w:szCs w:val="15"/>
                <w:b w:val="1"/>
                <w:bCs w:val="1"/>
                <w:color w:val="auto"/>
              </w:rPr>
              <w:t>(1,874,519)</w:t>
            </w:r>
          </w:p>
        </w:tc>
        <w:tc>
          <w:tcPr>
            <w:tcW w:w="1380" w:type="dxa"/>
            <w:vAlign w:val="bottom"/>
          </w:tcPr>
          <w:p>
            <w:pPr>
              <w:jc w:val="right"/>
              <w:ind w:right="184"/>
              <w:spacing w:after="0"/>
              <w:rPr>
                <w:sz w:val="20"/>
                <w:szCs w:val="20"/>
                <w:color w:val="auto"/>
              </w:rPr>
            </w:pPr>
            <w:r>
              <w:rPr>
                <w:rFonts w:ascii="Calibri" w:cs="Calibri" w:eastAsia="Calibri" w:hAnsi="Calibri"/>
                <w:sz w:val="15"/>
                <w:szCs w:val="15"/>
                <w:b w:val="1"/>
                <w:bCs w:val="1"/>
                <w:color w:val="auto"/>
              </w:rPr>
              <w:t>(2,398,955)</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(2,121,697)</w:t>
            </w:r>
          </w:p>
        </w:tc>
        <w:tc>
          <w:tcPr>
            <w:tcW w:w="1000" w:type="dxa"/>
            <w:vAlign w:val="bottom"/>
          </w:tcPr>
          <w:p>
            <w:pPr>
              <w:jc w:val="center"/>
              <w:spacing w:after="0"/>
              <w:rPr>
                <w:sz w:val="20"/>
                <w:szCs w:val="20"/>
                <w:color w:val="auto"/>
              </w:rPr>
            </w:pPr>
            <w:r>
              <w:rPr>
                <w:rFonts w:ascii="Calibri" w:cs="Calibri" w:eastAsia="Calibri" w:hAnsi="Calibri"/>
                <w:sz w:val="15"/>
                <w:szCs w:val="15"/>
                <w:b w:val="1"/>
                <w:bCs w:val="1"/>
                <w:color w:val="auto"/>
                <w:w w:val="99"/>
              </w:rPr>
              <w:t>-11.6%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rPr>
              <w:t>13.2%</w:t>
            </w:r>
          </w:p>
        </w:tc>
      </w:tr>
      <w:tr>
        <w:trPr>
          <w:trHeight w:val="386"/>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Proft before income tax</w:t>
            </w:r>
          </w:p>
        </w:tc>
        <w:tc>
          <w:tcPr>
            <w:tcW w:w="1560" w:type="dxa"/>
            <w:vAlign w:val="bottom"/>
          </w:tcPr>
          <w:p>
            <w:pPr>
              <w:jc w:val="right"/>
              <w:ind w:right="144"/>
              <w:spacing w:after="0"/>
              <w:rPr>
                <w:sz w:val="20"/>
                <w:szCs w:val="20"/>
                <w:color w:val="auto"/>
              </w:rPr>
            </w:pPr>
            <w:r>
              <w:rPr>
                <w:rFonts w:ascii="Calibri" w:cs="Calibri" w:eastAsia="Calibri" w:hAnsi="Calibri"/>
                <w:sz w:val="15"/>
                <w:szCs w:val="15"/>
                <w:b w:val="1"/>
                <w:bCs w:val="1"/>
                <w:color w:val="auto"/>
              </w:rPr>
              <w:t>1,745,663</w:t>
            </w:r>
          </w:p>
        </w:tc>
        <w:tc>
          <w:tcPr>
            <w:tcW w:w="1380" w:type="dxa"/>
            <w:vAlign w:val="bottom"/>
          </w:tcPr>
          <w:p>
            <w:pPr>
              <w:jc w:val="right"/>
              <w:ind w:right="184"/>
              <w:spacing w:after="0"/>
              <w:rPr>
                <w:sz w:val="20"/>
                <w:szCs w:val="20"/>
                <w:color w:val="auto"/>
              </w:rPr>
            </w:pPr>
            <w:r>
              <w:rPr>
                <w:rFonts w:ascii="Calibri" w:cs="Calibri" w:eastAsia="Calibri" w:hAnsi="Calibri"/>
                <w:sz w:val="15"/>
                <w:szCs w:val="15"/>
                <w:b w:val="1"/>
                <w:bCs w:val="1"/>
                <w:color w:val="auto"/>
              </w:rPr>
              <w:t>1,554,963</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1,907,799</w:t>
            </w:r>
          </w:p>
        </w:tc>
        <w:tc>
          <w:tcPr>
            <w:tcW w:w="1000" w:type="dxa"/>
            <w:vAlign w:val="bottom"/>
          </w:tcPr>
          <w:p>
            <w:pPr>
              <w:jc w:val="center"/>
              <w:spacing w:after="0"/>
              <w:rPr>
                <w:sz w:val="20"/>
                <w:szCs w:val="20"/>
                <w:color w:val="auto"/>
              </w:rPr>
            </w:pPr>
            <w:r>
              <w:rPr>
                <w:rFonts w:ascii="Calibri" w:cs="Calibri" w:eastAsia="Calibri" w:hAnsi="Calibri"/>
                <w:sz w:val="15"/>
                <w:szCs w:val="15"/>
                <w:b w:val="1"/>
                <w:bCs w:val="1"/>
                <w:color w:val="auto"/>
                <w:w w:val="95"/>
              </w:rPr>
              <w:t>22.7%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9"/>
              </w:rPr>
              <w:t>9.3%</w:t>
            </w:r>
          </w:p>
        </w:tc>
      </w:tr>
      <w:tr>
        <w:trPr>
          <w:trHeight w:val="386"/>
        </w:trPr>
        <w:tc>
          <w:tcPr>
            <w:tcW w:w="520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Income tax</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(546,000)</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(476,236)</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(493,466)</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3.6%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8"/>
              </w:rPr>
              <w:t>-9.6%</w:t>
            </w:r>
          </w:p>
        </w:tc>
      </w:tr>
      <w:tr>
        <w:trPr>
          <w:trHeight w:val="386"/>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Net proft</w:t>
            </w:r>
          </w:p>
        </w:tc>
        <w:tc>
          <w:tcPr>
            <w:tcW w:w="1560" w:type="dxa"/>
            <w:vAlign w:val="bottom"/>
          </w:tcPr>
          <w:p>
            <w:pPr>
              <w:jc w:val="right"/>
              <w:ind w:right="144"/>
              <w:spacing w:after="0"/>
              <w:rPr>
                <w:sz w:val="20"/>
                <w:szCs w:val="20"/>
                <w:color w:val="auto"/>
              </w:rPr>
            </w:pPr>
            <w:r>
              <w:rPr>
                <w:rFonts w:ascii="Calibri" w:cs="Calibri" w:eastAsia="Calibri" w:hAnsi="Calibri"/>
                <w:sz w:val="15"/>
                <w:szCs w:val="15"/>
                <w:b w:val="1"/>
                <w:bCs w:val="1"/>
                <w:color w:val="auto"/>
              </w:rPr>
              <w:t>1,199,663</w:t>
            </w:r>
          </w:p>
        </w:tc>
        <w:tc>
          <w:tcPr>
            <w:tcW w:w="1380" w:type="dxa"/>
            <w:vAlign w:val="bottom"/>
          </w:tcPr>
          <w:p>
            <w:pPr>
              <w:jc w:val="right"/>
              <w:ind w:right="184"/>
              <w:spacing w:after="0"/>
              <w:rPr>
                <w:sz w:val="20"/>
                <w:szCs w:val="20"/>
                <w:color w:val="auto"/>
              </w:rPr>
            </w:pPr>
            <w:r>
              <w:rPr>
                <w:rFonts w:ascii="Calibri" w:cs="Calibri" w:eastAsia="Calibri" w:hAnsi="Calibri"/>
                <w:sz w:val="15"/>
                <w:szCs w:val="15"/>
                <w:b w:val="1"/>
                <w:bCs w:val="1"/>
                <w:color w:val="auto"/>
              </w:rPr>
              <w:t>1,078,727</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1,414,333</w:t>
            </w:r>
          </w:p>
        </w:tc>
        <w:tc>
          <w:tcPr>
            <w:tcW w:w="1000" w:type="dxa"/>
            <w:vAlign w:val="bottom"/>
          </w:tcPr>
          <w:p>
            <w:pPr>
              <w:jc w:val="center"/>
              <w:spacing w:after="0"/>
              <w:rPr>
                <w:sz w:val="20"/>
                <w:szCs w:val="20"/>
                <w:color w:val="auto"/>
              </w:rPr>
            </w:pPr>
            <w:r>
              <w:rPr>
                <w:rFonts w:ascii="Calibri" w:cs="Calibri" w:eastAsia="Calibri" w:hAnsi="Calibri"/>
                <w:sz w:val="15"/>
                <w:szCs w:val="15"/>
                <w:b w:val="1"/>
                <w:bCs w:val="1"/>
                <w:color w:val="auto"/>
                <w:w w:val="95"/>
              </w:rPr>
              <w:t>31.1%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rPr>
              <w:t>17.9%</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color w:val="auto"/>
              </w:rPr>
              <w:t>Non-controlling interest</w:t>
            </w:r>
          </w:p>
        </w:tc>
        <w:tc>
          <w:tcPr>
            <w:tcW w:w="1560" w:type="dxa"/>
            <w:vAlign w:val="bottom"/>
          </w:tcPr>
          <w:p>
            <w:pPr>
              <w:jc w:val="right"/>
              <w:ind w:right="144"/>
              <w:spacing w:after="0"/>
              <w:rPr>
                <w:sz w:val="20"/>
                <w:szCs w:val="20"/>
                <w:color w:val="auto"/>
              </w:rPr>
            </w:pPr>
            <w:r>
              <w:rPr>
                <w:rFonts w:ascii="Calibri" w:cs="Calibri" w:eastAsia="Calibri" w:hAnsi="Calibri"/>
                <w:sz w:val="15"/>
                <w:szCs w:val="15"/>
                <w:color w:val="auto"/>
              </w:rPr>
              <w:t>27,786</w:t>
            </w:r>
          </w:p>
        </w:tc>
        <w:tc>
          <w:tcPr>
            <w:tcW w:w="1380" w:type="dxa"/>
            <w:vAlign w:val="bottom"/>
          </w:tcPr>
          <w:p>
            <w:pPr>
              <w:jc w:val="right"/>
              <w:ind w:right="184"/>
              <w:spacing w:after="0"/>
              <w:rPr>
                <w:sz w:val="20"/>
                <w:szCs w:val="20"/>
                <w:color w:val="auto"/>
              </w:rPr>
            </w:pPr>
            <w:r>
              <w:rPr>
                <w:rFonts w:ascii="Calibri" w:cs="Calibri" w:eastAsia="Calibri" w:hAnsi="Calibri"/>
                <w:sz w:val="15"/>
                <w:szCs w:val="15"/>
                <w:color w:val="auto"/>
              </w:rPr>
              <w:t>24,231</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30,060</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6"/>
              </w:rPr>
              <w:t>24.1%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8.2%</w:t>
            </w:r>
          </w:p>
        </w:tc>
      </w:tr>
      <w:tr>
        <w:trPr>
          <w:trHeight w:val="204"/>
        </w:trPr>
        <w:tc>
          <w:tcPr>
            <w:tcW w:w="520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5"/>
                <w:szCs w:val="15"/>
                <w:b w:val="1"/>
                <w:bCs w:val="1"/>
                <w:color w:val="auto"/>
              </w:rPr>
              <w:t>Net proft atributable to Credicorp</w:t>
            </w:r>
          </w:p>
        </w:tc>
        <w:tc>
          <w:tcPr>
            <w:tcW w:w="1560" w:type="dxa"/>
            <w:vAlign w:val="bottom"/>
          </w:tcPr>
          <w:p>
            <w:pPr>
              <w:jc w:val="right"/>
              <w:ind w:right="144"/>
              <w:spacing w:after="0"/>
              <w:rPr>
                <w:sz w:val="20"/>
                <w:szCs w:val="20"/>
                <w:color w:val="auto"/>
              </w:rPr>
            </w:pPr>
            <w:r>
              <w:rPr>
                <w:rFonts w:ascii="Calibri" w:cs="Calibri" w:eastAsia="Calibri" w:hAnsi="Calibri"/>
                <w:sz w:val="15"/>
                <w:szCs w:val="15"/>
                <w:b w:val="1"/>
                <w:bCs w:val="1"/>
                <w:color w:val="auto"/>
              </w:rPr>
              <w:t>1,171,877</w:t>
            </w:r>
          </w:p>
        </w:tc>
        <w:tc>
          <w:tcPr>
            <w:tcW w:w="1380" w:type="dxa"/>
            <w:vAlign w:val="bottom"/>
          </w:tcPr>
          <w:p>
            <w:pPr>
              <w:jc w:val="right"/>
              <w:ind w:right="184"/>
              <w:spacing w:after="0"/>
              <w:rPr>
                <w:sz w:val="20"/>
                <w:szCs w:val="20"/>
                <w:color w:val="auto"/>
              </w:rPr>
            </w:pPr>
            <w:r>
              <w:rPr>
                <w:rFonts w:ascii="Calibri" w:cs="Calibri" w:eastAsia="Calibri" w:hAnsi="Calibri"/>
                <w:sz w:val="15"/>
                <w:szCs w:val="15"/>
                <w:b w:val="1"/>
                <w:bCs w:val="1"/>
                <w:color w:val="auto"/>
              </w:rPr>
              <w:t>1,054,496</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1,384,273</w:t>
            </w:r>
          </w:p>
        </w:tc>
        <w:tc>
          <w:tcPr>
            <w:tcW w:w="1000" w:type="dxa"/>
            <w:vAlign w:val="bottom"/>
          </w:tcPr>
          <w:p>
            <w:pPr>
              <w:jc w:val="center"/>
              <w:spacing w:after="0"/>
              <w:rPr>
                <w:sz w:val="20"/>
                <w:szCs w:val="20"/>
                <w:color w:val="auto"/>
              </w:rPr>
            </w:pPr>
            <w:r>
              <w:rPr>
                <w:rFonts w:ascii="Calibri" w:cs="Calibri" w:eastAsia="Calibri" w:hAnsi="Calibri"/>
                <w:sz w:val="15"/>
                <w:szCs w:val="15"/>
                <w:b w:val="1"/>
                <w:bCs w:val="1"/>
                <w:color w:val="auto"/>
                <w:w w:val="95"/>
              </w:rPr>
              <w:t>31.3%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rPr>
              <w:t>18.1%</w:t>
            </w:r>
          </w:p>
        </w:tc>
      </w:tr>
      <w:tr>
        <w:trPr>
          <w:trHeight w:val="35"/>
        </w:trPr>
        <w:tc>
          <w:tcPr>
            <w:tcW w:w="5200" w:type="dxa"/>
            <w:vAlign w:val="bottom"/>
            <w:tcBorders>
              <w:left w:val="single" w:sz="8" w:color="auto"/>
              <w:bottom w:val="single" w:sz="8" w:color="auto"/>
              <w:right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r>
    </w:tbl>
    <w:p>
      <w:pPr>
        <w:spacing w:after="0" w:line="321"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3910" cy="146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80"/>
          </w:cols>
          <w:pgMar w:left="300" w:top="365" w:right="319" w:bottom="1440" w:gutter="0" w:footer="0" w:header="0"/>
        </w:sectPr>
      </w:pPr>
    </w:p>
    <w:bookmarkStart w:id="70" w:name="page71"/>
    <w:bookmarkEnd w:id="70"/>
    <w:p>
      <w:pPr>
        <w:ind w:left="2720"/>
        <w:spacing w:after="0"/>
        <w:tabs>
          <w:tab w:leader="none" w:pos="2920" w:val="left"/>
          <w:tab w:leader="none" w:pos="858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3910" cy="2305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4380" w:type="dxa"/>
            <w:vAlign w:val="bottom"/>
          </w:tcPr>
          <w:p>
            <w:pPr>
              <w:ind w:left="20"/>
              <w:spacing w:after="0"/>
              <w:rPr>
                <w:sz w:val="20"/>
                <w:szCs w:val="20"/>
                <w:color w:val="auto"/>
              </w:rPr>
            </w:pPr>
            <w:r>
              <w:rPr>
                <w:rFonts w:ascii="Calibri" w:cs="Calibri" w:eastAsia="Calibri" w:hAnsi="Calibri"/>
                <w:sz w:val="15"/>
                <w:szCs w:val="15"/>
                <w:b w:val="1"/>
                <w:bCs w:val="1"/>
                <w:color w:val="auto"/>
              </w:rPr>
              <w:t>12.6.2. Credicorp Stand-alone</w:t>
            </w:r>
          </w:p>
        </w:tc>
        <w:tc>
          <w:tcPr>
            <w:tcW w:w="8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95"/>
        </w:trPr>
        <w:tc>
          <w:tcPr>
            <w:tcW w:w="4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00" w:type="dxa"/>
            <w:vAlign w:val="bottom"/>
          </w:tcPr>
          <w:p>
            <w:pPr>
              <w:jc w:val="center"/>
              <w:ind w:right="764"/>
              <w:spacing w:after="0"/>
              <w:rPr>
                <w:sz w:val="20"/>
                <w:szCs w:val="20"/>
                <w:color w:val="auto"/>
              </w:rPr>
            </w:pPr>
            <w:r>
              <w:rPr>
                <w:rFonts w:ascii="Calibri" w:cs="Calibri" w:eastAsia="Calibri" w:hAnsi="Calibri"/>
                <w:sz w:val="15"/>
                <w:szCs w:val="15"/>
                <w:b w:val="1"/>
                <w:bCs w:val="1"/>
                <w:color w:val="auto"/>
                <w:w w:val="98"/>
              </w:rPr>
              <w:t>Credicorp Ltd.</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2"/>
        </w:trPr>
        <w:tc>
          <w:tcPr>
            <w:tcW w:w="4380" w:type="dxa"/>
            <w:vAlign w:val="bottom"/>
          </w:tcPr>
          <w:p>
            <w:pPr>
              <w:spacing w:after="0"/>
              <w:rPr>
                <w:sz w:val="15"/>
                <w:szCs w:val="15"/>
                <w:color w:val="auto"/>
              </w:rPr>
            </w:pPr>
          </w:p>
        </w:tc>
        <w:tc>
          <w:tcPr>
            <w:tcW w:w="2540" w:type="dxa"/>
            <w:vAlign w:val="bottom"/>
            <w:gridSpan w:val="2"/>
          </w:tcPr>
          <w:p>
            <w:pPr>
              <w:jc w:val="center"/>
              <w:spacing w:after="0" w:line="181" w:lineRule="exact"/>
              <w:rPr>
                <w:sz w:val="20"/>
                <w:szCs w:val="20"/>
                <w:color w:val="auto"/>
              </w:rPr>
            </w:pPr>
            <w:r>
              <w:rPr>
                <w:rFonts w:ascii="Calibri" w:cs="Calibri" w:eastAsia="Calibri" w:hAnsi="Calibri"/>
                <w:sz w:val="15"/>
                <w:szCs w:val="15"/>
                <w:b w:val="1"/>
                <w:bCs w:val="1"/>
                <w:color w:val="auto"/>
                <w:w w:val="99"/>
              </w:rPr>
              <w:t>Separate Statement of Financal Positon</w:t>
            </w: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4380" w:type="dxa"/>
            <w:vAlign w:val="bottom"/>
          </w:tcPr>
          <w:p>
            <w:pPr>
              <w:spacing w:after="0"/>
              <w:rPr>
                <w:sz w:val="15"/>
                <w:szCs w:val="15"/>
                <w:color w:val="auto"/>
              </w:rPr>
            </w:pPr>
          </w:p>
        </w:tc>
        <w:tc>
          <w:tcPr>
            <w:tcW w:w="2540" w:type="dxa"/>
            <w:vAlign w:val="bottom"/>
            <w:gridSpan w:val="2"/>
          </w:tcPr>
          <w:p>
            <w:pPr>
              <w:jc w:val="center"/>
              <w:spacing w:after="0" w:line="181" w:lineRule="exact"/>
              <w:rPr>
                <w:sz w:val="20"/>
                <w:szCs w:val="20"/>
                <w:color w:val="auto"/>
              </w:rPr>
            </w:pPr>
            <w:r>
              <w:rPr>
                <w:rFonts w:ascii="Calibri" w:cs="Calibri" w:eastAsia="Calibri" w:hAnsi="Calibri"/>
                <w:sz w:val="15"/>
                <w:szCs w:val="15"/>
                <w:b w:val="1"/>
                <w:bCs w:val="1"/>
                <w:color w:val="auto"/>
                <w:w w:val="97"/>
              </w:rPr>
              <w:t>(S/ thousands, IFRS)</w:t>
            </w: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7"/>
        </w:trPr>
        <w:tc>
          <w:tcPr>
            <w:tcW w:w="4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2"/>
          </w:tcPr>
          <w:p>
            <w:pPr>
              <w:spacing w:after="0"/>
              <w:rPr>
                <w:sz w:val="11"/>
                <w:szCs w:val="11"/>
                <w:color w:val="auto"/>
              </w:rPr>
            </w:pPr>
          </w:p>
        </w:tc>
      </w:tr>
      <w:tr>
        <w:trPr>
          <w:trHeight w:val="179"/>
        </w:trPr>
        <w:tc>
          <w:tcPr>
            <w:tcW w:w="438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700" w:type="dxa"/>
            <w:vAlign w:val="bottom"/>
            <w:shd w:val="clear" w:color="auto" w:fill="33CCCC"/>
          </w:tcPr>
          <w:p>
            <w:pPr>
              <w:spacing w:after="0"/>
              <w:rPr>
                <w:sz w:val="15"/>
                <w:szCs w:val="15"/>
                <w:color w:val="auto"/>
              </w:rPr>
            </w:pPr>
          </w:p>
        </w:tc>
        <w:tc>
          <w:tcPr>
            <w:tcW w:w="1200" w:type="dxa"/>
            <w:vAlign w:val="bottom"/>
            <w:shd w:val="clear" w:color="auto" w:fill="33CCCC"/>
          </w:tcPr>
          <w:p>
            <w:pPr>
              <w:jc w:val="right"/>
              <w:ind w:right="664"/>
              <w:spacing w:after="0" w:line="180" w:lineRule="exact"/>
              <w:rPr>
                <w:sz w:val="20"/>
                <w:szCs w:val="20"/>
                <w:color w:val="auto"/>
              </w:rPr>
            </w:pPr>
            <w:r>
              <w:rPr>
                <w:rFonts w:ascii="Calibri" w:cs="Calibri" w:eastAsia="Calibri" w:hAnsi="Calibri"/>
                <w:sz w:val="15"/>
                <w:szCs w:val="15"/>
                <w:b w:val="1"/>
                <w:bCs w:val="1"/>
                <w:color w:val="FFFFFF"/>
              </w:rPr>
              <w:t>As of</w:t>
            </w:r>
          </w:p>
        </w:tc>
        <w:tc>
          <w:tcPr>
            <w:tcW w:w="1140" w:type="dxa"/>
            <w:vAlign w:val="bottom"/>
            <w:tcBorders>
              <w:right w:val="single" w:sz="8" w:color="auto"/>
            </w:tcBorders>
            <w:shd w:val="clear" w:color="auto" w:fill="33CCCC"/>
          </w:tcPr>
          <w:p>
            <w:pPr>
              <w:spacing w:after="0"/>
              <w:rPr>
                <w:sz w:val="15"/>
                <w:szCs w:val="15"/>
                <w:color w:val="auto"/>
              </w:rPr>
            </w:pPr>
          </w:p>
        </w:tc>
        <w:tc>
          <w:tcPr>
            <w:tcW w:w="2020" w:type="dxa"/>
            <w:vAlign w:val="bottom"/>
            <w:tcBorders>
              <w:right w:val="single" w:sz="8" w:color="auto"/>
            </w:tcBorders>
            <w:gridSpan w:val="2"/>
            <w:shd w:val="clear" w:color="auto" w:fill="33CCCC"/>
          </w:tcPr>
          <w:p>
            <w:pPr>
              <w:ind w:left="700"/>
              <w:spacing w:after="0" w:line="180" w:lineRule="exact"/>
              <w:rPr>
                <w:sz w:val="20"/>
                <w:szCs w:val="20"/>
                <w:color w:val="auto"/>
              </w:rPr>
            </w:pPr>
            <w:r>
              <w:rPr>
                <w:rFonts w:ascii="Calibri" w:cs="Calibri" w:eastAsia="Calibri" w:hAnsi="Calibri"/>
                <w:sz w:val="15"/>
                <w:szCs w:val="15"/>
                <w:b w:val="1"/>
                <w:bCs w:val="1"/>
                <w:color w:val="FFFFFF"/>
              </w:rPr>
              <w:t>% change</w:t>
            </w:r>
          </w:p>
        </w:tc>
      </w:tr>
      <w:tr>
        <w:trPr>
          <w:trHeight w:val="232"/>
        </w:trPr>
        <w:tc>
          <w:tcPr>
            <w:tcW w:w="438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700" w:type="dxa"/>
            <w:vAlign w:val="bottom"/>
            <w:tcBorders>
              <w:bottom w:val="single" w:sz="8" w:color="33CCCC"/>
            </w:tcBorders>
            <w:shd w:val="clear" w:color="auto" w:fill="33CCCC"/>
          </w:tcPr>
          <w:p>
            <w:pPr>
              <w:jc w:val="right"/>
              <w:ind w:right="744"/>
              <w:spacing w:after="0"/>
              <w:rPr>
                <w:sz w:val="20"/>
                <w:szCs w:val="20"/>
                <w:color w:val="auto"/>
              </w:rPr>
            </w:pPr>
            <w:r>
              <w:rPr>
                <w:rFonts w:ascii="Calibri" w:cs="Calibri" w:eastAsia="Calibri" w:hAnsi="Calibri"/>
                <w:sz w:val="15"/>
                <w:szCs w:val="15"/>
                <w:b w:val="1"/>
                <w:bCs w:val="1"/>
                <w:color w:val="FFFFFF"/>
              </w:rPr>
              <w:t>Mar 22</w:t>
            </w:r>
          </w:p>
        </w:tc>
        <w:tc>
          <w:tcPr>
            <w:tcW w:w="1200" w:type="dxa"/>
            <w:vAlign w:val="bottom"/>
            <w:tcBorders>
              <w:bottom w:val="single" w:sz="8" w:color="33CCCC"/>
            </w:tcBorders>
            <w:shd w:val="clear" w:color="auto" w:fill="33CCCC"/>
          </w:tcPr>
          <w:p>
            <w:pPr>
              <w:jc w:val="center"/>
              <w:ind w:right="504"/>
              <w:spacing w:after="0"/>
              <w:rPr>
                <w:sz w:val="20"/>
                <w:szCs w:val="20"/>
                <w:color w:val="auto"/>
              </w:rPr>
            </w:pPr>
            <w:r>
              <w:rPr>
                <w:rFonts w:ascii="Calibri" w:cs="Calibri" w:eastAsia="Calibri" w:hAnsi="Calibri"/>
                <w:sz w:val="15"/>
                <w:szCs w:val="15"/>
                <w:b w:val="1"/>
                <w:bCs w:val="1"/>
                <w:color w:val="FFFFFF"/>
                <w:w w:val="98"/>
              </w:rPr>
              <w:t>Dec22</w:t>
            </w:r>
          </w:p>
        </w:tc>
        <w:tc>
          <w:tcPr>
            <w:tcW w:w="1140" w:type="dxa"/>
            <w:vAlign w:val="bottom"/>
            <w:tcBorders>
              <w:bottom w:val="single" w:sz="8" w:color="33CCCC"/>
              <w:right w:val="single" w:sz="8" w:color="auto"/>
            </w:tcBorders>
            <w:shd w:val="clear" w:color="auto" w:fill="33CCCC"/>
          </w:tcPr>
          <w:p>
            <w:pPr>
              <w:jc w:val="center"/>
              <w:ind w:right="184"/>
              <w:spacing w:after="0"/>
              <w:rPr>
                <w:sz w:val="20"/>
                <w:szCs w:val="20"/>
                <w:color w:val="auto"/>
              </w:rPr>
            </w:pPr>
            <w:r>
              <w:rPr>
                <w:rFonts w:ascii="Calibri" w:cs="Calibri" w:eastAsia="Calibri" w:hAnsi="Calibri"/>
                <w:sz w:val="15"/>
                <w:szCs w:val="15"/>
                <w:b w:val="1"/>
                <w:bCs w:val="1"/>
                <w:color w:val="FFFFFF"/>
                <w:w w:val="97"/>
              </w:rPr>
              <w:t>Mar23</w:t>
            </w:r>
          </w:p>
        </w:tc>
        <w:tc>
          <w:tcPr>
            <w:tcW w:w="100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7"/>
              </w:rPr>
              <w:t>QoQ</w:t>
            </w:r>
          </w:p>
        </w:tc>
        <w:tc>
          <w:tcPr>
            <w:tcW w:w="1020" w:type="dxa"/>
            <w:vAlign w:val="bottom"/>
            <w:tcBorders>
              <w:bottom w:val="single" w:sz="8" w:color="33CCCC"/>
              <w:right w:val="single" w:sz="8" w:color="auto"/>
            </w:tcBorders>
            <w:shd w:val="clear" w:color="auto" w:fill="33CCCC"/>
          </w:tcPr>
          <w:p>
            <w:pPr>
              <w:ind w:left="380"/>
              <w:spacing w:after="0"/>
              <w:rPr>
                <w:sz w:val="20"/>
                <w:szCs w:val="20"/>
                <w:color w:val="auto"/>
              </w:rPr>
            </w:pPr>
            <w:r>
              <w:rPr>
                <w:rFonts w:ascii="Calibri" w:cs="Calibri" w:eastAsia="Calibri" w:hAnsi="Calibri"/>
                <w:sz w:val="15"/>
                <w:szCs w:val="15"/>
                <w:b w:val="1"/>
                <w:bCs w:val="1"/>
                <w:color w:val="FFFFFF"/>
              </w:rPr>
              <w:t>YoY</w:t>
            </w:r>
          </w:p>
        </w:tc>
      </w:tr>
      <w:tr>
        <w:trPr>
          <w:trHeight w:val="179"/>
        </w:trPr>
        <w:tc>
          <w:tcPr>
            <w:tcW w:w="4380" w:type="dxa"/>
            <w:vAlign w:val="bottom"/>
            <w:tcBorders>
              <w:top w:val="single" w:sz="8" w:color="auto"/>
              <w:left w:val="single" w:sz="8" w:color="auto"/>
            </w:tcBorders>
          </w:tcPr>
          <w:p>
            <w:pPr>
              <w:ind w:left="40"/>
              <w:spacing w:after="0" w:line="180" w:lineRule="exact"/>
              <w:rPr>
                <w:sz w:val="20"/>
                <w:szCs w:val="20"/>
                <w:color w:val="auto"/>
              </w:rPr>
            </w:pPr>
            <w:r>
              <w:rPr>
                <w:rFonts w:ascii="Calibri" w:cs="Calibri" w:eastAsia="Calibri" w:hAnsi="Calibri"/>
                <w:sz w:val="15"/>
                <w:szCs w:val="15"/>
                <w:b w:val="1"/>
                <w:bCs w:val="1"/>
                <w:color w:val="auto"/>
              </w:rPr>
              <w:t>ASSETS</w:t>
            </w:r>
          </w:p>
        </w:tc>
        <w:tc>
          <w:tcPr>
            <w:tcW w:w="840" w:type="dxa"/>
            <w:vAlign w:val="bottom"/>
            <w:tcBorders>
              <w:top w:val="single" w:sz="8" w:color="auto"/>
              <w:right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r>
      <w:tr>
        <w:trPr>
          <w:trHeight w:val="197"/>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Cash and cash equivalents</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168,634</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136,399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131,218</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8"/>
              </w:rPr>
              <w:t>-3.8%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-22.2%</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At fair value through proft or loss</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947,826</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958,939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949,378</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8"/>
              </w:rPr>
              <w:t>-1.0%</w:t>
            </w:r>
          </w:p>
        </w:tc>
        <w:tc>
          <w:tcPr>
            <w:tcW w:w="1020" w:type="dxa"/>
            <w:vAlign w:val="bottom"/>
            <w:tcBorders>
              <w:right w:val="single" w:sz="8" w:color="auto"/>
            </w:tcBorders>
          </w:tcPr>
          <w:p>
            <w:pPr>
              <w:ind w:left="400"/>
              <w:spacing w:after="0"/>
              <w:rPr>
                <w:sz w:val="20"/>
                <w:szCs w:val="20"/>
                <w:color w:val="auto"/>
              </w:rPr>
            </w:pPr>
            <w:r>
              <w:rPr>
                <w:rFonts w:ascii="Calibri" w:cs="Calibri" w:eastAsia="Calibri" w:hAnsi="Calibri"/>
                <w:sz w:val="15"/>
                <w:szCs w:val="15"/>
                <w:color w:val="auto"/>
              </w:rPr>
              <w:t>n.a</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Fair value through other comprehensive income investments</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343,373</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306,343</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318,962</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4.1%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8"/>
              </w:rPr>
              <w:t>-7.1%</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In subsidiaries and associates investments</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31,647,183</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33,878,318</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35,207,564</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3.9%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11.3%</w:t>
            </w:r>
          </w:p>
        </w:tc>
      </w:tr>
      <w:tr>
        <w:trPr>
          <w:trHeight w:val="228"/>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Other assets</w:t>
            </w:r>
          </w:p>
        </w:tc>
        <w:tc>
          <w:tcPr>
            <w:tcW w:w="840" w:type="dxa"/>
            <w:vAlign w:val="bottom"/>
            <w:tcBorders>
              <w:right w:val="single" w:sz="8" w:color="auto"/>
            </w:tcBorders>
          </w:tcPr>
          <w:p>
            <w:pPr>
              <w:spacing w:after="0"/>
              <w:rPr>
                <w:sz w:val="19"/>
                <w:szCs w:val="19"/>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106</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135</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69,217</w:t>
            </w:r>
          </w:p>
        </w:tc>
        <w:tc>
          <w:tcPr>
            <w:tcW w:w="1000" w:type="dxa"/>
            <w:vAlign w:val="bottom"/>
          </w:tcPr>
          <w:p>
            <w:pPr>
              <w:jc w:val="center"/>
              <w:spacing w:after="0"/>
              <w:rPr>
                <w:sz w:val="20"/>
                <w:szCs w:val="20"/>
                <w:color w:val="auto"/>
              </w:rPr>
            </w:pPr>
            <w:r>
              <w:rPr>
                <w:rFonts w:ascii="Calibri" w:cs="Calibri" w:eastAsia="Calibri" w:hAnsi="Calibri"/>
                <w:sz w:val="15"/>
                <w:szCs w:val="15"/>
                <w:color w:val="auto"/>
              </w:rPr>
              <w:t>n.a</w:t>
            </w:r>
          </w:p>
        </w:tc>
        <w:tc>
          <w:tcPr>
            <w:tcW w:w="1020" w:type="dxa"/>
            <w:vAlign w:val="bottom"/>
            <w:tcBorders>
              <w:right w:val="single" w:sz="8" w:color="auto"/>
            </w:tcBorders>
          </w:tcPr>
          <w:p>
            <w:pPr>
              <w:ind w:left="400"/>
              <w:spacing w:after="0"/>
              <w:rPr>
                <w:sz w:val="20"/>
                <w:szCs w:val="20"/>
                <w:color w:val="auto"/>
              </w:rPr>
            </w:pPr>
            <w:r>
              <w:rPr>
                <w:rFonts w:ascii="Calibri" w:cs="Calibri" w:eastAsia="Calibri" w:hAnsi="Calibri"/>
                <w:sz w:val="15"/>
                <w:szCs w:val="15"/>
                <w:color w:val="auto"/>
              </w:rPr>
              <w:t>n.a</w:t>
            </w:r>
          </w:p>
        </w:tc>
      </w:tr>
      <w:tr>
        <w:trPr>
          <w:trHeight w:val="362"/>
        </w:trPr>
        <w:tc>
          <w:tcPr>
            <w:tcW w:w="4380" w:type="dxa"/>
            <w:vAlign w:val="bottom"/>
            <w:tcBorders>
              <w:left w:val="single" w:sz="8" w:color="auto"/>
            </w:tcBorders>
          </w:tcPr>
          <w:p>
            <w:pPr>
              <w:jc w:val="center"/>
              <w:ind w:left="744"/>
              <w:spacing w:after="0"/>
              <w:rPr>
                <w:sz w:val="20"/>
                <w:szCs w:val="20"/>
                <w:color w:val="auto"/>
              </w:rPr>
            </w:pPr>
            <w:r>
              <w:rPr>
                <w:rFonts w:ascii="Calibri" w:cs="Calibri" w:eastAsia="Calibri" w:hAnsi="Calibri"/>
                <w:sz w:val="15"/>
                <w:szCs w:val="15"/>
                <w:b w:val="1"/>
                <w:bCs w:val="1"/>
                <w:color w:val="auto"/>
                <w:w w:val="95"/>
              </w:rPr>
              <w:t>Total Assets</w:t>
            </w:r>
          </w:p>
        </w:tc>
        <w:tc>
          <w:tcPr>
            <w:tcW w:w="840" w:type="dxa"/>
            <w:vAlign w:val="bottom"/>
            <w:tcBorders>
              <w:right w:val="single" w:sz="8" w:color="auto"/>
            </w:tcBorders>
          </w:tcPr>
          <w:p>
            <w:pPr>
              <w:spacing w:after="0"/>
              <w:rPr>
                <w:sz w:val="24"/>
                <w:szCs w:val="24"/>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b w:val="1"/>
                <w:bCs w:val="1"/>
                <w:color w:val="auto"/>
              </w:rPr>
              <w:t>33,107,122</w:t>
            </w:r>
          </w:p>
        </w:tc>
        <w:tc>
          <w:tcPr>
            <w:tcW w:w="120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35,280,134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36,676,339</w:t>
            </w:r>
          </w:p>
        </w:tc>
        <w:tc>
          <w:tcPr>
            <w:tcW w:w="1000" w:type="dxa"/>
            <w:vAlign w:val="bottom"/>
          </w:tcPr>
          <w:p>
            <w:pPr>
              <w:jc w:val="center"/>
              <w:spacing w:after="0"/>
              <w:rPr>
                <w:sz w:val="20"/>
                <w:szCs w:val="20"/>
                <w:color w:val="auto"/>
              </w:rPr>
            </w:pPr>
            <w:r>
              <w:rPr>
                <w:rFonts w:ascii="Calibri" w:cs="Calibri" w:eastAsia="Calibri" w:hAnsi="Calibri"/>
                <w:sz w:val="15"/>
                <w:szCs w:val="15"/>
                <w:b w:val="1"/>
                <w:bCs w:val="1"/>
                <w:color w:val="auto"/>
                <w:w w:val="99"/>
              </w:rPr>
              <w:t>4.0%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rPr>
              <w:t>10.8%</w:t>
            </w:r>
          </w:p>
        </w:tc>
      </w:tr>
      <w:tr>
        <w:trPr>
          <w:trHeight w:val="386"/>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LIABILITIES AND NET SHAREHOLDERS’ EQUITY</w:t>
            </w:r>
          </w:p>
        </w:tc>
        <w:tc>
          <w:tcPr>
            <w:tcW w:w="8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386"/>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Due to banks, correspondents and other enttes</w:t>
            </w:r>
          </w:p>
        </w:tc>
        <w:tc>
          <w:tcPr>
            <w:tcW w:w="840" w:type="dxa"/>
            <w:vAlign w:val="bottom"/>
            <w:tcBorders>
              <w:right w:val="single" w:sz="8" w:color="auto"/>
            </w:tcBorders>
          </w:tcPr>
          <w:p>
            <w:pPr>
              <w:spacing w:after="0"/>
              <w:rPr>
                <w:sz w:val="24"/>
                <w:szCs w:val="24"/>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7"/>
              </w:rPr>
              <w:t>n.a.</w:t>
            </w:r>
          </w:p>
        </w:tc>
        <w:tc>
          <w:tcPr>
            <w:tcW w:w="1020" w:type="dxa"/>
            <w:vAlign w:val="bottom"/>
            <w:tcBorders>
              <w:right w:val="single" w:sz="8" w:color="auto"/>
            </w:tcBorders>
          </w:tcPr>
          <w:p>
            <w:pPr>
              <w:ind w:left="380"/>
              <w:spacing w:after="0"/>
              <w:rPr>
                <w:sz w:val="20"/>
                <w:szCs w:val="20"/>
                <w:color w:val="auto"/>
              </w:rPr>
            </w:pPr>
            <w:r>
              <w:rPr>
                <w:rFonts w:ascii="Calibri" w:cs="Calibri" w:eastAsia="Calibri" w:hAnsi="Calibri"/>
                <w:sz w:val="15"/>
                <w:szCs w:val="15"/>
                <w:color w:val="auto"/>
              </w:rPr>
              <w:t>n.a.</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Bonds and notes issued</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1,850,185</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1,898,066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1,885,839</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8"/>
              </w:rPr>
              <w:t>-0.6%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1.9%</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Other liabilites</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195,286</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220,642</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267,558</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6"/>
              </w:rPr>
              <w:t>21.3%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37.0%</w:t>
            </w:r>
          </w:p>
        </w:tc>
      </w:tr>
      <w:tr>
        <w:trPr>
          <w:trHeight w:val="386"/>
        </w:trPr>
        <w:tc>
          <w:tcPr>
            <w:tcW w:w="4380" w:type="dxa"/>
            <w:vAlign w:val="bottom"/>
            <w:tcBorders>
              <w:left w:val="single" w:sz="8" w:color="auto"/>
            </w:tcBorders>
          </w:tcPr>
          <w:p>
            <w:pPr>
              <w:jc w:val="center"/>
              <w:ind w:left="744"/>
              <w:spacing w:after="0"/>
              <w:rPr>
                <w:sz w:val="20"/>
                <w:szCs w:val="20"/>
                <w:color w:val="auto"/>
              </w:rPr>
            </w:pPr>
            <w:r>
              <w:rPr>
                <w:rFonts w:ascii="Calibri" w:cs="Calibri" w:eastAsia="Calibri" w:hAnsi="Calibri"/>
                <w:sz w:val="15"/>
                <w:szCs w:val="15"/>
                <w:b w:val="1"/>
                <w:bCs w:val="1"/>
                <w:color w:val="auto"/>
              </w:rPr>
              <w:t>Total Liabilites</w:t>
            </w:r>
          </w:p>
        </w:tc>
        <w:tc>
          <w:tcPr>
            <w:tcW w:w="840" w:type="dxa"/>
            <w:vAlign w:val="bottom"/>
            <w:tcBorders>
              <w:right w:val="single" w:sz="8" w:color="auto"/>
            </w:tcBorders>
          </w:tcPr>
          <w:p>
            <w:pPr>
              <w:spacing w:after="0"/>
              <w:rPr>
                <w:sz w:val="24"/>
                <w:szCs w:val="24"/>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b w:val="1"/>
                <w:bCs w:val="1"/>
                <w:color w:val="auto"/>
              </w:rPr>
              <w:t>2,045,471</w:t>
            </w:r>
          </w:p>
        </w:tc>
        <w:tc>
          <w:tcPr>
            <w:tcW w:w="120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2,118,708</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2,153,397</w:t>
            </w:r>
          </w:p>
        </w:tc>
        <w:tc>
          <w:tcPr>
            <w:tcW w:w="1000" w:type="dxa"/>
            <w:vAlign w:val="bottom"/>
          </w:tcPr>
          <w:p>
            <w:pPr>
              <w:jc w:val="center"/>
              <w:spacing w:after="0"/>
              <w:rPr>
                <w:sz w:val="20"/>
                <w:szCs w:val="20"/>
                <w:color w:val="auto"/>
              </w:rPr>
            </w:pPr>
            <w:r>
              <w:rPr>
                <w:rFonts w:ascii="Calibri" w:cs="Calibri" w:eastAsia="Calibri" w:hAnsi="Calibri"/>
                <w:sz w:val="15"/>
                <w:szCs w:val="15"/>
                <w:b w:val="1"/>
                <w:bCs w:val="1"/>
                <w:color w:val="auto"/>
                <w:w w:val="99"/>
              </w:rPr>
              <w:t>1.6%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9"/>
              </w:rPr>
              <w:t>5.3%</w:t>
            </w:r>
          </w:p>
        </w:tc>
      </w:tr>
      <w:tr>
        <w:trPr>
          <w:trHeight w:val="386"/>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NET EQUITY</w:t>
            </w:r>
          </w:p>
        </w:tc>
        <w:tc>
          <w:tcPr>
            <w:tcW w:w="8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Capital stock</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1,318,993</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1,318,993</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1,318,993</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0.0%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0.0%</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Capital Surplus</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384,542</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384,542</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384,542</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0.0%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0.0%</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Reserve</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20,945,491</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23,300,350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23,300,350</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0.0%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11.2%</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Unrealized results</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(638,233)</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(835,079)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(592,006)</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5"/>
              </w:rPr>
              <w:t>-29.1%</w:t>
            </w:r>
          </w:p>
        </w:tc>
        <w:tc>
          <w:tcPr>
            <w:tcW w:w="1020" w:type="dxa"/>
            <w:vAlign w:val="bottom"/>
            <w:tcBorders>
              <w:right w:val="single" w:sz="8" w:color="auto"/>
            </w:tcBorders>
          </w:tcPr>
          <w:p>
            <w:pPr>
              <w:ind w:left="380"/>
              <w:spacing w:after="0"/>
              <w:rPr>
                <w:sz w:val="20"/>
                <w:szCs w:val="20"/>
                <w:color w:val="auto"/>
              </w:rPr>
            </w:pPr>
            <w:r>
              <w:rPr>
                <w:rFonts w:ascii="Calibri" w:cs="Calibri" w:eastAsia="Calibri" w:hAnsi="Calibri"/>
                <w:sz w:val="15"/>
                <w:szCs w:val="15"/>
                <w:color w:val="auto"/>
              </w:rPr>
              <w:t>n.a.</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Retained earnings</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9,050,858</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8,992,620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10,111,063</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6"/>
              </w:rPr>
              <w:t>12.4%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11.7%</w:t>
            </w:r>
          </w:p>
        </w:tc>
      </w:tr>
      <w:tr>
        <w:trPr>
          <w:trHeight w:val="386"/>
        </w:trPr>
        <w:tc>
          <w:tcPr>
            <w:tcW w:w="4380" w:type="dxa"/>
            <w:vAlign w:val="bottom"/>
            <w:tcBorders>
              <w:left w:val="single" w:sz="8" w:color="auto"/>
            </w:tcBorders>
          </w:tcPr>
          <w:p>
            <w:pPr>
              <w:jc w:val="center"/>
              <w:ind w:left="744"/>
              <w:spacing w:after="0"/>
              <w:rPr>
                <w:sz w:val="20"/>
                <w:szCs w:val="20"/>
                <w:color w:val="auto"/>
              </w:rPr>
            </w:pPr>
            <w:r>
              <w:rPr>
                <w:rFonts w:ascii="Calibri" w:cs="Calibri" w:eastAsia="Calibri" w:hAnsi="Calibri"/>
                <w:sz w:val="15"/>
                <w:szCs w:val="15"/>
                <w:b w:val="1"/>
                <w:bCs w:val="1"/>
                <w:color w:val="auto"/>
                <w:w w:val="96"/>
              </w:rPr>
              <w:t>Total net equity</w:t>
            </w:r>
          </w:p>
        </w:tc>
        <w:tc>
          <w:tcPr>
            <w:tcW w:w="840" w:type="dxa"/>
            <w:vAlign w:val="bottom"/>
            <w:tcBorders>
              <w:right w:val="single" w:sz="8" w:color="auto"/>
            </w:tcBorders>
          </w:tcPr>
          <w:p>
            <w:pPr>
              <w:spacing w:after="0"/>
              <w:rPr>
                <w:sz w:val="24"/>
                <w:szCs w:val="24"/>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b w:val="1"/>
                <w:bCs w:val="1"/>
                <w:color w:val="auto"/>
              </w:rPr>
              <w:t>31,061,651</w:t>
            </w:r>
          </w:p>
        </w:tc>
        <w:tc>
          <w:tcPr>
            <w:tcW w:w="120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33,161,426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34,522,942</w:t>
            </w:r>
          </w:p>
        </w:tc>
        <w:tc>
          <w:tcPr>
            <w:tcW w:w="1000" w:type="dxa"/>
            <w:vAlign w:val="bottom"/>
          </w:tcPr>
          <w:p>
            <w:pPr>
              <w:jc w:val="center"/>
              <w:spacing w:after="0"/>
              <w:rPr>
                <w:sz w:val="20"/>
                <w:szCs w:val="20"/>
                <w:color w:val="auto"/>
              </w:rPr>
            </w:pPr>
            <w:r>
              <w:rPr>
                <w:rFonts w:ascii="Calibri" w:cs="Calibri" w:eastAsia="Calibri" w:hAnsi="Calibri"/>
                <w:sz w:val="15"/>
                <w:szCs w:val="15"/>
                <w:b w:val="1"/>
                <w:bCs w:val="1"/>
                <w:color w:val="auto"/>
                <w:w w:val="99"/>
              </w:rPr>
              <w:t>4.1%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rPr>
              <w:t>11.1%</w:t>
            </w:r>
          </w:p>
        </w:tc>
      </w:tr>
      <w:tr>
        <w:trPr>
          <w:trHeight w:val="386"/>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Total Liabilites And Equity</w:t>
            </w:r>
          </w:p>
        </w:tc>
        <w:tc>
          <w:tcPr>
            <w:tcW w:w="840" w:type="dxa"/>
            <w:vAlign w:val="bottom"/>
            <w:tcBorders>
              <w:right w:val="single" w:sz="8" w:color="auto"/>
            </w:tcBorders>
          </w:tcPr>
          <w:p>
            <w:pPr>
              <w:spacing w:after="0"/>
              <w:rPr>
                <w:sz w:val="24"/>
                <w:szCs w:val="24"/>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b w:val="1"/>
                <w:bCs w:val="1"/>
                <w:color w:val="auto"/>
              </w:rPr>
              <w:t>33,107,122</w:t>
            </w:r>
          </w:p>
        </w:tc>
        <w:tc>
          <w:tcPr>
            <w:tcW w:w="120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35,280,134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36,676,339</w:t>
            </w:r>
          </w:p>
        </w:tc>
        <w:tc>
          <w:tcPr>
            <w:tcW w:w="1000" w:type="dxa"/>
            <w:vAlign w:val="bottom"/>
          </w:tcPr>
          <w:p>
            <w:pPr>
              <w:jc w:val="center"/>
              <w:spacing w:after="0"/>
              <w:rPr>
                <w:sz w:val="20"/>
                <w:szCs w:val="20"/>
                <w:color w:val="auto"/>
              </w:rPr>
            </w:pPr>
            <w:r>
              <w:rPr>
                <w:rFonts w:ascii="Calibri" w:cs="Calibri" w:eastAsia="Calibri" w:hAnsi="Calibri"/>
                <w:sz w:val="15"/>
                <w:szCs w:val="15"/>
                <w:b w:val="1"/>
                <w:bCs w:val="1"/>
                <w:color w:val="auto"/>
                <w:w w:val="99"/>
              </w:rPr>
              <w:t>4.0%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rPr>
              <w:t>10.8%</w:t>
            </w:r>
          </w:p>
        </w:tc>
      </w:tr>
      <w:tr>
        <w:trPr>
          <w:trHeight w:val="35"/>
        </w:trPr>
        <w:tc>
          <w:tcPr>
            <w:tcW w:w="4380" w:type="dxa"/>
            <w:vAlign w:val="bottom"/>
            <w:tcBorders>
              <w:left w:val="single" w:sz="8" w:color="auto"/>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gridSpan w:val="2"/>
          </w:tcPr>
          <w:p>
            <w:pPr>
              <w:spacing w:after="0"/>
              <w:rPr>
                <w:sz w:val="3"/>
                <w:szCs w:val="3"/>
                <w:color w:val="auto"/>
              </w:rPr>
            </w:pPr>
          </w:p>
        </w:tc>
      </w:tr>
      <w:tr>
        <w:trPr>
          <w:trHeight w:val="162"/>
        </w:trPr>
        <w:tc>
          <w:tcPr>
            <w:tcW w:w="4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spacing w:after="0"/>
              <w:rPr>
                <w:sz w:val="14"/>
                <w:szCs w:val="14"/>
                <w:color w:val="auto"/>
              </w:rPr>
            </w:pPr>
          </w:p>
        </w:tc>
      </w:tr>
      <w:tr>
        <w:trPr>
          <w:trHeight w:val="179"/>
        </w:trPr>
        <w:tc>
          <w:tcPr>
            <w:tcW w:w="438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700" w:type="dxa"/>
            <w:vAlign w:val="bottom"/>
            <w:shd w:val="clear" w:color="auto" w:fill="33CCCC"/>
          </w:tcPr>
          <w:p>
            <w:pPr>
              <w:spacing w:after="0"/>
              <w:rPr>
                <w:sz w:val="15"/>
                <w:szCs w:val="15"/>
                <w:color w:val="auto"/>
              </w:rPr>
            </w:pPr>
          </w:p>
        </w:tc>
        <w:tc>
          <w:tcPr>
            <w:tcW w:w="1200" w:type="dxa"/>
            <w:vAlign w:val="bottom"/>
            <w:shd w:val="clear" w:color="auto" w:fill="33CCCC"/>
          </w:tcPr>
          <w:p>
            <w:pPr>
              <w:jc w:val="right"/>
              <w:ind w:right="584"/>
              <w:spacing w:after="0" w:line="180" w:lineRule="exact"/>
              <w:rPr>
                <w:sz w:val="20"/>
                <w:szCs w:val="20"/>
                <w:color w:val="auto"/>
              </w:rPr>
            </w:pPr>
            <w:r>
              <w:rPr>
                <w:rFonts w:ascii="Calibri" w:cs="Calibri" w:eastAsia="Calibri" w:hAnsi="Calibri"/>
                <w:sz w:val="15"/>
                <w:szCs w:val="15"/>
                <w:b w:val="1"/>
                <w:bCs w:val="1"/>
                <w:color w:val="FFFFFF"/>
              </w:rPr>
              <w:t>Quarter</w:t>
            </w:r>
          </w:p>
        </w:tc>
        <w:tc>
          <w:tcPr>
            <w:tcW w:w="1140" w:type="dxa"/>
            <w:vAlign w:val="bottom"/>
            <w:tcBorders>
              <w:right w:val="single" w:sz="8" w:color="auto"/>
            </w:tcBorders>
            <w:shd w:val="clear" w:color="auto" w:fill="33CCCC"/>
          </w:tcPr>
          <w:p>
            <w:pPr>
              <w:spacing w:after="0"/>
              <w:rPr>
                <w:sz w:val="15"/>
                <w:szCs w:val="15"/>
                <w:color w:val="auto"/>
              </w:rPr>
            </w:pPr>
          </w:p>
        </w:tc>
        <w:tc>
          <w:tcPr>
            <w:tcW w:w="2020" w:type="dxa"/>
            <w:vAlign w:val="bottom"/>
            <w:tcBorders>
              <w:right w:val="single" w:sz="8" w:color="auto"/>
            </w:tcBorders>
            <w:gridSpan w:val="2"/>
            <w:shd w:val="clear" w:color="auto" w:fill="33CCCC"/>
          </w:tcPr>
          <w:p>
            <w:pPr>
              <w:ind w:left="700"/>
              <w:spacing w:after="0" w:line="180" w:lineRule="exact"/>
              <w:rPr>
                <w:sz w:val="20"/>
                <w:szCs w:val="20"/>
                <w:color w:val="auto"/>
              </w:rPr>
            </w:pPr>
            <w:r>
              <w:rPr>
                <w:rFonts w:ascii="Calibri" w:cs="Calibri" w:eastAsia="Calibri" w:hAnsi="Calibri"/>
                <w:sz w:val="15"/>
                <w:szCs w:val="15"/>
                <w:b w:val="1"/>
                <w:bCs w:val="1"/>
                <w:color w:val="FFFFFF"/>
              </w:rPr>
              <w:t>% change</w:t>
            </w:r>
          </w:p>
        </w:tc>
      </w:tr>
      <w:tr>
        <w:trPr>
          <w:trHeight w:val="232"/>
        </w:trPr>
        <w:tc>
          <w:tcPr>
            <w:tcW w:w="438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700" w:type="dxa"/>
            <w:vAlign w:val="bottom"/>
            <w:tcBorders>
              <w:bottom w:val="single" w:sz="8" w:color="33CCCC"/>
            </w:tcBorders>
            <w:shd w:val="clear" w:color="auto" w:fill="33CCCC"/>
          </w:tcPr>
          <w:p>
            <w:pPr>
              <w:jc w:val="right"/>
              <w:ind w:right="804"/>
              <w:spacing w:after="0"/>
              <w:rPr>
                <w:sz w:val="20"/>
                <w:szCs w:val="20"/>
                <w:color w:val="auto"/>
              </w:rPr>
            </w:pPr>
            <w:r>
              <w:rPr>
                <w:rFonts w:ascii="Calibri" w:cs="Calibri" w:eastAsia="Calibri" w:hAnsi="Calibri"/>
                <w:sz w:val="15"/>
                <w:szCs w:val="15"/>
                <w:b w:val="1"/>
                <w:bCs w:val="1"/>
                <w:color w:val="FFFFFF"/>
              </w:rPr>
              <w:t>1Q22</w:t>
            </w:r>
          </w:p>
        </w:tc>
        <w:tc>
          <w:tcPr>
            <w:tcW w:w="1200" w:type="dxa"/>
            <w:vAlign w:val="bottom"/>
            <w:tcBorders>
              <w:bottom w:val="single" w:sz="8" w:color="33CCCC"/>
            </w:tcBorders>
            <w:shd w:val="clear" w:color="auto" w:fill="33CCCC"/>
          </w:tcPr>
          <w:p>
            <w:pPr>
              <w:jc w:val="center"/>
              <w:ind w:right="524"/>
              <w:spacing w:after="0"/>
              <w:rPr>
                <w:sz w:val="20"/>
                <w:szCs w:val="20"/>
                <w:color w:val="auto"/>
              </w:rPr>
            </w:pPr>
            <w:r>
              <w:rPr>
                <w:rFonts w:ascii="Calibri" w:cs="Calibri" w:eastAsia="Calibri" w:hAnsi="Calibri"/>
                <w:sz w:val="15"/>
                <w:szCs w:val="15"/>
                <w:b w:val="1"/>
                <w:bCs w:val="1"/>
                <w:color w:val="FFFFFF"/>
                <w:w w:val="96"/>
              </w:rPr>
              <w:t>4Q22</w:t>
            </w:r>
          </w:p>
        </w:tc>
        <w:tc>
          <w:tcPr>
            <w:tcW w:w="1140" w:type="dxa"/>
            <w:vAlign w:val="bottom"/>
            <w:tcBorders>
              <w:bottom w:val="single" w:sz="8" w:color="33CCCC"/>
              <w:right w:val="single" w:sz="8" w:color="auto"/>
            </w:tcBorders>
            <w:shd w:val="clear" w:color="auto" w:fill="33CCCC"/>
          </w:tcPr>
          <w:p>
            <w:pPr>
              <w:jc w:val="center"/>
              <w:ind w:right="164"/>
              <w:spacing w:after="0"/>
              <w:rPr>
                <w:sz w:val="20"/>
                <w:szCs w:val="20"/>
                <w:color w:val="auto"/>
              </w:rPr>
            </w:pPr>
            <w:r>
              <w:rPr>
                <w:rFonts w:ascii="Calibri" w:cs="Calibri" w:eastAsia="Calibri" w:hAnsi="Calibri"/>
                <w:sz w:val="15"/>
                <w:szCs w:val="15"/>
                <w:b w:val="1"/>
                <w:bCs w:val="1"/>
                <w:color w:val="FFFFFF"/>
              </w:rPr>
              <w:t>1Q23</w:t>
            </w:r>
          </w:p>
        </w:tc>
        <w:tc>
          <w:tcPr>
            <w:tcW w:w="100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7"/>
              </w:rPr>
              <w:t>QoQ</w:t>
            </w:r>
          </w:p>
        </w:tc>
        <w:tc>
          <w:tcPr>
            <w:tcW w:w="1020" w:type="dxa"/>
            <w:vAlign w:val="bottom"/>
            <w:tcBorders>
              <w:bottom w:val="single" w:sz="8" w:color="33CCCC"/>
              <w:right w:val="single" w:sz="8" w:color="auto"/>
            </w:tcBorders>
            <w:shd w:val="clear" w:color="auto" w:fill="33CCCC"/>
          </w:tcPr>
          <w:p>
            <w:pPr>
              <w:ind w:left="380"/>
              <w:spacing w:after="0"/>
              <w:rPr>
                <w:sz w:val="20"/>
                <w:szCs w:val="20"/>
                <w:color w:val="auto"/>
              </w:rPr>
            </w:pPr>
            <w:r>
              <w:rPr>
                <w:rFonts w:ascii="Calibri" w:cs="Calibri" w:eastAsia="Calibri" w:hAnsi="Calibri"/>
                <w:sz w:val="15"/>
                <w:szCs w:val="15"/>
                <w:b w:val="1"/>
                <w:bCs w:val="1"/>
                <w:color w:val="FFFFFF"/>
              </w:rPr>
              <w:t>YoY</w:t>
            </w:r>
          </w:p>
        </w:tc>
      </w:tr>
      <w:tr>
        <w:trPr>
          <w:trHeight w:val="179"/>
        </w:trPr>
        <w:tc>
          <w:tcPr>
            <w:tcW w:w="4380" w:type="dxa"/>
            <w:vAlign w:val="bottom"/>
            <w:tcBorders>
              <w:top w:val="single" w:sz="8" w:color="auto"/>
              <w:left w:val="single" w:sz="8" w:color="auto"/>
            </w:tcBorders>
          </w:tcPr>
          <w:p>
            <w:pPr>
              <w:ind w:left="40"/>
              <w:spacing w:after="0" w:line="180" w:lineRule="exact"/>
              <w:rPr>
                <w:sz w:val="20"/>
                <w:szCs w:val="20"/>
                <w:color w:val="auto"/>
              </w:rPr>
            </w:pPr>
            <w:r>
              <w:rPr>
                <w:rFonts w:ascii="Calibri" w:cs="Calibri" w:eastAsia="Calibri" w:hAnsi="Calibri"/>
                <w:sz w:val="15"/>
                <w:szCs w:val="15"/>
                <w:b w:val="1"/>
                <w:bCs w:val="1"/>
                <w:color w:val="auto"/>
              </w:rPr>
              <w:t>Interest income</w:t>
            </w:r>
          </w:p>
        </w:tc>
        <w:tc>
          <w:tcPr>
            <w:tcW w:w="840" w:type="dxa"/>
            <w:vAlign w:val="bottom"/>
            <w:tcBorders>
              <w:top w:val="single" w:sz="8" w:color="auto"/>
              <w:right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r>
      <w:tr>
        <w:trPr>
          <w:trHeight w:val="378"/>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w w:val="98"/>
              </w:rPr>
              <w:t>Net share of the income from investments in subsidiaries and associates</w:t>
            </w:r>
          </w:p>
        </w:tc>
        <w:tc>
          <w:tcPr>
            <w:tcW w:w="840" w:type="dxa"/>
            <w:vAlign w:val="bottom"/>
            <w:tcBorders>
              <w:right w:val="single" w:sz="8" w:color="auto"/>
            </w:tcBorders>
          </w:tcPr>
          <w:p>
            <w:pPr>
              <w:spacing w:after="0"/>
              <w:rPr>
                <w:sz w:val="24"/>
                <w:szCs w:val="24"/>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1,236,032</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1,115,614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1,439,211</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6"/>
              </w:rPr>
              <w:t>29.0%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16.4%</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Interest and similar income</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298</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1,040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300</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5"/>
              </w:rPr>
              <w:t>-71.2%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0.7%</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Net gain on fnancial assets at fair value through proft or loss</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(26,898)</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32,597</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3,759</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5"/>
              </w:rPr>
              <w:t>-88.5%</w:t>
            </w:r>
          </w:p>
        </w:tc>
        <w:tc>
          <w:tcPr>
            <w:tcW w:w="1020" w:type="dxa"/>
            <w:vAlign w:val="bottom"/>
            <w:tcBorders>
              <w:right w:val="single" w:sz="8" w:color="auto"/>
            </w:tcBorders>
          </w:tcPr>
          <w:p>
            <w:pPr>
              <w:ind w:left="400"/>
              <w:spacing w:after="0"/>
              <w:rPr>
                <w:sz w:val="20"/>
                <w:szCs w:val="20"/>
                <w:color w:val="auto"/>
              </w:rPr>
            </w:pPr>
            <w:r>
              <w:rPr>
                <w:rFonts w:ascii="Calibri" w:cs="Calibri" w:eastAsia="Calibri" w:hAnsi="Calibri"/>
                <w:sz w:val="15"/>
                <w:szCs w:val="15"/>
                <w:color w:val="auto"/>
              </w:rPr>
              <w:t>n.a</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Total income</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b w:val="1"/>
                <w:bCs w:val="1"/>
                <w:color w:val="auto"/>
              </w:rPr>
              <w:t>1,209,432</w:t>
            </w:r>
          </w:p>
        </w:tc>
        <w:tc>
          <w:tcPr>
            <w:tcW w:w="120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1,149,251</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1,433,270</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6"/>
              </w:rPr>
              <w:t>25.6%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19.3%</w:t>
            </w:r>
          </w:p>
        </w:tc>
      </w:tr>
      <w:tr>
        <w:trPr>
          <w:trHeight w:val="386"/>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Interest and similar expense</w:t>
            </w:r>
          </w:p>
        </w:tc>
        <w:tc>
          <w:tcPr>
            <w:tcW w:w="840" w:type="dxa"/>
            <w:vAlign w:val="bottom"/>
            <w:tcBorders>
              <w:right w:val="single" w:sz="8" w:color="auto"/>
            </w:tcBorders>
          </w:tcPr>
          <w:p>
            <w:pPr>
              <w:spacing w:after="0"/>
              <w:rPr>
                <w:sz w:val="24"/>
                <w:szCs w:val="24"/>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(13,651)</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(20,550)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(4,407)</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5"/>
              </w:rPr>
              <w:t>-78.6%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-67.7%</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Administratve and general expenses</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(4,259)</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(9,272)</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(13,796)</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6"/>
              </w:rPr>
              <w:t>48.8%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223.9%</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Total expenses</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b w:val="1"/>
                <w:bCs w:val="1"/>
                <w:color w:val="auto"/>
              </w:rPr>
              <w:t>(17,910)</w:t>
            </w:r>
          </w:p>
        </w:tc>
        <w:tc>
          <w:tcPr>
            <w:tcW w:w="120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(29,822)</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(18,203)</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5"/>
              </w:rPr>
              <w:t>-39.0%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1.6%</w:t>
            </w:r>
          </w:p>
        </w:tc>
      </w:tr>
      <w:tr>
        <w:trPr>
          <w:trHeight w:val="386"/>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Operatng income</w:t>
            </w:r>
          </w:p>
        </w:tc>
        <w:tc>
          <w:tcPr>
            <w:tcW w:w="840" w:type="dxa"/>
            <w:vAlign w:val="bottom"/>
            <w:tcBorders>
              <w:right w:val="single" w:sz="8" w:color="auto"/>
            </w:tcBorders>
          </w:tcPr>
          <w:p>
            <w:pPr>
              <w:spacing w:after="0"/>
              <w:rPr>
                <w:sz w:val="24"/>
                <w:szCs w:val="24"/>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b w:val="1"/>
                <w:bCs w:val="1"/>
                <w:color w:val="auto"/>
              </w:rPr>
              <w:t>1,191,522</w:t>
            </w:r>
          </w:p>
        </w:tc>
        <w:tc>
          <w:tcPr>
            <w:tcW w:w="120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1,119,429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1,425,067</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6"/>
              </w:rPr>
              <w:t>27.3%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19.6%</w:t>
            </w:r>
          </w:p>
        </w:tc>
      </w:tr>
      <w:tr>
        <w:trPr>
          <w:trHeight w:val="386"/>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Net gain (losses) from exchange diferences</w:t>
            </w:r>
          </w:p>
        </w:tc>
        <w:tc>
          <w:tcPr>
            <w:tcW w:w="840" w:type="dxa"/>
            <w:vAlign w:val="bottom"/>
            <w:tcBorders>
              <w:right w:val="single" w:sz="8" w:color="auto"/>
            </w:tcBorders>
          </w:tcPr>
          <w:p>
            <w:pPr>
              <w:spacing w:after="0"/>
              <w:rPr>
                <w:sz w:val="24"/>
                <w:szCs w:val="24"/>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(145)</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85</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(158)</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6"/>
              </w:rPr>
              <w:t>-285.9%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9.0%</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Other, net</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232</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106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102</w:t>
            </w:r>
          </w:p>
        </w:tc>
        <w:tc>
          <w:tcPr>
            <w:tcW w:w="1000" w:type="dxa"/>
            <w:vAlign w:val="bottom"/>
          </w:tcPr>
          <w:p>
            <w:pPr>
              <w:jc w:val="center"/>
              <w:spacing w:after="0"/>
              <w:rPr>
                <w:sz w:val="20"/>
                <w:szCs w:val="20"/>
                <w:color w:val="auto"/>
              </w:rPr>
            </w:pPr>
            <w:r>
              <w:rPr>
                <w:rFonts w:ascii="Calibri" w:cs="Calibri" w:eastAsia="Calibri" w:hAnsi="Calibri"/>
                <w:sz w:val="15"/>
                <w:szCs w:val="15"/>
                <w:color w:val="auto"/>
              </w:rPr>
              <w:t>n.a</w:t>
            </w:r>
          </w:p>
        </w:tc>
        <w:tc>
          <w:tcPr>
            <w:tcW w:w="1020" w:type="dxa"/>
            <w:vAlign w:val="bottom"/>
            <w:tcBorders>
              <w:right w:val="single" w:sz="8" w:color="auto"/>
            </w:tcBorders>
          </w:tcPr>
          <w:p>
            <w:pPr>
              <w:ind w:left="400"/>
              <w:spacing w:after="0"/>
              <w:rPr>
                <w:sz w:val="20"/>
                <w:szCs w:val="20"/>
                <w:color w:val="auto"/>
              </w:rPr>
            </w:pPr>
            <w:r>
              <w:rPr>
                <w:rFonts w:ascii="Calibri" w:cs="Calibri" w:eastAsia="Calibri" w:hAnsi="Calibri"/>
                <w:sz w:val="15"/>
                <w:szCs w:val="15"/>
                <w:color w:val="auto"/>
              </w:rPr>
              <w:t>n.a</w:t>
            </w:r>
          </w:p>
        </w:tc>
      </w:tr>
      <w:tr>
        <w:trPr>
          <w:trHeight w:val="567"/>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Proft before income tax</w:t>
            </w:r>
          </w:p>
        </w:tc>
        <w:tc>
          <w:tcPr>
            <w:tcW w:w="840" w:type="dxa"/>
            <w:vAlign w:val="bottom"/>
            <w:tcBorders>
              <w:right w:val="single" w:sz="8" w:color="auto"/>
            </w:tcBorders>
          </w:tcPr>
          <w:p>
            <w:pPr>
              <w:spacing w:after="0"/>
              <w:rPr>
                <w:sz w:val="24"/>
                <w:szCs w:val="24"/>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b w:val="1"/>
                <w:bCs w:val="1"/>
                <w:color w:val="auto"/>
              </w:rPr>
              <w:t>1,191,609</w:t>
            </w:r>
          </w:p>
        </w:tc>
        <w:tc>
          <w:tcPr>
            <w:tcW w:w="120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1,119,620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1,425,011</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6"/>
              </w:rPr>
              <w:t>27.3%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19.6%</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Income tax</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color w:val="auto"/>
              </w:rPr>
              <w:t>(42,000)</w:t>
            </w:r>
          </w:p>
        </w:tc>
        <w:tc>
          <w:tcPr>
            <w:tcW w:w="1200" w:type="dxa"/>
            <w:vAlign w:val="bottom"/>
          </w:tcPr>
          <w:p>
            <w:pPr>
              <w:jc w:val="right"/>
              <w:ind w:right="164"/>
              <w:spacing w:after="0"/>
              <w:rPr>
                <w:sz w:val="20"/>
                <w:szCs w:val="20"/>
                <w:color w:val="auto"/>
              </w:rPr>
            </w:pPr>
            <w:r>
              <w:rPr>
                <w:rFonts w:ascii="Calibri" w:cs="Calibri" w:eastAsia="Calibri" w:hAnsi="Calibri"/>
                <w:sz w:val="15"/>
                <w:szCs w:val="15"/>
                <w:color w:val="auto"/>
              </w:rPr>
              <w:t>(42,000)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(46,795)</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6"/>
              </w:rPr>
              <w:t>11.4%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11.4%</w:t>
            </w:r>
          </w:p>
        </w:tc>
      </w:tr>
      <w:tr>
        <w:trPr>
          <w:trHeight w:val="204"/>
        </w:trPr>
        <w:tc>
          <w:tcPr>
            <w:tcW w:w="438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Net income</w:t>
            </w:r>
          </w:p>
        </w:tc>
        <w:tc>
          <w:tcPr>
            <w:tcW w:w="840" w:type="dxa"/>
            <w:vAlign w:val="bottom"/>
            <w:tcBorders>
              <w:right w:val="single" w:sz="8" w:color="auto"/>
            </w:tcBorders>
          </w:tcPr>
          <w:p>
            <w:pPr>
              <w:spacing w:after="0"/>
              <w:rPr>
                <w:sz w:val="17"/>
                <w:szCs w:val="17"/>
                <w:color w:val="auto"/>
              </w:rPr>
            </w:pPr>
          </w:p>
        </w:tc>
        <w:tc>
          <w:tcPr>
            <w:tcW w:w="1700" w:type="dxa"/>
            <w:vAlign w:val="bottom"/>
          </w:tcPr>
          <w:p>
            <w:pPr>
              <w:jc w:val="right"/>
              <w:ind w:right="304"/>
              <w:spacing w:after="0"/>
              <w:rPr>
                <w:sz w:val="20"/>
                <w:szCs w:val="20"/>
                <w:color w:val="auto"/>
              </w:rPr>
            </w:pPr>
            <w:r>
              <w:rPr>
                <w:rFonts w:ascii="Calibri" w:cs="Calibri" w:eastAsia="Calibri" w:hAnsi="Calibri"/>
                <w:sz w:val="15"/>
                <w:szCs w:val="15"/>
                <w:b w:val="1"/>
                <w:bCs w:val="1"/>
                <w:color w:val="auto"/>
              </w:rPr>
              <w:t>1,149,609</w:t>
            </w:r>
          </w:p>
        </w:tc>
        <w:tc>
          <w:tcPr>
            <w:tcW w:w="120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1,077,620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1,378,216</w:t>
            </w: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6"/>
              </w:rPr>
              <w:t>27.9%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19.9%</w:t>
            </w:r>
          </w:p>
        </w:tc>
      </w:tr>
      <w:tr>
        <w:trPr>
          <w:trHeight w:val="35"/>
        </w:trPr>
        <w:tc>
          <w:tcPr>
            <w:tcW w:w="4380" w:type="dxa"/>
            <w:vAlign w:val="bottom"/>
            <w:tcBorders>
              <w:left w:val="single" w:sz="8" w:color="auto"/>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r>
      <w:tr>
        <w:trPr>
          <w:trHeight w:val="184"/>
        </w:trPr>
        <w:tc>
          <w:tcPr>
            <w:tcW w:w="4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79"/>
        </w:trPr>
        <w:tc>
          <w:tcPr>
            <w:tcW w:w="4380" w:type="dxa"/>
            <w:vAlign w:val="bottom"/>
            <w:tcBorders>
              <w:left w:val="single" w:sz="8" w:color="auto"/>
            </w:tcBorders>
          </w:tcPr>
          <w:p>
            <w:pPr>
              <w:ind w:left="40"/>
              <w:spacing w:after="0" w:line="180" w:lineRule="exact"/>
              <w:rPr>
                <w:sz w:val="20"/>
                <w:szCs w:val="20"/>
                <w:color w:val="auto"/>
              </w:rPr>
            </w:pPr>
            <w:r>
              <w:rPr>
                <w:rFonts w:ascii="Calibri" w:cs="Calibri" w:eastAsia="Calibri" w:hAnsi="Calibri"/>
                <w:sz w:val="15"/>
                <w:szCs w:val="15"/>
                <w:b w:val="1"/>
                <w:bCs w:val="1"/>
                <w:color w:val="auto"/>
              </w:rPr>
              <w:t>Double Leverage Rato</w:t>
            </w:r>
          </w:p>
        </w:tc>
        <w:tc>
          <w:tcPr>
            <w:tcW w:w="840" w:type="dxa"/>
            <w:vAlign w:val="bottom"/>
            <w:tcBorders>
              <w:right w:val="single" w:sz="8" w:color="auto"/>
            </w:tcBorders>
          </w:tcPr>
          <w:p>
            <w:pPr>
              <w:spacing w:after="0"/>
              <w:rPr>
                <w:sz w:val="15"/>
                <w:szCs w:val="15"/>
                <w:color w:val="auto"/>
              </w:rPr>
            </w:pPr>
          </w:p>
        </w:tc>
        <w:tc>
          <w:tcPr>
            <w:tcW w:w="1700" w:type="dxa"/>
            <w:vAlign w:val="bottom"/>
          </w:tcPr>
          <w:p>
            <w:pPr>
              <w:jc w:val="right"/>
              <w:ind w:right="304"/>
              <w:spacing w:after="0" w:line="180" w:lineRule="exact"/>
              <w:rPr>
                <w:sz w:val="20"/>
                <w:szCs w:val="20"/>
                <w:color w:val="auto"/>
              </w:rPr>
            </w:pPr>
            <w:r>
              <w:rPr>
                <w:rFonts w:ascii="Calibri" w:cs="Calibri" w:eastAsia="Calibri" w:hAnsi="Calibri"/>
                <w:sz w:val="15"/>
                <w:szCs w:val="15"/>
                <w:b w:val="1"/>
                <w:bCs w:val="1"/>
                <w:color w:val="auto"/>
              </w:rPr>
              <w:t>101.89%</w:t>
            </w:r>
          </w:p>
        </w:tc>
        <w:tc>
          <w:tcPr>
            <w:tcW w:w="1200" w:type="dxa"/>
            <w:vAlign w:val="bottom"/>
          </w:tcPr>
          <w:p>
            <w:pPr>
              <w:jc w:val="right"/>
              <w:ind w:right="164"/>
              <w:spacing w:after="0" w:line="180" w:lineRule="exact"/>
              <w:rPr>
                <w:sz w:val="20"/>
                <w:szCs w:val="20"/>
                <w:color w:val="auto"/>
              </w:rPr>
            </w:pPr>
            <w:r>
              <w:rPr>
                <w:rFonts w:ascii="Calibri" w:cs="Calibri" w:eastAsia="Calibri" w:hAnsi="Calibri"/>
                <w:sz w:val="15"/>
                <w:szCs w:val="15"/>
                <w:b w:val="1"/>
                <w:bCs w:val="1"/>
                <w:color w:val="auto"/>
              </w:rPr>
              <w:t>102.16%</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101.98%</w:t>
            </w:r>
          </w:p>
        </w:tc>
        <w:tc>
          <w:tcPr>
            <w:tcW w:w="1000" w:type="dxa"/>
            <w:vAlign w:val="bottom"/>
          </w:tcPr>
          <w:p>
            <w:pPr>
              <w:jc w:val="center"/>
              <w:spacing w:after="0" w:line="180" w:lineRule="exact"/>
              <w:rPr>
                <w:sz w:val="20"/>
                <w:szCs w:val="20"/>
                <w:color w:val="auto"/>
              </w:rPr>
            </w:pPr>
            <w:r>
              <w:rPr>
                <w:rFonts w:ascii="Calibri" w:cs="Calibri" w:eastAsia="Calibri" w:hAnsi="Calibri"/>
                <w:sz w:val="15"/>
                <w:szCs w:val="15"/>
                <w:color w:val="auto"/>
                <w:w w:val="96"/>
              </w:rPr>
              <w:t>-18bps</w:t>
            </w:r>
          </w:p>
        </w:tc>
        <w:tc>
          <w:tcPr>
            <w:tcW w:w="102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7"/>
              </w:rPr>
              <w:t>10bps</w:t>
            </w:r>
          </w:p>
        </w:tc>
      </w:tr>
      <w:tr>
        <w:trPr>
          <w:trHeight w:val="27"/>
        </w:trPr>
        <w:tc>
          <w:tcPr>
            <w:tcW w:w="438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bl>
    <w:p>
      <w:pPr>
        <w:spacing w:after="0" w:line="35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3910" cy="146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80"/>
          </w:cols>
          <w:pgMar w:left="300" w:top="365" w:right="319" w:bottom="1440" w:gutter="0" w:footer="0" w:header="0"/>
        </w:sectPr>
      </w:pPr>
    </w:p>
    <w:bookmarkStart w:id="71" w:name="page72"/>
    <w:bookmarkEnd w:id="71"/>
    <w:p>
      <w:pPr>
        <w:ind w:left="2720"/>
        <w:spacing w:after="0"/>
        <w:tabs>
          <w:tab w:leader="none" w:pos="2920" w:val="left"/>
          <w:tab w:leader="none" w:pos="858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3910" cy="2305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p>
      <w:pPr>
        <w:ind w:left="20"/>
        <w:spacing w:after="0"/>
        <w:rPr>
          <w:sz w:val="20"/>
          <w:szCs w:val="20"/>
          <w:color w:val="auto"/>
        </w:rPr>
      </w:pPr>
      <w:r>
        <w:rPr>
          <w:rFonts w:ascii="Calibri" w:cs="Calibri" w:eastAsia="Calibri" w:hAnsi="Calibri"/>
          <w:sz w:val="15"/>
          <w:szCs w:val="15"/>
          <w:b w:val="1"/>
          <w:bCs w:val="1"/>
          <w:color w:val="auto"/>
        </w:rPr>
        <w:t>12.6.3. BCP Consolidated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BANCO DE CREDITO DEL PERU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 OF FINANCIAL POSITION</w:t>
      </w:r>
    </w:p>
    <w:p>
      <w:pPr>
        <w:jc w:val="center"/>
        <w:spacing w:after="0"/>
        <w:rPr>
          <w:sz w:val="20"/>
          <w:szCs w:val="20"/>
          <w:color w:val="auto"/>
        </w:rPr>
      </w:pPr>
      <w:r>
        <w:rPr>
          <w:rFonts w:ascii="Arial" w:cs="Arial" w:eastAsia="Arial" w:hAnsi="Arial"/>
          <w:sz w:val="12"/>
          <w:szCs w:val="12"/>
          <w:b w:val="1"/>
          <w:bCs w:val="1"/>
          <w:color w:val="auto"/>
        </w:rPr>
        <w:t>(In S/ thousands, IFRS)</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5200" w:type="dxa"/>
            <w:vAlign w:val="bottom"/>
            <w:tcBorders>
              <w:right w:val="single" w:sz="8" w:color="auto"/>
            </w:tcBorders>
          </w:tcPr>
          <w:p>
            <w:pPr>
              <w:spacing w:after="0"/>
              <w:rPr>
                <w:sz w:val="16"/>
                <w:szCs w:val="16"/>
                <w:color w:val="auto"/>
              </w:rPr>
            </w:pPr>
          </w:p>
        </w:tc>
        <w:tc>
          <w:tcPr>
            <w:tcW w:w="1580" w:type="dxa"/>
            <w:vAlign w:val="bottom"/>
            <w:tcBorders>
              <w:top w:val="single" w:sz="8" w:color="auto"/>
            </w:tcBorders>
            <w:shd w:val="clear" w:color="auto" w:fill="33CCCC"/>
          </w:tcPr>
          <w:p>
            <w:pPr>
              <w:spacing w:after="0"/>
              <w:rPr>
                <w:sz w:val="16"/>
                <w:szCs w:val="16"/>
                <w:color w:val="auto"/>
              </w:rPr>
            </w:pPr>
          </w:p>
        </w:tc>
        <w:tc>
          <w:tcPr>
            <w:tcW w:w="1340" w:type="dxa"/>
            <w:vAlign w:val="bottom"/>
            <w:tcBorders>
              <w:top w:val="single" w:sz="8" w:color="auto"/>
            </w:tcBorders>
            <w:shd w:val="clear" w:color="auto" w:fill="33CCCC"/>
          </w:tcPr>
          <w:p>
            <w:pPr>
              <w:jc w:val="right"/>
              <w:ind w:right="680"/>
              <w:spacing w:after="0"/>
              <w:rPr>
                <w:sz w:val="20"/>
                <w:szCs w:val="20"/>
                <w:color w:val="auto"/>
              </w:rPr>
            </w:pPr>
            <w:r>
              <w:rPr>
                <w:rFonts w:ascii="Arial" w:cs="Arial" w:eastAsia="Arial" w:hAnsi="Arial"/>
                <w:sz w:val="12"/>
                <w:szCs w:val="12"/>
                <w:b w:val="1"/>
                <w:bCs w:val="1"/>
                <w:color w:val="FFFFFF"/>
              </w:rPr>
              <w:t>As of</w:t>
            </w:r>
          </w:p>
        </w:tc>
        <w:tc>
          <w:tcPr>
            <w:tcW w:w="1140" w:type="dxa"/>
            <w:vAlign w:val="bottom"/>
            <w:tcBorders>
              <w:top w:val="single" w:sz="8" w:color="auto"/>
              <w:right w:val="single" w:sz="8" w:color="auto"/>
            </w:tcBorders>
            <w:shd w:val="clear" w:color="auto" w:fill="33CCCC"/>
          </w:tcPr>
          <w:p>
            <w:pPr>
              <w:spacing w:after="0"/>
              <w:rPr>
                <w:sz w:val="16"/>
                <w:szCs w:val="16"/>
                <w:color w:val="auto"/>
              </w:rPr>
            </w:pPr>
          </w:p>
        </w:tc>
        <w:tc>
          <w:tcPr>
            <w:tcW w:w="1300" w:type="dxa"/>
            <w:vAlign w:val="bottom"/>
            <w:tcBorders>
              <w:top w:val="single" w:sz="8" w:color="auto"/>
            </w:tcBorders>
            <w:shd w:val="clear" w:color="auto" w:fill="33CCCC"/>
          </w:tcPr>
          <w:p>
            <w:pPr>
              <w:ind w:left="720"/>
              <w:spacing w:after="0"/>
              <w:rPr>
                <w:sz w:val="20"/>
                <w:szCs w:val="20"/>
                <w:color w:val="auto"/>
              </w:rPr>
            </w:pPr>
            <w:r>
              <w:rPr>
                <w:rFonts w:ascii="Arial" w:cs="Arial" w:eastAsia="Arial" w:hAnsi="Arial"/>
                <w:sz w:val="12"/>
                <w:szCs w:val="12"/>
                <w:b w:val="1"/>
                <w:bCs w:val="1"/>
                <w:color w:val="FFFFFF"/>
                <w:w w:val="99"/>
              </w:rPr>
              <w:t>% change</w:t>
            </w:r>
          </w:p>
        </w:tc>
        <w:tc>
          <w:tcPr>
            <w:tcW w:w="720" w:type="dxa"/>
            <w:vAlign w:val="bottom"/>
            <w:tcBorders>
              <w:top w:val="single" w:sz="8" w:color="auto"/>
              <w:right w:val="single" w:sz="8" w:color="auto"/>
            </w:tcBorders>
            <w:shd w:val="clear" w:color="auto" w:fill="33CCCC"/>
          </w:tcPr>
          <w:p>
            <w:pPr>
              <w:spacing w:after="0"/>
              <w:rPr>
                <w:sz w:val="16"/>
                <w:szCs w:val="16"/>
                <w:color w:val="auto"/>
              </w:rPr>
            </w:pPr>
          </w:p>
        </w:tc>
      </w:tr>
      <w:tr>
        <w:trPr>
          <w:trHeight w:val="186"/>
        </w:trPr>
        <w:tc>
          <w:tcPr>
            <w:tcW w:w="520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tcBorders>
            <w:shd w:val="clear" w:color="auto" w:fill="33CCCC"/>
          </w:tcPr>
          <w:p>
            <w:pPr>
              <w:jc w:val="right"/>
              <w:ind w:right="660"/>
              <w:spacing w:after="0"/>
              <w:rPr>
                <w:sz w:val="20"/>
                <w:szCs w:val="20"/>
                <w:color w:val="auto"/>
              </w:rPr>
            </w:pPr>
            <w:r>
              <w:rPr>
                <w:rFonts w:ascii="Arial" w:cs="Arial" w:eastAsia="Arial" w:hAnsi="Arial"/>
                <w:sz w:val="12"/>
                <w:szCs w:val="12"/>
                <w:b w:val="1"/>
                <w:bCs w:val="1"/>
                <w:color w:val="FFFFFF"/>
              </w:rPr>
              <w:t>Mar 22</w:t>
            </w:r>
          </w:p>
        </w:tc>
        <w:tc>
          <w:tcPr>
            <w:tcW w:w="1340" w:type="dxa"/>
            <w:vAlign w:val="bottom"/>
            <w:tcBorders>
              <w:bottom w:val="single" w:sz="8" w:color="auto"/>
            </w:tcBorders>
            <w:shd w:val="clear" w:color="auto" w:fill="33CCCC"/>
          </w:tcPr>
          <w:p>
            <w:pPr>
              <w:jc w:val="right"/>
              <w:ind w:right="640"/>
              <w:spacing w:after="0"/>
              <w:rPr>
                <w:sz w:val="20"/>
                <w:szCs w:val="20"/>
                <w:color w:val="auto"/>
              </w:rPr>
            </w:pPr>
            <w:r>
              <w:rPr>
                <w:rFonts w:ascii="Arial" w:cs="Arial" w:eastAsia="Arial" w:hAnsi="Arial"/>
                <w:sz w:val="12"/>
                <w:szCs w:val="12"/>
                <w:b w:val="1"/>
                <w:bCs w:val="1"/>
                <w:color w:val="FFFFFF"/>
              </w:rPr>
              <w:t>Dec 22</w:t>
            </w:r>
          </w:p>
        </w:tc>
        <w:tc>
          <w:tcPr>
            <w:tcW w:w="1140" w:type="dxa"/>
            <w:vAlign w:val="bottom"/>
            <w:tcBorders>
              <w:bottom w:val="single" w:sz="8" w:color="auto"/>
              <w:right w:val="single" w:sz="8" w:color="auto"/>
            </w:tcBorders>
            <w:shd w:val="clear" w:color="auto" w:fill="33CCCC"/>
          </w:tcPr>
          <w:p>
            <w:pPr>
              <w:jc w:val="right"/>
              <w:ind w:right="440"/>
              <w:spacing w:after="0"/>
              <w:rPr>
                <w:sz w:val="20"/>
                <w:szCs w:val="20"/>
                <w:color w:val="auto"/>
              </w:rPr>
            </w:pPr>
            <w:r>
              <w:rPr>
                <w:rFonts w:ascii="Arial" w:cs="Arial" w:eastAsia="Arial" w:hAnsi="Arial"/>
                <w:sz w:val="12"/>
                <w:szCs w:val="12"/>
                <w:b w:val="1"/>
                <w:bCs w:val="1"/>
                <w:color w:val="FFFFFF"/>
              </w:rPr>
              <w:t>Mar 23</w:t>
            </w:r>
          </w:p>
        </w:tc>
        <w:tc>
          <w:tcPr>
            <w:tcW w:w="1300" w:type="dxa"/>
            <w:vAlign w:val="bottom"/>
            <w:tcBorders>
              <w:bottom w:val="single" w:sz="8" w:color="auto"/>
            </w:tcBorders>
            <w:shd w:val="clear" w:color="auto" w:fill="33CCCC"/>
          </w:tcPr>
          <w:p>
            <w:pPr>
              <w:ind w:left="360"/>
              <w:spacing w:after="0"/>
              <w:rPr>
                <w:sz w:val="20"/>
                <w:szCs w:val="20"/>
                <w:color w:val="auto"/>
              </w:rPr>
            </w:pPr>
            <w:r>
              <w:rPr>
                <w:rFonts w:ascii="Arial" w:cs="Arial" w:eastAsia="Arial" w:hAnsi="Arial"/>
                <w:sz w:val="12"/>
                <w:szCs w:val="12"/>
                <w:b w:val="1"/>
                <w:bCs w:val="1"/>
                <w:color w:val="FFFFFF"/>
              </w:rPr>
              <w:t>QoQ</w:t>
            </w:r>
          </w:p>
        </w:tc>
        <w:tc>
          <w:tcPr>
            <w:tcW w:w="720" w:type="dxa"/>
            <w:vAlign w:val="bottom"/>
            <w:tcBorders>
              <w:bottom w:val="single" w:sz="8" w:color="auto"/>
              <w:right w:val="single" w:sz="8" w:color="auto"/>
            </w:tcBorders>
            <w:shd w:val="clear" w:color="auto" w:fill="33CCCC"/>
          </w:tcPr>
          <w:p>
            <w:pPr>
              <w:jc w:val="center"/>
              <w:ind w:right="280"/>
              <w:spacing w:after="0"/>
              <w:rPr>
                <w:sz w:val="20"/>
                <w:szCs w:val="20"/>
                <w:color w:val="auto"/>
              </w:rPr>
            </w:pPr>
            <w:r>
              <w:rPr>
                <w:rFonts w:ascii="Arial" w:cs="Arial" w:eastAsia="Arial" w:hAnsi="Arial"/>
                <w:sz w:val="12"/>
                <w:szCs w:val="12"/>
                <w:b w:val="1"/>
                <w:bCs w:val="1"/>
                <w:color w:val="FFFFFF"/>
                <w:w w:val="94"/>
              </w:rPr>
              <w:t>YoY</w:t>
            </w:r>
          </w:p>
        </w:tc>
      </w:tr>
      <w:tr>
        <w:trPr>
          <w:trHeight w:val="169"/>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ASSETS</w:t>
            </w: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r>
      <w:tr>
        <w:trPr>
          <w:trHeight w:val="182"/>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Cash and due from banks</w:t>
            </w:r>
          </w:p>
        </w:tc>
        <w:tc>
          <w:tcPr>
            <w:tcW w:w="1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r>
      <w:tr>
        <w:trPr>
          <w:trHeight w:val="175"/>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Non-interest bearing</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4,959,579</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5,780,728</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5,456,302</w:t>
            </w: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rPr>
              <w:t>-5.6%</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w w:val="99"/>
              </w:rPr>
              <w:t>10.0%</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Interest bearing</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28,253,501</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25,594,929</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26,924,509</w:t>
            </w: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rPr>
              <w:t>5.2%</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color w:val="auto"/>
              </w:rPr>
              <w:t>-4.7%</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Total cash and due from banks</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33,213,080</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31,375,657</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32,380,811</w:t>
            </w: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rPr>
              <w:t>3.2%</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rPr>
              <w:t>-2.5%</w:t>
            </w:r>
          </w:p>
        </w:tc>
      </w:tr>
      <w:tr>
        <w:trPr>
          <w:trHeight w:val="159"/>
        </w:trPr>
        <w:tc>
          <w:tcPr>
            <w:tcW w:w="5200" w:type="dxa"/>
            <w:vAlign w:val="bottom"/>
            <w:tcBorders>
              <w:left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r>
      <w:tr>
        <w:trPr>
          <w:trHeight w:val="181"/>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Cash collateral, reverse repurchase agreements and securities borrowing</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202,127</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244,017</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232,059</w:t>
            </w: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rPr>
              <w:t>-4.9%</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99"/>
              </w:rPr>
              <w:t>14.8%</w:t>
            </w:r>
          </w:p>
        </w:tc>
      </w:tr>
      <w:tr>
        <w:trPr>
          <w:trHeight w:val="165"/>
        </w:trPr>
        <w:tc>
          <w:tcPr>
            <w:tcW w:w="5200" w:type="dxa"/>
            <w:vAlign w:val="bottom"/>
            <w:tcBorders>
              <w:left w:val="single" w:sz="8" w:color="auto"/>
              <w:right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r>
      <w:tr>
        <w:trPr>
          <w:trHeight w:val="175"/>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Fair value through profit or loss investments</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729,168</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1,011</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39,638</w:t>
            </w: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rPr>
              <w:t>3820.7%</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99"/>
              </w:rPr>
              <w:t>-94.6%</w:t>
            </w:r>
          </w:p>
        </w:tc>
      </w:tr>
      <w:tr>
        <w:trPr>
          <w:trHeight w:val="159"/>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Fair value through other comprehensive income investments</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20,202,882</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15,260,159</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17,702,831</w:t>
            </w:r>
          </w:p>
        </w:tc>
        <w:tc>
          <w:tcPr>
            <w:tcW w:w="1300" w:type="dxa"/>
            <w:vAlign w:val="bottom"/>
          </w:tcPr>
          <w:p>
            <w:pPr>
              <w:jc w:val="center"/>
              <w:ind w:right="260"/>
              <w:spacing w:after="0"/>
              <w:rPr>
                <w:sz w:val="20"/>
                <w:szCs w:val="20"/>
                <w:color w:val="auto"/>
              </w:rPr>
            </w:pPr>
            <w:r>
              <w:rPr>
                <w:rFonts w:ascii="Arial" w:cs="Arial" w:eastAsia="Arial" w:hAnsi="Arial"/>
                <w:sz w:val="12"/>
                <w:szCs w:val="12"/>
                <w:b w:val="1"/>
                <w:bCs w:val="1"/>
                <w:color w:val="auto"/>
                <w:w w:val="99"/>
              </w:rPr>
              <w:t>16.0%</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99"/>
              </w:rPr>
              <w:t>-12.4%</w:t>
            </w:r>
          </w:p>
        </w:tc>
      </w:tr>
      <w:tr>
        <w:trPr>
          <w:trHeight w:val="159"/>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Amortized cost investments</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7,538,562</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9,831,983</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9,661,389</w:t>
            </w: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rPr>
              <w:t>-1.7%</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99"/>
              </w:rPr>
              <w:t>28.2%</w:t>
            </w:r>
          </w:p>
        </w:tc>
      </w:tr>
      <w:tr>
        <w:trPr>
          <w:trHeight w:val="159"/>
        </w:trPr>
        <w:tc>
          <w:tcPr>
            <w:tcW w:w="5200" w:type="dxa"/>
            <w:vAlign w:val="bottom"/>
            <w:tcBorders>
              <w:left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r>
      <w:tr>
        <w:trPr>
          <w:trHeight w:val="181"/>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Loans</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132,578,949</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136,046,442</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132,290,495</w:t>
            </w: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rPr>
              <w:t>-2.8%</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rPr>
              <w:t>-0.2%</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Current</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126,930,472</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130,396,010</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126,846,139</w:t>
            </w: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rPr>
              <w:t>-2.7%</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color w:val="auto"/>
              </w:rPr>
              <w:t>-0.1%</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Internal overdue loans</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5,648,477</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5,650,432</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5,444,356</w:t>
            </w: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rPr>
              <w:t>-3.6%</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color w:val="auto"/>
              </w:rPr>
              <w:t>-3.6%</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Less - allowance for loan losses</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(7,769,920)</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(7,408,223)</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(7,450,091)</w:t>
            </w: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rPr>
              <w:t>0.6%</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color w:val="auto"/>
              </w:rPr>
              <w:t>-4.1%</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Loans, net</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124,809,029</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128,638,219</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124,840,404</w:t>
            </w: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rPr>
              <w:t>-3.0%</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rPr>
              <w:t>0.0%</w:t>
            </w:r>
          </w:p>
        </w:tc>
      </w:tr>
      <w:tr>
        <w:trPr>
          <w:trHeight w:val="159"/>
        </w:trPr>
        <w:tc>
          <w:tcPr>
            <w:tcW w:w="5200" w:type="dxa"/>
            <w:vAlign w:val="bottom"/>
            <w:tcBorders>
              <w:left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r>
      <w:tr>
        <w:trPr>
          <w:trHeight w:val="181"/>
        </w:trPr>
        <w:tc>
          <w:tcPr>
            <w:tcW w:w="5200" w:type="dxa"/>
            <w:vAlign w:val="bottom"/>
            <w:tcBorders>
              <w:left w:val="single" w:sz="8" w:color="auto"/>
              <w:right w:val="single" w:sz="8" w:color="auto"/>
            </w:tcBorders>
          </w:tcPr>
          <w:p>
            <w:pPr>
              <w:ind w:left="40"/>
              <w:spacing w:after="0" w:line="181" w:lineRule="exact"/>
              <w:rPr>
                <w:sz w:val="20"/>
                <w:szCs w:val="20"/>
                <w:color w:val="auto"/>
              </w:rPr>
            </w:pPr>
            <w:r>
              <w:rPr>
                <w:rFonts w:ascii="Arial" w:cs="Arial" w:eastAsia="Arial" w:hAnsi="Arial"/>
                <w:sz w:val="12"/>
                <w:szCs w:val="12"/>
                <w:b w:val="1"/>
                <w:bCs w:val="1"/>
                <w:color w:val="auto"/>
              </w:rPr>
              <w:t xml:space="preserve">Property, furniture and equipment, net </w:t>
            </w:r>
            <w:r>
              <w:rPr>
                <w:rFonts w:ascii="Arial" w:cs="Arial" w:eastAsia="Arial" w:hAnsi="Arial"/>
                <w:sz w:val="20"/>
                <w:szCs w:val="20"/>
                <w:color w:val="auto"/>
                <w:vertAlign w:val="superscript"/>
              </w:rPr>
              <w:t>(1)</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1,593,758</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1,536,875</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1,489,392</w:t>
            </w: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rPr>
              <w:t>-3.1%</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rPr>
              <w:t>-6.5%</w:t>
            </w:r>
          </w:p>
        </w:tc>
      </w:tr>
      <w:tr>
        <w:trPr>
          <w:trHeight w:val="159"/>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Due from customers on acceptances</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524,448</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699,678</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496,170</w:t>
            </w:r>
          </w:p>
        </w:tc>
        <w:tc>
          <w:tcPr>
            <w:tcW w:w="1300" w:type="dxa"/>
            <w:vAlign w:val="bottom"/>
          </w:tcPr>
          <w:p>
            <w:pPr>
              <w:jc w:val="center"/>
              <w:ind w:right="260"/>
              <w:spacing w:after="0"/>
              <w:rPr>
                <w:sz w:val="20"/>
                <w:szCs w:val="20"/>
                <w:color w:val="auto"/>
              </w:rPr>
            </w:pPr>
            <w:r>
              <w:rPr>
                <w:rFonts w:ascii="Arial" w:cs="Arial" w:eastAsia="Arial" w:hAnsi="Arial"/>
                <w:sz w:val="12"/>
                <w:szCs w:val="12"/>
                <w:b w:val="1"/>
                <w:bCs w:val="1"/>
                <w:color w:val="auto"/>
                <w:w w:val="99"/>
              </w:rPr>
              <w:t>-29.1%</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rPr>
              <w:t>-5.4%</w:t>
            </w:r>
          </w:p>
        </w:tc>
      </w:tr>
      <w:tr>
        <w:trPr>
          <w:trHeight w:val="145"/>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Investments in associates</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31,859</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28,578</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18,246</w:t>
            </w:r>
          </w:p>
        </w:tc>
        <w:tc>
          <w:tcPr>
            <w:tcW w:w="1300" w:type="dxa"/>
            <w:vAlign w:val="bottom"/>
          </w:tcPr>
          <w:p>
            <w:pPr>
              <w:jc w:val="center"/>
              <w:ind w:right="260"/>
              <w:spacing w:after="0"/>
              <w:rPr>
                <w:sz w:val="20"/>
                <w:szCs w:val="20"/>
                <w:color w:val="auto"/>
              </w:rPr>
            </w:pPr>
            <w:r>
              <w:rPr>
                <w:rFonts w:ascii="Arial" w:cs="Arial" w:eastAsia="Arial" w:hAnsi="Arial"/>
                <w:sz w:val="12"/>
                <w:szCs w:val="12"/>
                <w:b w:val="1"/>
                <w:bCs w:val="1"/>
                <w:color w:val="auto"/>
                <w:w w:val="99"/>
              </w:rPr>
              <w:t>-36.2%</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99"/>
              </w:rPr>
              <w:t>-42.7%</w:t>
            </w:r>
          </w:p>
        </w:tc>
      </w:tr>
      <w:tr>
        <w:trPr>
          <w:trHeight w:val="173"/>
        </w:trPr>
        <w:tc>
          <w:tcPr>
            <w:tcW w:w="5200" w:type="dxa"/>
            <w:vAlign w:val="bottom"/>
            <w:tcBorders>
              <w:left w:val="single" w:sz="8" w:color="auto"/>
              <w:right w:val="single" w:sz="8" w:color="auto"/>
            </w:tcBorders>
          </w:tcPr>
          <w:p>
            <w:pPr>
              <w:ind w:left="40"/>
              <w:spacing w:after="0" w:line="173" w:lineRule="exact"/>
              <w:rPr>
                <w:sz w:val="20"/>
                <w:szCs w:val="20"/>
                <w:color w:val="auto"/>
              </w:rPr>
            </w:pPr>
            <w:r>
              <w:rPr>
                <w:rFonts w:ascii="Arial" w:cs="Arial" w:eastAsia="Arial" w:hAnsi="Arial"/>
                <w:sz w:val="12"/>
                <w:szCs w:val="12"/>
                <w:b w:val="1"/>
                <w:bCs w:val="1"/>
                <w:color w:val="auto"/>
              </w:rPr>
              <w:t xml:space="preserve">Other assets </w:t>
            </w:r>
            <w:r>
              <w:rPr>
                <w:rFonts w:ascii="Arial" w:cs="Arial" w:eastAsia="Arial" w:hAnsi="Arial"/>
                <w:sz w:val="20"/>
                <w:szCs w:val="20"/>
                <w:color w:val="auto"/>
                <w:vertAlign w:val="superscript"/>
              </w:rPr>
              <w:t>(2)</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6,100,840</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5,662,055</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6,873,005</w:t>
            </w:r>
          </w:p>
        </w:tc>
        <w:tc>
          <w:tcPr>
            <w:tcW w:w="1300" w:type="dxa"/>
            <w:vAlign w:val="bottom"/>
          </w:tcPr>
          <w:p>
            <w:pPr>
              <w:jc w:val="center"/>
              <w:ind w:right="260"/>
              <w:spacing w:after="0"/>
              <w:rPr>
                <w:sz w:val="20"/>
                <w:szCs w:val="20"/>
                <w:color w:val="auto"/>
              </w:rPr>
            </w:pPr>
            <w:r>
              <w:rPr>
                <w:rFonts w:ascii="Arial" w:cs="Arial" w:eastAsia="Arial" w:hAnsi="Arial"/>
                <w:sz w:val="12"/>
                <w:szCs w:val="12"/>
                <w:b w:val="1"/>
                <w:bCs w:val="1"/>
                <w:color w:val="auto"/>
                <w:w w:val="99"/>
              </w:rPr>
              <w:t>21.4%</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99"/>
              </w:rPr>
              <w:t>12.7%</w:t>
            </w:r>
          </w:p>
        </w:tc>
      </w:tr>
      <w:tr>
        <w:trPr>
          <w:trHeight w:val="159"/>
        </w:trPr>
        <w:tc>
          <w:tcPr>
            <w:tcW w:w="5200" w:type="dxa"/>
            <w:vAlign w:val="bottom"/>
            <w:tcBorders>
              <w:left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r>
      <w:tr>
        <w:trPr>
          <w:trHeight w:val="181"/>
        </w:trPr>
        <w:tc>
          <w:tcPr>
            <w:tcW w:w="5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Total Assets</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194,945,753</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193,278,232</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193,733,945</w:t>
            </w: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rPr>
              <w:t>0.2%</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rPr>
              <w:t>-0.6%</w:t>
            </w:r>
          </w:p>
        </w:tc>
      </w:tr>
      <w:tr>
        <w:trPr>
          <w:trHeight w:val="159"/>
        </w:trPr>
        <w:tc>
          <w:tcPr>
            <w:tcW w:w="5200" w:type="dxa"/>
            <w:vAlign w:val="bottom"/>
            <w:tcBorders>
              <w:left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r>
      <w:tr>
        <w:trPr>
          <w:trHeight w:val="188"/>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Liabilities and Equity</w:t>
            </w:r>
          </w:p>
        </w:tc>
        <w:tc>
          <w:tcPr>
            <w:tcW w:w="1580" w:type="dxa"/>
            <w:vAlign w:val="bottom"/>
          </w:tcPr>
          <w:p>
            <w:pPr>
              <w:spacing w:after="0"/>
              <w:rPr>
                <w:sz w:val="16"/>
                <w:szCs w:val="16"/>
                <w:color w:val="auto"/>
              </w:rPr>
            </w:pP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r>
      <w:tr>
        <w:trPr>
          <w:trHeight w:val="182"/>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Deposits and obligations</w:t>
            </w:r>
          </w:p>
        </w:tc>
        <w:tc>
          <w:tcPr>
            <w:tcW w:w="1580" w:type="dxa"/>
            <w:vAlign w:val="bottom"/>
          </w:tcPr>
          <w:p>
            <w:pPr>
              <w:spacing w:after="0"/>
              <w:rPr>
                <w:sz w:val="15"/>
                <w:szCs w:val="15"/>
                <w:color w:val="auto"/>
              </w:rPr>
            </w:pP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r>
      <w:tr>
        <w:trPr>
          <w:trHeight w:val="161"/>
        </w:trPr>
        <w:tc>
          <w:tcPr>
            <w:tcW w:w="5200" w:type="dxa"/>
            <w:vAlign w:val="bottom"/>
            <w:tcBorders>
              <w:left w:val="single" w:sz="8" w:color="auto"/>
              <w:right w:val="single" w:sz="8" w:color="auto"/>
            </w:tcBorders>
          </w:tcPr>
          <w:p>
            <w:pPr>
              <w:ind w:left="160"/>
              <w:spacing w:after="0" w:line="161" w:lineRule="exact"/>
              <w:rPr>
                <w:sz w:val="20"/>
                <w:szCs w:val="20"/>
                <w:color w:val="auto"/>
              </w:rPr>
            </w:pPr>
            <w:r>
              <w:rPr>
                <w:rFonts w:ascii="Arial" w:cs="Arial" w:eastAsia="Arial" w:hAnsi="Arial"/>
                <w:sz w:val="11"/>
                <w:szCs w:val="11"/>
                <w:color w:val="auto"/>
              </w:rPr>
              <w:t xml:space="preserve">Non-interest bearing </w:t>
            </w:r>
            <w:r>
              <w:rPr>
                <w:rFonts w:ascii="Arial" w:cs="Arial" w:eastAsia="Arial" w:hAnsi="Arial"/>
                <w:sz w:val="18"/>
                <w:szCs w:val="18"/>
                <w:color w:val="auto"/>
                <w:vertAlign w:val="superscript"/>
              </w:rPr>
              <w:t>(1)</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45,297,294</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39,399,007</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37,978,204</w:t>
            </w: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rPr>
              <w:t>-3.6%</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w w:val="99"/>
              </w:rPr>
              <w:t>-16.2%</w:t>
            </w:r>
          </w:p>
        </w:tc>
      </w:tr>
      <w:tr>
        <w:trPr>
          <w:trHeight w:val="173"/>
        </w:trPr>
        <w:tc>
          <w:tcPr>
            <w:tcW w:w="5200" w:type="dxa"/>
            <w:vAlign w:val="bottom"/>
            <w:tcBorders>
              <w:left w:val="single" w:sz="8" w:color="auto"/>
              <w:right w:val="single" w:sz="8" w:color="auto"/>
            </w:tcBorders>
          </w:tcPr>
          <w:p>
            <w:pPr>
              <w:ind w:left="160"/>
              <w:spacing w:after="0" w:line="173" w:lineRule="exact"/>
              <w:rPr>
                <w:sz w:val="20"/>
                <w:szCs w:val="20"/>
                <w:color w:val="auto"/>
              </w:rPr>
            </w:pPr>
            <w:r>
              <w:rPr>
                <w:rFonts w:ascii="Arial" w:cs="Arial" w:eastAsia="Arial" w:hAnsi="Arial"/>
                <w:sz w:val="12"/>
                <w:szCs w:val="12"/>
                <w:color w:val="auto"/>
              </w:rPr>
              <w:t xml:space="preserve">Interest bearing </w:t>
            </w:r>
            <w:r>
              <w:rPr>
                <w:rFonts w:ascii="Arial" w:cs="Arial" w:eastAsia="Arial" w:hAnsi="Arial"/>
                <w:sz w:val="20"/>
                <w:szCs w:val="20"/>
                <w:color w:val="auto"/>
                <w:vertAlign w:val="superscript"/>
              </w:rPr>
              <w:t>(1)</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85,125,304</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90,420,659</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93,952,305</w:t>
            </w: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rPr>
              <w:t>3.9%</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w w:val="99"/>
              </w:rPr>
              <w:t>10.4%</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Total deposits and obligations</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130,422,598</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129,819,666</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131,930,509</w:t>
            </w: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rPr>
              <w:t>1.6%</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rPr>
              <w:t>1.2%</w:t>
            </w:r>
          </w:p>
        </w:tc>
      </w:tr>
      <w:tr>
        <w:trPr>
          <w:trHeight w:val="159"/>
        </w:trPr>
        <w:tc>
          <w:tcPr>
            <w:tcW w:w="5200" w:type="dxa"/>
            <w:vAlign w:val="bottom"/>
            <w:tcBorders>
              <w:left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r>
      <w:tr>
        <w:trPr>
          <w:trHeight w:val="181"/>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Payables from repurchase agreements and securities lending</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18,064,487</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11,843,594</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10,318,686</w:t>
            </w:r>
          </w:p>
        </w:tc>
        <w:tc>
          <w:tcPr>
            <w:tcW w:w="1300" w:type="dxa"/>
            <w:vAlign w:val="bottom"/>
          </w:tcPr>
          <w:p>
            <w:pPr>
              <w:jc w:val="center"/>
              <w:ind w:right="260"/>
              <w:spacing w:after="0"/>
              <w:rPr>
                <w:sz w:val="20"/>
                <w:szCs w:val="20"/>
                <w:color w:val="auto"/>
              </w:rPr>
            </w:pPr>
            <w:r>
              <w:rPr>
                <w:rFonts w:ascii="Arial" w:cs="Arial" w:eastAsia="Arial" w:hAnsi="Arial"/>
                <w:sz w:val="12"/>
                <w:szCs w:val="12"/>
                <w:color w:val="auto"/>
                <w:w w:val="99"/>
              </w:rPr>
              <w:t>-12.9%</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w w:val="99"/>
              </w:rPr>
              <w:t>-42.9%</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BCRP instruments</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17,532,350</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11,297,659</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9,780,540</w:t>
            </w:r>
          </w:p>
        </w:tc>
        <w:tc>
          <w:tcPr>
            <w:tcW w:w="1300" w:type="dxa"/>
            <w:vAlign w:val="bottom"/>
          </w:tcPr>
          <w:p>
            <w:pPr>
              <w:jc w:val="center"/>
              <w:ind w:right="260"/>
              <w:spacing w:after="0"/>
              <w:rPr>
                <w:sz w:val="20"/>
                <w:szCs w:val="20"/>
                <w:color w:val="auto"/>
              </w:rPr>
            </w:pPr>
            <w:r>
              <w:rPr>
                <w:rFonts w:ascii="Arial" w:cs="Arial" w:eastAsia="Arial" w:hAnsi="Arial"/>
                <w:sz w:val="12"/>
                <w:szCs w:val="12"/>
                <w:color w:val="auto"/>
                <w:w w:val="99"/>
              </w:rPr>
              <w:t>-13.4%</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w w:val="99"/>
              </w:rPr>
              <w:t>-44.2%</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Repurchase agreements with third parties</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532,137</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545,935</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538,146</w:t>
            </w: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rPr>
              <w:t>-1.4%</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color w:val="auto"/>
              </w:rPr>
              <w:t>1.1%</w:t>
            </w:r>
          </w:p>
        </w:tc>
      </w:tr>
      <w:tr>
        <w:trPr>
          <w:trHeight w:val="159"/>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Due to banks and correspondents</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5,872,463</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8,539,195</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9,647,935</w:t>
            </w:r>
          </w:p>
        </w:tc>
        <w:tc>
          <w:tcPr>
            <w:tcW w:w="1300" w:type="dxa"/>
            <w:vAlign w:val="bottom"/>
          </w:tcPr>
          <w:p>
            <w:pPr>
              <w:jc w:val="center"/>
              <w:ind w:right="260"/>
              <w:spacing w:after="0"/>
              <w:rPr>
                <w:sz w:val="20"/>
                <w:szCs w:val="20"/>
                <w:color w:val="auto"/>
              </w:rPr>
            </w:pPr>
            <w:r>
              <w:rPr>
                <w:rFonts w:ascii="Arial" w:cs="Arial" w:eastAsia="Arial" w:hAnsi="Arial"/>
                <w:sz w:val="12"/>
                <w:szCs w:val="12"/>
                <w:b w:val="1"/>
                <w:bCs w:val="1"/>
                <w:color w:val="auto"/>
                <w:w w:val="99"/>
              </w:rPr>
              <w:t>13.0%</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99"/>
              </w:rPr>
              <w:t>64.3%</w:t>
            </w:r>
          </w:p>
        </w:tc>
      </w:tr>
      <w:tr>
        <w:trPr>
          <w:trHeight w:val="159"/>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Bonds and notes issued</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13,575,977</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13,840,114</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10,972,861</w:t>
            </w:r>
          </w:p>
        </w:tc>
        <w:tc>
          <w:tcPr>
            <w:tcW w:w="1300" w:type="dxa"/>
            <w:vAlign w:val="bottom"/>
          </w:tcPr>
          <w:p>
            <w:pPr>
              <w:jc w:val="center"/>
              <w:ind w:right="260"/>
              <w:spacing w:after="0"/>
              <w:rPr>
                <w:sz w:val="20"/>
                <w:szCs w:val="20"/>
                <w:color w:val="auto"/>
              </w:rPr>
            </w:pPr>
            <w:r>
              <w:rPr>
                <w:rFonts w:ascii="Arial" w:cs="Arial" w:eastAsia="Arial" w:hAnsi="Arial"/>
                <w:sz w:val="12"/>
                <w:szCs w:val="12"/>
                <w:b w:val="1"/>
                <w:bCs w:val="1"/>
                <w:color w:val="auto"/>
                <w:w w:val="99"/>
              </w:rPr>
              <w:t>-20.7%</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99"/>
              </w:rPr>
              <w:t>-19.2%</w:t>
            </w:r>
          </w:p>
        </w:tc>
      </w:tr>
      <w:tr>
        <w:trPr>
          <w:trHeight w:val="159"/>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Banker’s acceptances outstanding</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524,448</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699,678</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496,170</w:t>
            </w:r>
          </w:p>
        </w:tc>
        <w:tc>
          <w:tcPr>
            <w:tcW w:w="1300" w:type="dxa"/>
            <w:vAlign w:val="bottom"/>
          </w:tcPr>
          <w:p>
            <w:pPr>
              <w:jc w:val="center"/>
              <w:ind w:right="260"/>
              <w:spacing w:after="0"/>
              <w:rPr>
                <w:sz w:val="20"/>
                <w:szCs w:val="20"/>
                <w:color w:val="auto"/>
              </w:rPr>
            </w:pPr>
            <w:r>
              <w:rPr>
                <w:rFonts w:ascii="Arial" w:cs="Arial" w:eastAsia="Arial" w:hAnsi="Arial"/>
                <w:sz w:val="12"/>
                <w:szCs w:val="12"/>
                <w:b w:val="1"/>
                <w:bCs w:val="1"/>
                <w:color w:val="auto"/>
                <w:w w:val="99"/>
              </w:rPr>
              <w:t>-29.1%</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rPr>
              <w:t>-5.4%</w:t>
            </w:r>
          </w:p>
        </w:tc>
      </w:tr>
      <w:tr>
        <w:trPr>
          <w:trHeight w:val="145"/>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Financial liabilities at fair value through profit or loss</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7,669</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193,031</w:t>
            </w: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rPr>
              <w:t>2417.0%</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rPr>
              <w:t>n.a</w:t>
            </w:r>
          </w:p>
        </w:tc>
      </w:tr>
      <w:tr>
        <w:trPr>
          <w:trHeight w:val="173"/>
        </w:trPr>
        <w:tc>
          <w:tcPr>
            <w:tcW w:w="5200" w:type="dxa"/>
            <w:vAlign w:val="bottom"/>
            <w:tcBorders>
              <w:left w:val="single" w:sz="8" w:color="auto"/>
              <w:right w:val="single" w:sz="8" w:color="auto"/>
            </w:tcBorders>
          </w:tcPr>
          <w:p>
            <w:pPr>
              <w:ind w:left="40"/>
              <w:spacing w:after="0" w:line="173" w:lineRule="exact"/>
              <w:rPr>
                <w:sz w:val="20"/>
                <w:szCs w:val="20"/>
                <w:color w:val="auto"/>
              </w:rPr>
            </w:pPr>
            <w:r>
              <w:rPr>
                <w:rFonts w:ascii="Arial" w:cs="Arial" w:eastAsia="Arial" w:hAnsi="Arial"/>
                <w:sz w:val="12"/>
                <w:szCs w:val="12"/>
                <w:b w:val="1"/>
                <w:bCs w:val="1"/>
                <w:color w:val="auto"/>
              </w:rPr>
              <w:t xml:space="preserve">Other liabilities </w:t>
            </w:r>
            <w:r>
              <w:rPr>
                <w:rFonts w:ascii="Arial" w:cs="Arial" w:eastAsia="Arial" w:hAnsi="Arial"/>
                <w:sz w:val="20"/>
                <w:szCs w:val="20"/>
                <w:color w:val="auto"/>
                <w:vertAlign w:val="superscript"/>
              </w:rPr>
              <w:t>(3)</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6,211,275</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5,256,079</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8,245,729</w:t>
            </w:r>
          </w:p>
        </w:tc>
        <w:tc>
          <w:tcPr>
            <w:tcW w:w="1300" w:type="dxa"/>
            <w:vAlign w:val="bottom"/>
          </w:tcPr>
          <w:p>
            <w:pPr>
              <w:jc w:val="center"/>
              <w:ind w:right="260"/>
              <w:spacing w:after="0"/>
              <w:rPr>
                <w:sz w:val="20"/>
                <w:szCs w:val="20"/>
                <w:color w:val="auto"/>
              </w:rPr>
            </w:pPr>
            <w:r>
              <w:rPr>
                <w:rFonts w:ascii="Arial" w:cs="Arial" w:eastAsia="Arial" w:hAnsi="Arial"/>
                <w:sz w:val="12"/>
                <w:szCs w:val="12"/>
                <w:b w:val="1"/>
                <w:bCs w:val="1"/>
                <w:color w:val="auto"/>
                <w:w w:val="99"/>
              </w:rPr>
              <w:t>56.9%</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99"/>
              </w:rPr>
              <w:t>32.8%</w:t>
            </w:r>
          </w:p>
        </w:tc>
      </w:tr>
      <w:tr>
        <w:trPr>
          <w:trHeight w:val="159"/>
        </w:trPr>
        <w:tc>
          <w:tcPr>
            <w:tcW w:w="5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Total Liabilities</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174,671,248</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170,005,995</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171,804,921</w:t>
            </w: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rPr>
              <w:t>1.1%</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rPr>
              <w:t>-1.6%</w:t>
            </w:r>
          </w:p>
        </w:tc>
      </w:tr>
      <w:tr>
        <w:trPr>
          <w:trHeight w:val="159"/>
        </w:trPr>
        <w:tc>
          <w:tcPr>
            <w:tcW w:w="5200" w:type="dxa"/>
            <w:vAlign w:val="bottom"/>
            <w:tcBorders>
              <w:left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r>
      <w:tr>
        <w:trPr>
          <w:trHeight w:val="181"/>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Net equity</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20,140,022</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23,121,902</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21,777,751</w:t>
            </w: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rPr>
              <w:t>-5.8%</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rPr>
              <w:t>8.1%</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Capital stock</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11,882,984</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11,882,984</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12,679,794</w:t>
            </w: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rPr>
              <w:t>6.7%</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color w:val="auto"/>
              </w:rPr>
              <w:t>6.7%</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Reserves</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7,297,648</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6,540,665</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6,820,019</w:t>
            </w: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rPr>
              <w:t>4.3%</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color w:val="auto"/>
              </w:rPr>
              <w:t>-6.5%</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Unrealized gains and losses</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(780,063)</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(549,319)</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(467,041)</w:t>
            </w:r>
          </w:p>
        </w:tc>
        <w:tc>
          <w:tcPr>
            <w:tcW w:w="1300" w:type="dxa"/>
            <w:vAlign w:val="bottom"/>
          </w:tcPr>
          <w:p>
            <w:pPr>
              <w:jc w:val="center"/>
              <w:ind w:right="260"/>
              <w:spacing w:after="0"/>
              <w:rPr>
                <w:sz w:val="20"/>
                <w:szCs w:val="20"/>
                <w:color w:val="auto"/>
              </w:rPr>
            </w:pPr>
            <w:r>
              <w:rPr>
                <w:rFonts w:ascii="Arial" w:cs="Arial" w:eastAsia="Arial" w:hAnsi="Arial"/>
                <w:sz w:val="12"/>
                <w:szCs w:val="12"/>
                <w:color w:val="auto"/>
                <w:w w:val="99"/>
              </w:rPr>
              <w:t>-15.0%</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w w:val="99"/>
              </w:rPr>
              <w:t>-40.1%</w:t>
            </w:r>
          </w:p>
        </w:tc>
      </w:tr>
      <w:tr>
        <w:trPr>
          <w:trHeight w:val="159"/>
        </w:trPr>
        <w:tc>
          <w:tcPr>
            <w:tcW w:w="5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Retained earnings</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1,739,453</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5,247,572</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2,744,979</w:t>
            </w:r>
          </w:p>
        </w:tc>
        <w:tc>
          <w:tcPr>
            <w:tcW w:w="1300" w:type="dxa"/>
            <w:vAlign w:val="bottom"/>
          </w:tcPr>
          <w:p>
            <w:pPr>
              <w:jc w:val="center"/>
              <w:ind w:right="260"/>
              <w:spacing w:after="0"/>
              <w:rPr>
                <w:sz w:val="20"/>
                <w:szCs w:val="20"/>
                <w:color w:val="auto"/>
              </w:rPr>
            </w:pPr>
            <w:r>
              <w:rPr>
                <w:rFonts w:ascii="Arial" w:cs="Arial" w:eastAsia="Arial" w:hAnsi="Arial"/>
                <w:sz w:val="12"/>
                <w:szCs w:val="12"/>
                <w:color w:val="auto"/>
                <w:w w:val="99"/>
              </w:rPr>
              <w:t>-47.7%</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w w:val="99"/>
              </w:rPr>
              <w:t>57.8%</w:t>
            </w:r>
          </w:p>
        </w:tc>
      </w:tr>
      <w:tr>
        <w:trPr>
          <w:trHeight w:val="159"/>
        </w:trPr>
        <w:tc>
          <w:tcPr>
            <w:tcW w:w="5200" w:type="dxa"/>
            <w:vAlign w:val="bottom"/>
            <w:tcBorders>
              <w:left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r>
      <w:tr>
        <w:trPr>
          <w:trHeight w:val="181"/>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Non-controlling interest</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134,483</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150,335</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151,273</w:t>
            </w: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rPr>
              <w:t>0.6%</w:t>
            </w:r>
          </w:p>
        </w:tc>
        <w:tc>
          <w:tcPr>
            <w:tcW w:w="72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w w:val="99"/>
              </w:rPr>
              <w:t>12.5%</w:t>
            </w:r>
          </w:p>
        </w:tc>
      </w:tr>
      <w:tr>
        <w:trPr>
          <w:trHeight w:val="165"/>
        </w:trPr>
        <w:tc>
          <w:tcPr>
            <w:tcW w:w="5200" w:type="dxa"/>
            <w:vAlign w:val="bottom"/>
            <w:tcBorders>
              <w:left w:val="single" w:sz="8" w:color="auto"/>
              <w:right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r>
      <w:tr>
        <w:trPr>
          <w:trHeight w:val="175"/>
        </w:trPr>
        <w:tc>
          <w:tcPr>
            <w:tcW w:w="5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Total Net Equity</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20,274,505</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23,272,237</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21,929,024</w:t>
            </w: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rPr>
              <w:t>-5.8%</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rPr>
              <w:t>8.2%</w:t>
            </w:r>
          </w:p>
        </w:tc>
      </w:tr>
      <w:tr>
        <w:trPr>
          <w:trHeight w:val="159"/>
        </w:trPr>
        <w:tc>
          <w:tcPr>
            <w:tcW w:w="5200" w:type="dxa"/>
            <w:vAlign w:val="bottom"/>
            <w:tcBorders>
              <w:left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r>
      <w:tr>
        <w:trPr>
          <w:trHeight w:val="181"/>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Total liabilities and equity</w:t>
            </w:r>
          </w:p>
        </w:tc>
        <w:tc>
          <w:tcPr>
            <w:tcW w:w="1580" w:type="dxa"/>
            <w:vAlign w:val="bottom"/>
          </w:tcPr>
          <w:p>
            <w:pPr>
              <w:jc w:val="right"/>
              <w:ind w:right="180"/>
              <w:spacing w:after="0"/>
              <w:rPr>
                <w:sz w:val="20"/>
                <w:szCs w:val="20"/>
                <w:color w:val="auto"/>
              </w:rPr>
            </w:pPr>
            <w:r>
              <w:rPr>
                <w:rFonts w:ascii="Arial" w:cs="Arial" w:eastAsia="Arial" w:hAnsi="Arial"/>
                <w:sz w:val="12"/>
                <w:szCs w:val="12"/>
                <w:b w:val="1"/>
                <w:bCs w:val="1"/>
                <w:color w:val="auto"/>
              </w:rPr>
              <w:t>194,945,753</w:t>
            </w:r>
          </w:p>
        </w:tc>
        <w:tc>
          <w:tcPr>
            <w:tcW w:w="1340" w:type="dxa"/>
            <w:vAlign w:val="bottom"/>
          </w:tcPr>
          <w:p>
            <w:pPr>
              <w:jc w:val="right"/>
              <w:ind w:right="180"/>
              <w:spacing w:after="0"/>
              <w:rPr>
                <w:sz w:val="20"/>
                <w:szCs w:val="20"/>
                <w:color w:val="auto"/>
              </w:rPr>
            </w:pPr>
            <w:r>
              <w:rPr>
                <w:rFonts w:ascii="Arial" w:cs="Arial" w:eastAsia="Arial" w:hAnsi="Arial"/>
                <w:sz w:val="12"/>
                <w:szCs w:val="12"/>
                <w:b w:val="1"/>
                <w:bCs w:val="1"/>
                <w:color w:val="auto"/>
              </w:rPr>
              <w:t>193,278,232</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193,733,945</w:t>
            </w:r>
          </w:p>
        </w:tc>
        <w:tc>
          <w:tcPr>
            <w:tcW w:w="1300" w:type="dxa"/>
            <w:vAlign w:val="bottom"/>
          </w:tcPr>
          <w:p>
            <w:pPr>
              <w:jc w:val="center"/>
              <w:ind w:right="240"/>
              <w:spacing w:after="0"/>
              <w:rPr>
                <w:sz w:val="20"/>
                <w:szCs w:val="20"/>
                <w:color w:val="auto"/>
              </w:rPr>
            </w:pPr>
            <w:r>
              <w:rPr>
                <w:rFonts w:ascii="Arial" w:cs="Arial" w:eastAsia="Arial" w:hAnsi="Arial"/>
                <w:sz w:val="12"/>
                <w:szCs w:val="12"/>
                <w:b w:val="1"/>
                <w:bCs w:val="1"/>
                <w:color w:val="auto"/>
              </w:rPr>
              <w:t>0.2%</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rPr>
              <w:t>-0.6%</w:t>
            </w:r>
          </w:p>
        </w:tc>
      </w:tr>
      <w:tr>
        <w:trPr>
          <w:trHeight w:val="159"/>
        </w:trPr>
        <w:tc>
          <w:tcPr>
            <w:tcW w:w="5200" w:type="dxa"/>
            <w:vAlign w:val="bottom"/>
            <w:tcBorders>
              <w:left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r>
      <w:tr>
        <w:trPr>
          <w:trHeight w:val="181"/>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Off-balance sheet</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131,406,579</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137,999,722</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142,247,161</w:t>
            </w: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rPr>
              <w:t>3.1%</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color w:val="auto"/>
              </w:rPr>
              <w:t>8.2%</w:t>
            </w:r>
          </w:p>
        </w:tc>
      </w:tr>
      <w:tr>
        <w:trPr>
          <w:trHeight w:val="159"/>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Total performance bonds, stand-by and L/Cs.</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19,638,213</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19,737,892</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17,932,260</w:t>
            </w: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rPr>
              <w:t>-9.1%</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color w:val="auto"/>
              </w:rPr>
              <w:t>-8.7%</w:t>
            </w:r>
          </w:p>
        </w:tc>
      </w:tr>
      <w:tr>
        <w:trPr>
          <w:trHeight w:val="159"/>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Undrawn credit lines, advised but not committed</w:t>
            </w:r>
          </w:p>
        </w:tc>
        <w:tc>
          <w:tcPr>
            <w:tcW w:w="1580" w:type="dxa"/>
            <w:vAlign w:val="bottom"/>
          </w:tcPr>
          <w:p>
            <w:pPr>
              <w:jc w:val="right"/>
              <w:ind w:right="180"/>
              <w:spacing w:after="0"/>
              <w:rPr>
                <w:sz w:val="20"/>
                <w:szCs w:val="20"/>
                <w:color w:val="auto"/>
              </w:rPr>
            </w:pPr>
            <w:r>
              <w:rPr>
                <w:rFonts w:ascii="Arial" w:cs="Arial" w:eastAsia="Arial" w:hAnsi="Arial"/>
                <w:sz w:val="12"/>
                <w:szCs w:val="12"/>
                <w:color w:val="auto"/>
              </w:rPr>
              <w:t>70,893,784</w:t>
            </w:r>
          </w:p>
        </w:tc>
        <w:tc>
          <w:tcPr>
            <w:tcW w:w="1340" w:type="dxa"/>
            <w:vAlign w:val="bottom"/>
          </w:tcPr>
          <w:p>
            <w:pPr>
              <w:jc w:val="right"/>
              <w:ind w:right="180"/>
              <w:spacing w:after="0"/>
              <w:rPr>
                <w:sz w:val="20"/>
                <w:szCs w:val="20"/>
                <w:color w:val="auto"/>
              </w:rPr>
            </w:pPr>
            <w:r>
              <w:rPr>
                <w:rFonts w:ascii="Arial" w:cs="Arial" w:eastAsia="Arial" w:hAnsi="Arial"/>
                <w:sz w:val="12"/>
                <w:szCs w:val="12"/>
                <w:color w:val="auto"/>
              </w:rPr>
              <w:t>75,276,664</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76,157,911</w:t>
            </w: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rPr>
              <w:t>1.2%</w:t>
            </w:r>
          </w:p>
        </w:tc>
        <w:tc>
          <w:tcPr>
            <w:tcW w:w="720" w:type="dxa"/>
            <w:vAlign w:val="bottom"/>
            <w:tcBorders>
              <w:right w:val="single" w:sz="8" w:color="auto"/>
            </w:tcBorders>
          </w:tcPr>
          <w:p>
            <w:pPr>
              <w:jc w:val="center"/>
              <w:ind w:right="260"/>
              <w:spacing w:after="0"/>
              <w:rPr>
                <w:sz w:val="20"/>
                <w:szCs w:val="20"/>
                <w:color w:val="auto"/>
              </w:rPr>
            </w:pPr>
            <w:r>
              <w:rPr>
                <w:rFonts w:ascii="Arial" w:cs="Arial" w:eastAsia="Arial" w:hAnsi="Arial"/>
                <w:sz w:val="12"/>
                <w:szCs w:val="12"/>
                <w:color w:val="auto"/>
              </w:rPr>
              <w:t>7.4%</w:t>
            </w:r>
          </w:p>
        </w:tc>
      </w:tr>
      <w:tr>
        <w:trPr>
          <w:trHeight w:val="158"/>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Total derivatives (notional) and others</w:t>
            </w:r>
          </w:p>
        </w:tc>
        <w:tc>
          <w:tcPr>
            <w:tcW w:w="15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40,874,582</w:t>
            </w: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42,985,166</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48,156,990</w:t>
            </w:r>
          </w:p>
        </w:tc>
        <w:tc>
          <w:tcPr>
            <w:tcW w:w="1300" w:type="dxa"/>
            <w:vAlign w:val="bottom"/>
            <w:tcBorders>
              <w:bottom w:val="single" w:sz="8" w:color="auto"/>
            </w:tcBorders>
          </w:tcPr>
          <w:p>
            <w:pPr>
              <w:jc w:val="center"/>
              <w:ind w:right="260"/>
              <w:spacing w:after="0"/>
              <w:rPr>
                <w:sz w:val="20"/>
                <w:szCs w:val="20"/>
                <w:color w:val="auto"/>
              </w:rPr>
            </w:pPr>
            <w:r>
              <w:rPr>
                <w:rFonts w:ascii="Arial" w:cs="Arial" w:eastAsia="Arial" w:hAnsi="Arial"/>
                <w:sz w:val="12"/>
                <w:szCs w:val="12"/>
                <w:color w:val="auto"/>
                <w:w w:val="99"/>
              </w:rPr>
              <w:t>12.0%</w:t>
            </w:r>
          </w:p>
        </w:tc>
        <w:tc>
          <w:tcPr>
            <w:tcW w:w="720" w:type="dxa"/>
            <w:vAlign w:val="bottom"/>
            <w:tcBorders>
              <w:bottom w:val="single" w:sz="8" w:color="auto"/>
              <w:right w:val="single" w:sz="8" w:color="auto"/>
            </w:tcBorders>
          </w:tcPr>
          <w:p>
            <w:pPr>
              <w:jc w:val="center"/>
              <w:ind w:right="280"/>
              <w:spacing w:after="0"/>
              <w:rPr>
                <w:sz w:val="20"/>
                <w:szCs w:val="20"/>
                <w:color w:val="auto"/>
              </w:rPr>
            </w:pPr>
            <w:r>
              <w:rPr>
                <w:rFonts w:ascii="Arial" w:cs="Arial" w:eastAsia="Arial" w:hAnsi="Arial"/>
                <w:sz w:val="12"/>
                <w:szCs w:val="12"/>
                <w:color w:val="auto"/>
                <w:w w:val="99"/>
              </w:rPr>
              <w:t>17.8%</w:t>
            </w:r>
          </w:p>
        </w:tc>
      </w:tr>
    </w:tbl>
    <w:p>
      <w:pPr>
        <w:ind w:left="140" w:hanging="129"/>
        <w:spacing w:after="0" w:line="203" w:lineRule="auto"/>
        <w:tabs>
          <w:tab w:leader="none" w:pos="140" w:val="left"/>
        </w:tabs>
        <w:numPr>
          <w:ilvl w:val="0"/>
          <w:numId w:val="65"/>
        </w:numPr>
        <w:rPr>
          <w:rFonts w:ascii="Calibri" w:cs="Calibri" w:eastAsia="Calibri" w:hAnsi="Calibri"/>
          <w:sz w:val="10"/>
          <w:szCs w:val="10"/>
          <w:color w:val="auto"/>
        </w:rPr>
      </w:pPr>
      <w:r>
        <w:rPr>
          <w:rFonts w:ascii="Calibri" w:cs="Calibri" w:eastAsia="Calibri" w:hAnsi="Calibri"/>
          <w:sz w:val="10"/>
          <w:szCs w:val="10"/>
          <w:color w:val="auto"/>
        </w:rPr>
        <w:t>Right of use asset of lease contracts is included by applicaton of IFRS 16.</w:t>
      </w:r>
    </w:p>
    <w:p>
      <w:pPr>
        <w:ind w:left="140" w:hanging="129"/>
        <w:spacing w:after="0" w:line="223" w:lineRule="auto"/>
        <w:tabs>
          <w:tab w:leader="none" w:pos="140" w:val="left"/>
        </w:tabs>
        <w:numPr>
          <w:ilvl w:val="0"/>
          <w:numId w:val="65"/>
        </w:numPr>
        <w:rPr>
          <w:rFonts w:ascii="Calibri" w:cs="Calibri" w:eastAsia="Calibri" w:hAnsi="Calibri"/>
          <w:sz w:val="10"/>
          <w:szCs w:val="10"/>
          <w:color w:val="auto"/>
        </w:rPr>
      </w:pPr>
      <w:r>
        <w:rPr>
          <w:rFonts w:ascii="Calibri" w:cs="Calibri" w:eastAsia="Calibri" w:hAnsi="Calibri"/>
          <w:sz w:val="10"/>
          <w:szCs w:val="10"/>
          <w:color w:val="auto"/>
        </w:rPr>
        <w:t>Mainly includes intangible assets, other receivable accounts and tax credit.</w:t>
      </w:r>
    </w:p>
    <w:p>
      <w:pPr>
        <w:ind w:left="140" w:hanging="129"/>
        <w:spacing w:after="0" w:line="223" w:lineRule="auto"/>
        <w:tabs>
          <w:tab w:leader="none" w:pos="140" w:val="left"/>
        </w:tabs>
        <w:numPr>
          <w:ilvl w:val="0"/>
          <w:numId w:val="65"/>
        </w:numPr>
        <w:rPr>
          <w:rFonts w:ascii="Calibri" w:cs="Calibri" w:eastAsia="Calibri" w:hAnsi="Calibri"/>
          <w:sz w:val="10"/>
          <w:szCs w:val="10"/>
          <w:color w:val="auto"/>
        </w:rPr>
      </w:pPr>
      <w:r>
        <w:rPr>
          <w:rFonts w:ascii="Calibri" w:cs="Calibri" w:eastAsia="Calibri" w:hAnsi="Calibri"/>
          <w:sz w:val="10"/>
          <w:szCs w:val="10"/>
          <w:color w:val="auto"/>
        </w:rPr>
        <w:t>Mainly includes other payable accounts.</w:t>
      </w:r>
    </w:p>
    <w:p>
      <w:pPr>
        <w:spacing w:after="0" w:line="353"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3910" cy="146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80"/>
          </w:cols>
          <w:pgMar w:left="300" w:top="365" w:right="319" w:bottom="1440" w:gutter="0" w:footer="0" w:header="0"/>
        </w:sectPr>
      </w:pPr>
    </w:p>
    <w:bookmarkStart w:id="72" w:name="page73"/>
    <w:bookmarkEnd w:id="72"/>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12. Appendix</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BANCO DE CREDITO DEL PERU AND SUBSIDIARIES</w:t>
      </w:r>
    </w:p>
    <w:p>
      <w:pPr>
        <w:jc w:val="center"/>
        <w:spacing w:after="0" w:line="221" w:lineRule="auto"/>
        <w:rPr>
          <w:sz w:val="20"/>
          <w:szCs w:val="20"/>
          <w:color w:val="auto"/>
        </w:rPr>
      </w:pPr>
      <w:r>
        <w:rPr>
          <w:rFonts w:ascii="Times New Roman" w:cs="Times New Roman" w:eastAsia="Times New Roman" w:hAnsi="Times New Roman"/>
          <w:sz w:val="12"/>
          <w:szCs w:val="12"/>
          <w:b w:val="1"/>
          <w:bCs w:val="1"/>
          <w:color w:val="auto"/>
        </w:rPr>
        <w:t>CONSOLIDATED STATEMENT OF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S/ thousands, IFRS)</w:t>
      </w:r>
    </w:p>
    <w:p>
      <w:pPr>
        <w:spacing w:after="0" w:line="177" w:lineRule="exact"/>
        <w:rPr>
          <w:sz w:val="20"/>
          <w:szCs w:val="20"/>
          <w:color w:val="auto"/>
        </w:rPr>
      </w:pPr>
    </w:p>
    <w:tbl>
      <w:tblPr>
        <w:tblLayout w:type="fixed"/>
        <w:tblInd w:w="1130" w:type="dxa"/>
        <w:tblCellMar>
          <w:top w:w="0" w:type="dxa"/>
          <w:left w:w="0" w:type="dxa"/>
          <w:bottom w:w="0" w:type="dxa"/>
          <w:right w:w="0" w:type="dxa"/>
        </w:tblCellMar>
      </w:tblPr>
      <w:tr>
        <w:trPr>
          <w:trHeight w:val="185"/>
        </w:trPr>
        <w:tc>
          <w:tcPr>
            <w:tcW w:w="4200" w:type="dxa"/>
            <w:vAlign w:val="bottom"/>
            <w:tcBorders>
              <w:right w:val="single" w:sz="8" w:color="auto"/>
            </w:tcBorders>
          </w:tcPr>
          <w:p>
            <w:pPr>
              <w:spacing w:after="0"/>
              <w:rPr>
                <w:sz w:val="16"/>
                <w:szCs w:val="16"/>
                <w:color w:val="auto"/>
              </w:rPr>
            </w:pPr>
          </w:p>
        </w:tc>
        <w:tc>
          <w:tcPr>
            <w:tcW w:w="1120" w:type="dxa"/>
            <w:vAlign w:val="bottom"/>
            <w:tcBorders>
              <w:top w:val="single" w:sz="8" w:color="auto"/>
            </w:tcBorders>
            <w:shd w:val="clear" w:color="auto" w:fill="2AD2C9"/>
          </w:tcPr>
          <w:p>
            <w:pPr>
              <w:spacing w:after="0"/>
              <w:rPr>
                <w:sz w:val="16"/>
                <w:szCs w:val="16"/>
                <w:color w:val="auto"/>
              </w:rPr>
            </w:pPr>
          </w:p>
        </w:tc>
        <w:tc>
          <w:tcPr>
            <w:tcW w:w="1040" w:type="dxa"/>
            <w:vAlign w:val="bottom"/>
            <w:tcBorders>
              <w:top w:val="single" w:sz="8" w:color="auto"/>
            </w:tcBorders>
            <w:shd w:val="clear" w:color="auto" w:fill="2AD2C9"/>
          </w:tcPr>
          <w:p>
            <w:pPr>
              <w:jc w:val="right"/>
              <w:ind w:right="400"/>
              <w:spacing w:after="0"/>
              <w:rPr>
                <w:sz w:val="20"/>
                <w:szCs w:val="20"/>
                <w:color w:val="auto"/>
              </w:rPr>
            </w:pPr>
            <w:r>
              <w:rPr>
                <w:rFonts w:ascii="Arial" w:cs="Arial" w:eastAsia="Arial" w:hAnsi="Arial"/>
                <w:sz w:val="12"/>
                <w:szCs w:val="12"/>
                <w:b w:val="1"/>
                <w:bCs w:val="1"/>
                <w:color w:val="FFFFFF"/>
              </w:rPr>
              <w:t>Quarter</w:t>
            </w:r>
          </w:p>
        </w:tc>
        <w:tc>
          <w:tcPr>
            <w:tcW w:w="860" w:type="dxa"/>
            <w:vAlign w:val="bottom"/>
            <w:tcBorders>
              <w:top w:val="single" w:sz="8" w:color="auto"/>
              <w:right w:val="single" w:sz="8" w:color="auto"/>
            </w:tcBorders>
            <w:shd w:val="clear" w:color="auto" w:fill="2AD2C9"/>
          </w:tcPr>
          <w:p>
            <w:pPr>
              <w:spacing w:after="0"/>
              <w:rPr>
                <w:sz w:val="16"/>
                <w:szCs w:val="16"/>
                <w:color w:val="auto"/>
              </w:rPr>
            </w:pPr>
          </w:p>
        </w:tc>
        <w:tc>
          <w:tcPr>
            <w:tcW w:w="1800" w:type="dxa"/>
            <w:vAlign w:val="bottom"/>
            <w:tcBorders>
              <w:top w:val="single" w:sz="8" w:color="auto"/>
              <w:right w:val="single" w:sz="8" w:color="auto"/>
            </w:tcBorders>
            <w:gridSpan w:val="2"/>
            <w:shd w:val="clear" w:color="auto" w:fill="2AD2C9"/>
          </w:tcPr>
          <w:p>
            <w:pPr>
              <w:ind w:left="600"/>
              <w:spacing w:after="0"/>
              <w:rPr>
                <w:sz w:val="20"/>
                <w:szCs w:val="20"/>
                <w:color w:val="auto"/>
              </w:rPr>
            </w:pPr>
            <w:r>
              <w:rPr>
                <w:rFonts w:ascii="Arial" w:cs="Arial" w:eastAsia="Arial" w:hAnsi="Arial"/>
                <w:sz w:val="12"/>
                <w:szCs w:val="12"/>
                <w:b w:val="1"/>
                <w:bCs w:val="1"/>
                <w:color w:val="FFFFFF"/>
              </w:rPr>
              <w:t>% change</w:t>
            </w:r>
          </w:p>
        </w:tc>
      </w:tr>
      <w:tr>
        <w:trPr>
          <w:trHeight w:val="158"/>
        </w:trPr>
        <w:tc>
          <w:tcPr>
            <w:tcW w:w="420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shd w:val="clear" w:color="auto" w:fill="2AD2C9"/>
          </w:tcPr>
          <w:p>
            <w:pPr>
              <w:jc w:val="right"/>
              <w:ind w:right="419"/>
              <w:spacing w:after="0"/>
              <w:rPr>
                <w:sz w:val="20"/>
                <w:szCs w:val="20"/>
                <w:color w:val="auto"/>
              </w:rPr>
            </w:pPr>
            <w:r>
              <w:rPr>
                <w:rFonts w:ascii="Arial" w:cs="Arial" w:eastAsia="Arial" w:hAnsi="Arial"/>
                <w:sz w:val="12"/>
                <w:szCs w:val="12"/>
                <w:b w:val="1"/>
                <w:bCs w:val="1"/>
                <w:color w:val="FFFFFF"/>
              </w:rPr>
              <w:t>1Q22</w:t>
            </w:r>
          </w:p>
        </w:tc>
        <w:tc>
          <w:tcPr>
            <w:tcW w:w="1040" w:type="dxa"/>
            <w:vAlign w:val="bottom"/>
            <w:tcBorders>
              <w:bottom w:val="single" w:sz="8" w:color="auto"/>
            </w:tcBorders>
            <w:shd w:val="clear" w:color="auto" w:fill="2AD2C9"/>
          </w:tcPr>
          <w:p>
            <w:pPr>
              <w:jc w:val="right"/>
              <w:ind w:right="460"/>
              <w:spacing w:after="0"/>
              <w:rPr>
                <w:sz w:val="20"/>
                <w:szCs w:val="20"/>
                <w:color w:val="auto"/>
              </w:rPr>
            </w:pPr>
            <w:r>
              <w:rPr>
                <w:rFonts w:ascii="Arial" w:cs="Arial" w:eastAsia="Arial" w:hAnsi="Arial"/>
                <w:sz w:val="12"/>
                <w:szCs w:val="12"/>
                <w:b w:val="1"/>
                <w:bCs w:val="1"/>
                <w:color w:val="FFFFFF"/>
              </w:rPr>
              <w:t>4Q22</w:t>
            </w:r>
          </w:p>
        </w:tc>
        <w:tc>
          <w:tcPr>
            <w:tcW w:w="860" w:type="dxa"/>
            <w:vAlign w:val="bottom"/>
            <w:tcBorders>
              <w:bottom w:val="single" w:sz="8" w:color="auto"/>
              <w:right w:val="single" w:sz="8" w:color="auto"/>
            </w:tcBorders>
            <w:shd w:val="clear" w:color="auto" w:fill="2AD2C9"/>
          </w:tcPr>
          <w:p>
            <w:pPr>
              <w:jc w:val="right"/>
              <w:ind w:right="320"/>
              <w:spacing w:after="0"/>
              <w:rPr>
                <w:sz w:val="20"/>
                <w:szCs w:val="20"/>
                <w:color w:val="auto"/>
              </w:rPr>
            </w:pPr>
            <w:r>
              <w:rPr>
                <w:rFonts w:ascii="Arial" w:cs="Arial" w:eastAsia="Arial" w:hAnsi="Arial"/>
                <w:sz w:val="12"/>
                <w:szCs w:val="12"/>
                <w:b w:val="1"/>
                <w:bCs w:val="1"/>
                <w:color w:val="FFFFFF"/>
              </w:rPr>
              <w:t>1Q23</w:t>
            </w:r>
          </w:p>
        </w:tc>
        <w:tc>
          <w:tcPr>
            <w:tcW w:w="88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2"/>
                <w:szCs w:val="12"/>
                <w:b w:val="1"/>
                <w:bCs w:val="1"/>
                <w:color w:val="FFFFFF"/>
              </w:rPr>
              <w:t>QoQ</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2"/>
                <w:szCs w:val="12"/>
                <w:b w:val="1"/>
                <w:bCs w:val="1"/>
                <w:color w:val="FFFFFF"/>
                <w:w w:val="94"/>
              </w:rPr>
              <w:t>YoY</w:t>
            </w:r>
          </w:p>
        </w:tc>
      </w:tr>
      <w:tr>
        <w:trPr>
          <w:trHeight w:val="162"/>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Interest income and expense</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r>
      <w:tr>
        <w:trPr>
          <w:trHeight w:val="159"/>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Interest and dividend income</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2,712,960</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3,821,770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3,902,811</w:t>
            </w:r>
          </w:p>
        </w:tc>
        <w:tc>
          <w:tcPr>
            <w:tcW w:w="880" w:type="dxa"/>
            <w:vAlign w:val="bottom"/>
          </w:tcPr>
          <w:p>
            <w:pPr>
              <w:jc w:val="center"/>
              <w:spacing w:after="0"/>
              <w:rPr>
                <w:sz w:val="20"/>
                <w:szCs w:val="20"/>
                <w:color w:val="auto"/>
              </w:rPr>
            </w:pPr>
            <w:r>
              <w:rPr>
                <w:rFonts w:ascii="Arial" w:cs="Arial" w:eastAsia="Arial" w:hAnsi="Arial"/>
                <w:sz w:val="12"/>
                <w:szCs w:val="12"/>
                <w:color w:val="auto"/>
              </w:rPr>
              <w:t>2.1%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43.9%</w:t>
            </w:r>
          </w:p>
        </w:tc>
      </w:tr>
      <w:tr>
        <w:trPr>
          <w:trHeight w:val="159"/>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Interest expense</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(494,035)</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(913,761)</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(994,836)</w:t>
            </w:r>
          </w:p>
        </w:tc>
        <w:tc>
          <w:tcPr>
            <w:tcW w:w="880" w:type="dxa"/>
            <w:vAlign w:val="bottom"/>
          </w:tcPr>
          <w:p>
            <w:pPr>
              <w:jc w:val="center"/>
              <w:spacing w:after="0"/>
              <w:rPr>
                <w:sz w:val="20"/>
                <w:szCs w:val="20"/>
                <w:color w:val="auto"/>
              </w:rPr>
            </w:pPr>
            <w:r>
              <w:rPr>
                <w:rFonts w:ascii="Arial" w:cs="Arial" w:eastAsia="Arial" w:hAnsi="Arial"/>
                <w:sz w:val="12"/>
                <w:szCs w:val="12"/>
                <w:color w:val="auto"/>
              </w:rPr>
              <w:t>8.9%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101.4%</w:t>
            </w:r>
          </w:p>
        </w:tc>
      </w:tr>
      <w:tr>
        <w:trPr>
          <w:trHeight w:val="165"/>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Net interest income</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2,218,925</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2,908,009</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2,907,975</w:t>
            </w:r>
          </w:p>
        </w:tc>
        <w:tc>
          <w:tcPr>
            <w:tcW w:w="880" w:type="dxa"/>
            <w:vAlign w:val="bottom"/>
          </w:tcPr>
          <w:p>
            <w:pPr>
              <w:jc w:val="center"/>
              <w:spacing w:after="0"/>
              <w:rPr>
                <w:sz w:val="20"/>
                <w:szCs w:val="20"/>
                <w:color w:val="auto"/>
              </w:rPr>
            </w:pPr>
            <w:r>
              <w:rPr>
                <w:rFonts w:ascii="Arial" w:cs="Arial" w:eastAsia="Arial" w:hAnsi="Arial"/>
                <w:sz w:val="12"/>
                <w:szCs w:val="12"/>
                <w:color w:val="auto"/>
              </w:rPr>
              <w:t>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31.1%</w:t>
            </w:r>
          </w:p>
        </w:tc>
      </w:tr>
      <w:tr>
        <w:trPr>
          <w:trHeight w:val="334"/>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Provision for credit losses on loan portfolio</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(340,235)</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(783,402)</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(782,079)</w:t>
            </w:r>
          </w:p>
        </w:tc>
        <w:tc>
          <w:tcPr>
            <w:tcW w:w="880" w:type="dxa"/>
            <w:vAlign w:val="bottom"/>
          </w:tcPr>
          <w:p>
            <w:pPr>
              <w:jc w:val="center"/>
              <w:spacing w:after="0"/>
              <w:rPr>
                <w:sz w:val="20"/>
                <w:szCs w:val="20"/>
                <w:color w:val="auto"/>
              </w:rPr>
            </w:pPr>
            <w:r>
              <w:rPr>
                <w:rFonts w:ascii="Arial" w:cs="Arial" w:eastAsia="Arial" w:hAnsi="Arial"/>
                <w:sz w:val="12"/>
                <w:szCs w:val="12"/>
                <w:color w:val="auto"/>
              </w:rPr>
              <w:t>-0.2%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129.9%</w:t>
            </w:r>
          </w:p>
        </w:tc>
      </w:tr>
      <w:tr>
        <w:trPr>
          <w:trHeight w:val="159"/>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Recoveries of written-off loans</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86,428</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79,076</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69,694</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-11.9%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-19.4%</w:t>
            </w:r>
          </w:p>
        </w:tc>
      </w:tr>
      <w:tr>
        <w:trPr>
          <w:trHeight w:val="165"/>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Provision for credit losses on loan portfolio, net of recoveries</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(253,807)</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(704,326)</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(712,385)</w:t>
            </w:r>
          </w:p>
        </w:tc>
        <w:tc>
          <w:tcPr>
            <w:tcW w:w="880" w:type="dxa"/>
            <w:vAlign w:val="bottom"/>
          </w:tcPr>
          <w:p>
            <w:pPr>
              <w:jc w:val="center"/>
              <w:spacing w:after="0"/>
              <w:rPr>
                <w:sz w:val="20"/>
                <w:szCs w:val="20"/>
                <w:color w:val="auto"/>
              </w:rPr>
            </w:pPr>
            <w:r>
              <w:rPr>
                <w:rFonts w:ascii="Arial" w:cs="Arial" w:eastAsia="Arial" w:hAnsi="Arial"/>
                <w:sz w:val="12"/>
                <w:szCs w:val="12"/>
                <w:color w:val="auto"/>
              </w:rPr>
              <w:t>1.1%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180.7%</w:t>
            </w:r>
          </w:p>
        </w:tc>
      </w:tr>
      <w:tr>
        <w:trPr>
          <w:trHeight w:val="340"/>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Risk-adjusted net interest income</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1,965,118</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2,203,683</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2,195,590</w:t>
            </w:r>
          </w:p>
        </w:tc>
        <w:tc>
          <w:tcPr>
            <w:tcW w:w="880" w:type="dxa"/>
            <w:vAlign w:val="bottom"/>
          </w:tcPr>
          <w:p>
            <w:pPr>
              <w:jc w:val="center"/>
              <w:spacing w:after="0"/>
              <w:rPr>
                <w:sz w:val="20"/>
                <w:szCs w:val="20"/>
                <w:color w:val="auto"/>
              </w:rPr>
            </w:pPr>
            <w:r>
              <w:rPr>
                <w:rFonts w:ascii="Arial" w:cs="Arial" w:eastAsia="Arial" w:hAnsi="Arial"/>
                <w:sz w:val="12"/>
                <w:szCs w:val="12"/>
                <w:color w:val="auto"/>
              </w:rPr>
              <w:t>-0.4%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11.7%</w:t>
            </w:r>
          </w:p>
        </w:tc>
      </w:tr>
      <w:tr>
        <w:trPr>
          <w:trHeight w:val="356"/>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Non-financial income</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r>
      <w:tr>
        <w:trPr>
          <w:trHeight w:val="159"/>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Fee income</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731,705</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766,960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727,489</w:t>
            </w:r>
          </w:p>
        </w:tc>
        <w:tc>
          <w:tcPr>
            <w:tcW w:w="880" w:type="dxa"/>
            <w:vAlign w:val="bottom"/>
          </w:tcPr>
          <w:p>
            <w:pPr>
              <w:jc w:val="center"/>
              <w:spacing w:after="0"/>
              <w:rPr>
                <w:sz w:val="20"/>
                <w:szCs w:val="20"/>
                <w:color w:val="auto"/>
              </w:rPr>
            </w:pPr>
            <w:r>
              <w:rPr>
                <w:rFonts w:ascii="Arial" w:cs="Arial" w:eastAsia="Arial" w:hAnsi="Arial"/>
                <w:sz w:val="12"/>
                <w:szCs w:val="12"/>
                <w:color w:val="auto"/>
              </w:rPr>
              <w:t>-5.1%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-0.6%</w:t>
            </w:r>
          </w:p>
        </w:tc>
      </w:tr>
      <w:tr>
        <w:trPr>
          <w:trHeight w:val="159"/>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Net gain on foreign exchange transactions</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242,504</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271,267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242,570</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-10.6%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0.0%</w:t>
            </w:r>
          </w:p>
        </w:tc>
      </w:tr>
      <w:tr>
        <w:trPr>
          <w:trHeight w:val="159"/>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Net gain (loss) on securities</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(1,898)</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(9,162)</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(2,584)</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-71.8%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36.1%</w:t>
            </w:r>
          </w:p>
        </w:tc>
      </w:tr>
      <w:tr>
        <w:trPr>
          <w:trHeight w:val="159"/>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Net gain (loss) on derivatives held for trading</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(10,978)</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17,756</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22,288</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25.5%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n.a</w:t>
            </w:r>
          </w:p>
        </w:tc>
      </w:tr>
      <w:tr>
        <w:trPr>
          <w:trHeight w:val="159"/>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Net gain (loss) from exchange differences</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(17,051)</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3,265</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4,308</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31.9%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n.a</w:t>
            </w:r>
          </w:p>
        </w:tc>
      </w:tr>
      <w:tr>
        <w:trPr>
          <w:trHeight w:val="159"/>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Others</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120,328</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8,862</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71,277</w:t>
            </w:r>
          </w:p>
        </w:tc>
        <w:tc>
          <w:tcPr>
            <w:tcW w:w="880" w:type="dxa"/>
            <w:vAlign w:val="bottom"/>
          </w:tcPr>
          <w:p>
            <w:pPr>
              <w:jc w:val="center"/>
              <w:spacing w:after="0"/>
              <w:rPr>
                <w:sz w:val="20"/>
                <w:szCs w:val="20"/>
                <w:color w:val="auto"/>
              </w:rPr>
            </w:pPr>
            <w:r>
              <w:rPr>
                <w:rFonts w:ascii="Arial" w:cs="Arial" w:eastAsia="Arial" w:hAnsi="Arial"/>
                <w:sz w:val="12"/>
                <w:szCs w:val="12"/>
                <w:color w:val="auto"/>
                <w:w w:val="98"/>
              </w:rPr>
              <w:t>704.3%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-40.8%</w:t>
            </w:r>
          </w:p>
        </w:tc>
      </w:tr>
      <w:tr>
        <w:trPr>
          <w:trHeight w:val="165"/>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Total other income</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1,064,610</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1,058,948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1,065,348</w:t>
            </w:r>
          </w:p>
        </w:tc>
        <w:tc>
          <w:tcPr>
            <w:tcW w:w="880" w:type="dxa"/>
            <w:vAlign w:val="bottom"/>
          </w:tcPr>
          <w:p>
            <w:pPr>
              <w:jc w:val="center"/>
              <w:spacing w:after="0"/>
              <w:rPr>
                <w:sz w:val="20"/>
                <w:szCs w:val="20"/>
                <w:color w:val="auto"/>
              </w:rPr>
            </w:pPr>
            <w:r>
              <w:rPr>
                <w:rFonts w:ascii="Arial" w:cs="Arial" w:eastAsia="Arial" w:hAnsi="Arial"/>
                <w:sz w:val="12"/>
                <w:szCs w:val="12"/>
                <w:color w:val="auto"/>
              </w:rPr>
              <w:t>0.6%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0.1%</w:t>
            </w:r>
          </w:p>
        </w:tc>
      </w:tr>
      <w:tr>
        <w:trPr>
          <w:trHeight w:val="356"/>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Total expenses</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r>
      <w:tr>
        <w:trPr>
          <w:trHeight w:val="159"/>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Salaries and employee benefits</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(694,339)</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(768,578)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(750,011)</w:t>
            </w:r>
          </w:p>
        </w:tc>
        <w:tc>
          <w:tcPr>
            <w:tcW w:w="880" w:type="dxa"/>
            <w:vAlign w:val="bottom"/>
          </w:tcPr>
          <w:p>
            <w:pPr>
              <w:jc w:val="center"/>
              <w:spacing w:after="0"/>
              <w:rPr>
                <w:sz w:val="20"/>
                <w:szCs w:val="20"/>
                <w:color w:val="auto"/>
              </w:rPr>
            </w:pPr>
            <w:r>
              <w:rPr>
                <w:rFonts w:ascii="Arial" w:cs="Arial" w:eastAsia="Arial" w:hAnsi="Arial"/>
                <w:sz w:val="12"/>
                <w:szCs w:val="12"/>
                <w:color w:val="auto"/>
              </w:rPr>
              <w:t>-2.4%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8.0%</w:t>
            </w:r>
          </w:p>
        </w:tc>
      </w:tr>
      <w:tr>
        <w:trPr>
          <w:trHeight w:val="159"/>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Administrative expenses</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(532,560)</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(810,501)</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(645,131)</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-20.4%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21.1%</w:t>
            </w:r>
          </w:p>
        </w:tc>
      </w:tr>
      <w:tr>
        <w:trPr>
          <w:trHeight w:val="159"/>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Depreciation and amortization</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(126,426)</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(139,688)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(134,267)</w:t>
            </w:r>
          </w:p>
        </w:tc>
        <w:tc>
          <w:tcPr>
            <w:tcW w:w="880" w:type="dxa"/>
            <w:vAlign w:val="bottom"/>
          </w:tcPr>
          <w:p>
            <w:pPr>
              <w:jc w:val="center"/>
              <w:spacing w:after="0"/>
              <w:rPr>
                <w:sz w:val="20"/>
                <w:szCs w:val="20"/>
                <w:color w:val="auto"/>
              </w:rPr>
            </w:pPr>
            <w:r>
              <w:rPr>
                <w:rFonts w:ascii="Arial" w:cs="Arial" w:eastAsia="Arial" w:hAnsi="Arial"/>
                <w:sz w:val="12"/>
                <w:szCs w:val="12"/>
                <w:color w:val="auto"/>
              </w:rPr>
              <w:t>-3.9%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6.2%</w:t>
            </w:r>
          </w:p>
        </w:tc>
      </w:tr>
      <w:tr>
        <w:trPr>
          <w:trHeight w:val="156"/>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Other expenses</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(49,556)</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(76,515)</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(43,944)</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-42.6%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-11.3%</w:t>
            </w:r>
          </w:p>
        </w:tc>
      </w:tr>
      <w:tr>
        <w:trPr>
          <w:trHeight w:val="191"/>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Total expenses</w:t>
            </w:r>
          </w:p>
        </w:tc>
        <w:tc>
          <w:tcPr>
            <w:tcW w:w="1120" w:type="dxa"/>
            <w:vAlign w:val="bottom"/>
          </w:tcPr>
          <w:p>
            <w:pPr>
              <w:jc w:val="right"/>
              <w:ind w:right="79"/>
              <w:spacing w:after="0"/>
              <w:rPr>
                <w:sz w:val="20"/>
                <w:szCs w:val="20"/>
                <w:color w:val="auto"/>
              </w:rPr>
            </w:pPr>
            <w:r>
              <w:rPr>
                <w:rFonts w:ascii="Arial" w:cs="Arial" w:eastAsia="Arial" w:hAnsi="Arial"/>
                <w:sz w:val="14"/>
                <w:szCs w:val="14"/>
                <w:color w:val="auto"/>
              </w:rPr>
              <w:t>(1,402,881)</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(1,795,282)</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(1,573,353)</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-12.4%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12.2%</w:t>
            </w:r>
          </w:p>
        </w:tc>
      </w:tr>
      <w:tr>
        <w:trPr>
          <w:trHeight w:val="340"/>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Profit before income tax</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1,626,847</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1,467,349</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1,687,585</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15.0%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3.7%</w:t>
            </w:r>
          </w:p>
        </w:tc>
      </w:tr>
      <w:tr>
        <w:trPr>
          <w:trHeight w:val="334"/>
        </w:trPr>
        <w:tc>
          <w:tcPr>
            <w:tcW w:w="4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Income tax</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(466,694)</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(403,338)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(422,491)</w:t>
            </w:r>
          </w:p>
        </w:tc>
        <w:tc>
          <w:tcPr>
            <w:tcW w:w="880" w:type="dxa"/>
            <w:vAlign w:val="bottom"/>
          </w:tcPr>
          <w:p>
            <w:pPr>
              <w:jc w:val="center"/>
              <w:spacing w:after="0"/>
              <w:rPr>
                <w:sz w:val="20"/>
                <w:szCs w:val="20"/>
                <w:color w:val="auto"/>
              </w:rPr>
            </w:pPr>
            <w:r>
              <w:rPr>
                <w:rFonts w:ascii="Arial" w:cs="Arial" w:eastAsia="Arial" w:hAnsi="Arial"/>
                <w:sz w:val="12"/>
                <w:szCs w:val="12"/>
                <w:color w:val="auto"/>
              </w:rPr>
              <w:t>4.7%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-9.5%</w:t>
            </w:r>
          </w:p>
        </w:tc>
      </w:tr>
      <w:tr>
        <w:trPr>
          <w:trHeight w:val="340"/>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profit</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1,160,153</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1,064,011</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1,265,094</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18.9%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9.0%</w:t>
            </w:r>
          </w:p>
        </w:tc>
      </w:tr>
      <w:tr>
        <w:trPr>
          <w:trHeight w:val="159"/>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Non-controlling interest</w:t>
            </w: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(5,157)</w:t>
            </w:r>
          </w:p>
        </w:tc>
        <w:tc>
          <w:tcPr>
            <w:tcW w:w="1040" w:type="dxa"/>
            <w:vAlign w:val="bottom"/>
          </w:tcPr>
          <w:p>
            <w:pPr>
              <w:jc w:val="right"/>
              <w:ind w:right="120"/>
              <w:spacing w:after="0"/>
              <w:rPr>
                <w:sz w:val="20"/>
                <w:szCs w:val="20"/>
                <w:color w:val="auto"/>
              </w:rPr>
            </w:pPr>
            <w:r>
              <w:rPr>
                <w:rFonts w:ascii="Arial" w:cs="Arial" w:eastAsia="Arial" w:hAnsi="Arial"/>
                <w:sz w:val="12"/>
                <w:szCs w:val="12"/>
                <w:color w:val="auto"/>
              </w:rPr>
              <w:t>(2,318)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(1,112)</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-52.0%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-78.4%</w:t>
            </w:r>
          </w:p>
        </w:tc>
      </w:tr>
      <w:tr>
        <w:trPr>
          <w:trHeight w:val="158"/>
        </w:trPr>
        <w:tc>
          <w:tcPr>
            <w:tcW w:w="4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profit attributable to BCP Consolidated</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1,154,996</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1,061,693</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1,263,982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19.1%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9.4%</w:t>
            </w:r>
          </w:p>
        </w:tc>
      </w:tr>
    </w:tbl>
    <w:p>
      <w:pPr>
        <w:spacing w:after="0" w:line="133" w:lineRule="exact"/>
        <w:rPr>
          <w:sz w:val="20"/>
          <w:szCs w:val="20"/>
          <w:color w:val="auto"/>
        </w:rPr>
      </w:pPr>
    </w:p>
    <w:p>
      <w:pPr>
        <w:jc w:val="center"/>
        <w:spacing w:after="0"/>
        <w:rPr>
          <w:sz w:val="20"/>
          <w:szCs w:val="20"/>
          <w:color w:val="auto"/>
        </w:rPr>
      </w:pPr>
      <w:r>
        <w:rPr>
          <w:rFonts w:ascii="Calibri" w:cs="Calibri" w:eastAsia="Calibri" w:hAnsi="Calibri"/>
          <w:sz w:val="12"/>
          <w:szCs w:val="12"/>
          <w:b w:val="1"/>
          <w:bCs w:val="1"/>
          <w:color w:val="auto"/>
        </w:rPr>
        <w:t>BANCO DE CREDITO DEL PERU AND SUBSIDIARIES</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12"/>
          <w:szCs w:val="12"/>
          <w:b w:val="1"/>
          <w:bCs w:val="1"/>
          <w:color w:val="auto"/>
        </w:rPr>
        <w:t>SELECTED FINANCIAL INDICATORS</w:t>
      </w:r>
    </w:p>
    <w:p>
      <w:pPr>
        <w:spacing w:after="0" w:line="143" w:lineRule="exact"/>
        <w:rPr>
          <w:sz w:val="20"/>
          <w:szCs w:val="20"/>
          <w:color w:val="auto"/>
        </w:rPr>
      </w:pPr>
    </w:p>
    <w:tbl>
      <w:tblPr>
        <w:tblLayout w:type="fixed"/>
        <w:tblInd w:w="1130" w:type="dxa"/>
        <w:tblCellMar>
          <w:top w:w="0" w:type="dxa"/>
          <w:left w:w="0" w:type="dxa"/>
          <w:bottom w:w="0" w:type="dxa"/>
          <w:right w:w="0" w:type="dxa"/>
        </w:tblCellMar>
      </w:tblPr>
      <w:tr>
        <w:trPr>
          <w:trHeight w:val="167"/>
        </w:trPr>
        <w:tc>
          <w:tcPr>
            <w:tcW w:w="5700" w:type="dxa"/>
            <w:vAlign w:val="bottom"/>
            <w:tcBorders>
              <w:right w:val="single" w:sz="8" w:color="auto"/>
            </w:tcBorders>
          </w:tcPr>
          <w:p>
            <w:pPr>
              <w:spacing w:after="0"/>
              <w:rPr>
                <w:sz w:val="14"/>
                <w:szCs w:val="14"/>
                <w:color w:val="auto"/>
              </w:rPr>
            </w:pPr>
          </w:p>
        </w:tc>
        <w:tc>
          <w:tcPr>
            <w:tcW w:w="1100" w:type="dxa"/>
            <w:vAlign w:val="bottom"/>
            <w:tcBorders>
              <w:top w:val="single" w:sz="8" w:color="auto"/>
            </w:tcBorders>
            <w:shd w:val="clear" w:color="auto" w:fill="2AD2C9"/>
          </w:tcPr>
          <w:p>
            <w:pPr>
              <w:spacing w:after="0"/>
              <w:rPr>
                <w:sz w:val="14"/>
                <w:szCs w:val="14"/>
                <w:color w:val="auto"/>
              </w:rPr>
            </w:pPr>
          </w:p>
        </w:tc>
        <w:tc>
          <w:tcPr>
            <w:tcW w:w="1100" w:type="dxa"/>
            <w:vAlign w:val="bottom"/>
            <w:tcBorders>
              <w:top w:val="single" w:sz="8" w:color="auto"/>
            </w:tcBorders>
            <w:shd w:val="clear" w:color="auto" w:fill="2AD2C9"/>
          </w:tcPr>
          <w:p>
            <w:pPr>
              <w:ind w:left="340"/>
              <w:spacing w:after="0"/>
              <w:rPr>
                <w:sz w:val="20"/>
                <w:szCs w:val="20"/>
                <w:color w:val="auto"/>
              </w:rPr>
            </w:pPr>
            <w:r>
              <w:rPr>
                <w:rFonts w:ascii="Calibri" w:cs="Calibri" w:eastAsia="Calibri" w:hAnsi="Calibri"/>
                <w:sz w:val="12"/>
                <w:szCs w:val="12"/>
                <w:b w:val="1"/>
                <w:bCs w:val="1"/>
                <w:color w:val="FFFFFF"/>
              </w:rPr>
              <w:t>Quarter</w:t>
            </w:r>
          </w:p>
        </w:tc>
        <w:tc>
          <w:tcPr>
            <w:tcW w:w="1120" w:type="dxa"/>
            <w:vAlign w:val="bottom"/>
            <w:tcBorders>
              <w:top w:val="single" w:sz="8" w:color="auto"/>
              <w:right w:val="single" w:sz="8" w:color="auto"/>
            </w:tcBorders>
            <w:shd w:val="clear" w:color="auto" w:fill="2AD2C9"/>
          </w:tcPr>
          <w:p>
            <w:pPr>
              <w:spacing w:after="0"/>
              <w:rPr>
                <w:sz w:val="14"/>
                <w:szCs w:val="14"/>
                <w:color w:val="auto"/>
              </w:rPr>
            </w:pPr>
          </w:p>
        </w:tc>
      </w:tr>
      <w:tr>
        <w:trPr>
          <w:trHeight w:val="198"/>
        </w:trPr>
        <w:tc>
          <w:tcPr>
            <w:tcW w:w="5700" w:type="dxa"/>
            <w:vAlign w:val="bottom"/>
            <w:tcBorders>
              <w:right w:val="single" w:sz="8" w:color="auto"/>
            </w:tcBorders>
          </w:tcPr>
          <w:p>
            <w:pPr>
              <w:spacing w:after="0"/>
              <w:rPr>
                <w:sz w:val="17"/>
                <w:szCs w:val="17"/>
                <w:color w:val="auto"/>
              </w:rPr>
            </w:pPr>
          </w:p>
        </w:tc>
        <w:tc>
          <w:tcPr>
            <w:tcW w:w="1100" w:type="dxa"/>
            <w:vAlign w:val="bottom"/>
            <w:tcBorders>
              <w:bottom w:val="single" w:sz="8" w:color="2AD2C9"/>
            </w:tcBorders>
            <w:shd w:val="clear" w:color="auto" w:fill="2AD2C9"/>
          </w:tcPr>
          <w:p>
            <w:pPr>
              <w:jc w:val="center"/>
              <w:spacing w:after="0"/>
              <w:rPr>
                <w:sz w:val="20"/>
                <w:szCs w:val="20"/>
                <w:color w:val="auto"/>
              </w:rPr>
            </w:pPr>
            <w:r>
              <w:rPr>
                <w:rFonts w:ascii="Calibri" w:cs="Calibri" w:eastAsia="Calibri" w:hAnsi="Calibri"/>
                <w:sz w:val="12"/>
                <w:szCs w:val="12"/>
                <w:b w:val="1"/>
                <w:bCs w:val="1"/>
                <w:color w:val="FFFFFF"/>
              </w:rPr>
              <w:t>1Q22</w:t>
            </w:r>
          </w:p>
        </w:tc>
        <w:tc>
          <w:tcPr>
            <w:tcW w:w="1100" w:type="dxa"/>
            <w:vAlign w:val="bottom"/>
            <w:tcBorders>
              <w:bottom w:val="single" w:sz="8" w:color="2AD2C9"/>
            </w:tcBorders>
            <w:shd w:val="clear" w:color="auto" w:fill="2AD2C9"/>
          </w:tcPr>
          <w:p>
            <w:pPr>
              <w:jc w:val="center"/>
              <w:spacing w:after="0"/>
              <w:rPr>
                <w:sz w:val="20"/>
                <w:szCs w:val="20"/>
                <w:color w:val="auto"/>
              </w:rPr>
            </w:pPr>
            <w:r>
              <w:rPr>
                <w:rFonts w:ascii="Calibri" w:cs="Calibri" w:eastAsia="Calibri" w:hAnsi="Calibri"/>
                <w:sz w:val="12"/>
                <w:szCs w:val="12"/>
                <w:b w:val="1"/>
                <w:bCs w:val="1"/>
                <w:color w:val="FFFFFF"/>
              </w:rPr>
              <w:t>4Q22</w:t>
            </w:r>
          </w:p>
        </w:tc>
        <w:tc>
          <w:tcPr>
            <w:tcW w:w="1120" w:type="dxa"/>
            <w:vAlign w:val="bottom"/>
            <w:tcBorders>
              <w:bottom w:val="single" w:sz="8" w:color="2AD2C9"/>
              <w:right w:val="single" w:sz="8" w:color="auto"/>
            </w:tcBorders>
            <w:shd w:val="clear" w:color="auto" w:fill="2AD2C9"/>
          </w:tcPr>
          <w:p>
            <w:pPr>
              <w:jc w:val="center"/>
              <w:spacing w:after="0"/>
              <w:rPr>
                <w:sz w:val="20"/>
                <w:szCs w:val="20"/>
                <w:color w:val="auto"/>
              </w:rPr>
            </w:pPr>
            <w:r>
              <w:rPr>
                <w:rFonts w:ascii="Calibri" w:cs="Calibri" w:eastAsia="Calibri" w:hAnsi="Calibri"/>
                <w:sz w:val="12"/>
                <w:szCs w:val="12"/>
                <w:b w:val="1"/>
                <w:bCs w:val="1"/>
                <w:color w:val="FFFFFF"/>
                <w:w w:val="97"/>
              </w:rPr>
              <w:t>1Q23</w:t>
            </w:r>
          </w:p>
        </w:tc>
      </w:tr>
      <w:tr>
        <w:trPr>
          <w:trHeight w:val="145"/>
        </w:trPr>
        <w:tc>
          <w:tcPr>
            <w:tcW w:w="5700" w:type="dxa"/>
            <w:vAlign w:val="bottom"/>
            <w:tcBorders>
              <w:top w:val="single" w:sz="8" w:color="auto"/>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b w:val="1"/>
                <w:bCs w:val="1"/>
                <w:color w:val="auto"/>
              </w:rPr>
              <w:t>Proftability</w:t>
            </w:r>
          </w:p>
        </w:tc>
        <w:tc>
          <w:tcPr>
            <w:tcW w:w="1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r>
      <w:tr>
        <w:trPr>
          <w:trHeight w:val="191"/>
        </w:trPr>
        <w:tc>
          <w:tcPr>
            <w:tcW w:w="5700" w:type="dxa"/>
            <w:vAlign w:val="bottom"/>
            <w:tcBorders>
              <w:left w:val="single" w:sz="8" w:color="auto"/>
              <w:right w:val="single" w:sz="8" w:color="auto"/>
            </w:tcBorders>
          </w:tcPr>
          <w:p>
            <w:pPr>
              <w:ind w:left="20"/>
              <w:spacing w:after="0" w:line="191" w:lineRule="exact"/>
              <w:rPr>
                <w:sz w:val="20"/>
                <w:szCs w:val="20"/>
                <w:color w:val="auto"/>
              </w:rPr>
            </w:pPr>
            <w:r>
              <w:rPr>
                <w:rFonts w:ascii="Calibri" w:cs="Calibri" w:eastAsia="Calibri" w:hAnsi="Calibri"/>
                <w:sz w:val="12"/>
                <w:szCs w:val="12"/>
                <w:color w:val="auto"/>
              </w:rPr>
              <w:t xml:space="preserve">Earnings per share </w:t>
            </w:r>
            <w:r>
              <w:rPr>
                <w:rFonts w:ascii="Calibri" w:cs="Calibri" w:eastAsia="Calibri" w:hAnsi="Calibri"/>
                <w:sz w:val="20"/>
                <w:szCs w:val="20"/>
                <w:color w:val="auto"/>
                <w:vertAlign w:val="superscript"/>
              </w:rPr>
              <w:t>(1)</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0.09</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0.08</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0.10</w:t>
            </w:r>
          </w:p>
        </w:tc>
      </w:tr>
      <w:tr>
        <w:trPr>
          <w:trHeight w:val="170"/>
        </w:trPr>
        <w:tc>
          <w:tcPr>
            <w:tcW w:w="5700" w:type="dxa"/>
            <w:vAlign w:val="bottom"/>
            <w:tcBorders>
              <w:left w:val="single" w:sz="8" w:color="auto"/>
              <w:right w:val="single" w:sz="8" w:color="auto"/>
            </w:tcBorders>
          </w:tcPr>
          <w:p>
            <w:pPr>
              <w:ind w:left="20"/>
              <w:spacing w:after="0" w:line="170" w:lineRule="exact"/>
              <w:rPr>
                <w:sz w:val="20"/>
                <w:szCs w:val="20"/>
                <w:color w:val="auto"/>
              </w:rPr>
            </w:pPr>
            <w:r>
              <w:rPr>
                <w:rFonts w:ascii="Calibri" w:cs="Calibri" w:eastAsia="Calibri" w:hAnsi="Calibri"/>
                <w:sz w:val="18"/>
                <w:szCs w:val="18"/>
                <w:color w:val="auto"/>
                <w:vertAlign w:val="subscript"/>
              </w:rPr>
              <w:t>ROAA</w:t>
            </w:r>
            <w:r>
              <w:rPr>
                <w:rFonts w:ascii="Calibri" w:cs="Calibri" w:eastAsia="Calibri" w:hAnsi="Calibri"/>
                <w:sz w:val="8"/>
                <w:szCs w:val="8"/>
                <w:color w:val="auto"/>
              </w:rPr>
              <w:t xml:space="preserve"> (2)(3)</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2.3%</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2.2%</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2.6%</w:t>
            </w:r>
          </w:p>
        </w:tc>
      </w:tr>
      <w:tr>
        <w:trPr>
          <w:trHeight w:val="170"/>
        </w:trPr>
        <w:tc>
          <w:tcPr>
            <w:tcW w:w="5700" w:type="dxa"/>
            <w:vAlign w:val="bottom"/>
            <w:tcBorders>
              <w:left w:val="single" w:sz="8" w:color="auto"/>
              <w:right w:val="single" w:sz="8" w:color="auto"/>
            </w:tcBorders>
          </w:tcPr>
          <w:p>
            <w:pPr>
              <w:ind w:left="20"/>
              <w:spacing w:after="0" w:line="170" w:lineRule="exact"/>
              <w:rPr>
                <w:sz w:val="20"/>
                <w:szCs w:val="20"/>
                <w:color w:val="auto"/>
              </w:rPr>
            </w:pPr>
            <w:r>
              <w:rPr>
                <w:rFonts w:ascii="Calibri" w:cs="Calibri" w:eastAsia="Calibri" w:hAnsi="Calibri"/>
                <w:sz w:val="18"/>
                <w:szCs w:val="18"/>
                <w:color w:val="auto"/>
                <w:vertAlign w:val="subscript"/>
              </w:rPr>
              <w:t>ROAE</w:t>
            </w:r>
            <w:r>
              <w:rPr>
                <w:rFonts w:ascii="Calibri" w:cs="Calibri" w:eastAsia="Calibri" w:hAnsi="Calibri"/>
                <w:sz w:val="8"/>
                <w:szCs w:val="8"/>
                <w:color w:val="auto"/>
              </w:rPr>
              <w:t xml:space="preserve"> (2)(3)</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22.7%</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18.8%</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22.5%</w:t>
            </w:r>
          </w:p>
        </w:tc>
      </w:tr>
      <w:tr>
        <w:trPr>
          <w:trHeight w:val="170"/>
        </w:trPr>
        <w:tc>
          <w:tcPr>
            <w:tcW w:w="5700" w:type="dxa"/>
            <w:vAlign w:val="bottom"/>
            <w:tcBorders>
              <w:left w:val="single" w:sz="8" w:color="auto"/>
              <w:right w:val="single" w:sz="8" w:color="auto"/>
            </w:tcBorders>
          </w:tcPr>
          <w:p>
            <w:pPr>
              <w:ind w:left="20"/>
              <w:spacing w:after="0" w:line="170" w:lineRule="exact"/>
              <w:rPr>
                <w:sz w:val="20"/>
                <w:szCs w:val="20"/>
                <w:color w:val="auto"/>
              </w:rPr>
            </w:pPr>
            <w:r>
              <w:rPr>
                <w:rFonts w:ascii="Calibri" w:cs="Calibri" w:eastAsia="Calibri" w:hAnsi="Calibri"/>
                <w:sz w:val="11"/>
                <w:szCs w:val="11"/>
                <w:color w:val="auto"/>
              </w:rPr>
              <w:t xml:space="preserve">Net interest margin </w:t>
            </w:r>
            <w:r>
              <w:rPr>
                <w:rFonts w:ascii="Calibri" w:cs="Calibri" w:eastAsia="Calibri" w:hAnsi="Calibri"/>
                <w:sz w:val="18"/>
                <w:szCs w:val="18"/>
                <w:color w:val="auto"/>
                <w:vertAlign w:val="superscript"/>
              </w:rPr>
              <w:t>(2)(3)</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4.63%</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6.12%</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6.22%</w:t>
            </w:r>
          </w:p>
        </w:tc>
      </w:tr>
      <w:tr>
        <w:trPr>
          <w:trHeight w:val="170"/>
        </w:trPr>
        <w:tc>
          <w:tcPr>
            <w:tcW w:w="5700" w:type="dxa"/>
            <w:vAlign w:val="bottom"/>
            <w:tcBorders>
              <w:left w:val="single" w:sz="8" w:color="auto"/>
              <w:right w:val="single" w:sz="8" w:color="auto"/>
            </w:tcBorders>
          </w:tcPr>
          <w:p>
            <w:pPr>
              <w:ind w:left="20"/>
              <w:spacing w:after="0" w:line="170" w:lineRule="exact"/>
              <w:rPr>
                <w:sz w:val="20"/>
                <w:szCs w:val="20"/>
                <w:color w:val="auto"/>
              </w:rPr>
            </w:pPr>
            <w:r>
              <w:rPr>
                <w:rFonts w:ascii="Calibri" w:cs="Calibri" w:eastAsia="Calibri" w:hAnsi="Calibri"/>
                <w:sz w:val="11"/>
                <w:szCs w:val="11"/>
                <w:color w:val="auto"/>
              </w:rPr>
              <w:t xml:space="preserve">Risk adjusted NIM </w:t>
            </w:r>
            <w:r>
              <w:rPr>
                <w:rFonts w:ascii="Calibri" w:cs="Calibri" w:eastAsia="Calibri" w:hAnsi="Calibri"/>
                <w:sz w:val="18"/>
                <w:szCs w:val="18"/>
                <w:color w:val="auto"/>
                <w:vertAlign w:val="superscript"/>
              </w:rPr>
              <w:t>(2)(3)</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4.10%</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4.64%</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4.70%</w:t>
            </w:r>
          </w:p>
        </w:tc>
      </w:tr>
      <w:tr>
        <w:trPr>
          <w:trHeight w:val="233"/>
        </w:trPr>
        <w:tc>
          <w:tcPr>
            <w:tcW w:w="5700" w:type="dxa"/>
            <w:vAlign w:val="bottom"/>
            <w:tcBorders>
              <w:left w:val="single" w:sz="8" w:color="auto"/>
              <w:right w:val="single" w:sz="8" w:color="auto"/>
            </w:tcBorders>
          </w:tcPr>
          <w:p>
            <w:pPr>
              <w:ind w:left="20"/>
              <w:spacing w:after="0" w:line="232" w:lineRule="exact"/>
              <w:rPr>
                <w:sz w:val="20"/>
                <w:szCs w:val="20"/>
                <w:color w:val="auto"/>
              </w:rPr>
            </w:pPr>
            <w:r>
              <w:rPr>
                <w:rFonts w:ascii="Calibri" w:cs="Calibri" w:eastAsia="Calibri" w:hAnsi="Calibri"/>
                <w:sz w:val="12"/>
                <w:szCs w:val="12"/>
                <w:color w:val="auto"/>
              </w:rPr>
              <w:t xml:space="preserve">Funding Cost </w:t>
            </w:r>
            <w:r>
              <w:rPr>
                <w:rFonts w:ascii="Calibri" w:cs="Calibri" w:eastAsia="Calibri" w:hAnsi="Calibri"/>
                <w:sz w:val="20"/>
                <w:szCs w:val="20"/>
                <w:color w:val="auto"/>
                <w:vertAlign w:val="superscript"/>
              </w:rPr>
              <w:t>(2)(3)(4)</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1.16%</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2.18%</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2.43%</w:t>
            </w:r>
          </w:p>
        </w:tc>
      </w:tr>
      <w:tr>
        <w:trPr>
          <w:trHeight w:val="278"/>
        </w:trPr>
        <w:tc>
          <w:tcPr>
            <w:tcW w:w="57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Quality of loan portolio</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r>
      <w:tr>
        <w:trPr>
          <w:trHeight w:val="170"/>
        </w:trPr>
        <w:tc>
          <w:tcPr>
            <w:tcW w:w="57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IOL rato</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4.26%</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4.15%</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4.12%</w:t>
            </w:r>
          </w:p>
        </w:tc>
      </w:tr>
      <w:tr>
        <w:trPr>
          <w:trHeight w:val="170"/>
        </w:trPr>
        <w:tc>
          <w:tcPr>
            <w:tcW w:w="57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NPL rato</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5.52%</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5.67%</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5.69%</w:t>
            </w:r>
          </w:p>
        </w:tc>
      </w:tr>
      <w:tr>
        <w:trPr>
          <w:trHeight w:val="170"/>
        </w:trPr>
        <w:tc>
          <w:tcPr>
            <w:tcW w:w="57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Coverage of IOLs</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137.6%</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131.1%</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136.8%</w:t>
            </w:r>
          </w:p>
        </w:tc>
      </w:tr>
      <w:tr>
        <w:trPr>
          <w:trHeight w:val="170"/>
        </w:trPr>
        <w:tc>
          <w:tcPr>
            <w:tcW w:w="57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Coverage of NPLs</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106.2%</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96.0%</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98.9%</w:t>
            </w:r>
          </w:p>
        </w:tc>
      </w:tr>
      <w:tr>
        <w:trPr>
          <w:trHeight w:val="255"/>
        </w:trPr>
        <w:tc>
          <w:tcPr>
            <w:tcW w:w="57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 xml:space="preserve">Cost of risk </w:t>
            </w:r>
            <w:r>
              <w:rPr>
                <w:rFonts w:ascii="Calibri" w:cs="Calibri" w:eastAsia="Calibri" w:hAnsi="Calibri"/>
                <w:sz w:val="20"/>
                <w:szCs w:val="20"/>
                <w:color w:val="auto"/>
                <w:vertAlign w:val="superscript"/>
              </w:rPr>
              <w:t>(5)</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0.77%</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2.07%</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2.15%</w:t>
            </w:r>
          </w:p>
        </w:tc>
      </w:tr>
      <w:tr>
        <w:trPr>
          <w:trHeight w:val="278"/>
        </w:trPr>
        <w:tc>
          <w:tcPr>
            <w:tcW w:w="57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Operatng efciency</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r>
      <w:tr>
        <w:trPr>
          <w:trHeight w:val="192"/>
        </w:trPr>
        <w:tc>
          <w:tcPr>
            <w:tcW w:w="5700" w:type="dxa"/>
            <w:vAlign w:val="bottom"/>
            <w:tcBorders>
              <w:left w:val="single" w:sz="8" w:color="auto"/>
              <w:right w:val="single" w:sz="8" w:color="auto"/>
            </w:tcBorders>
          </w:tcPr>
          <w:p>
            <w:pPr>
              <w:ind w:left="20"/>
              <w:spacing w:after="0" w:line="192" w:lineRule="exact"/>
              <w:rPr>
                <w:sz w:val="20"/>
                <w:szCs w:val="20"/>
                <w:color w:val="auto"/>
              </w:rPr>
            </w:pPr>
            <w:r>
              <w:rPr>
                <w:rFonts w:ascii="Calibri" w:cs="Calibri" w:eastAsia="Calibri" w:hAnsi="Calibri"/>
                <w:sz w:val="12"/>
                <w:szCs w:val="12"/>
                <w:color w:val="auto"/>
              </w:rPr>
              <w:t xml:space="preserve">Oper. expenses as a percent. of total income - reported </w:t>
            </w:r>
            <w:r>
              <w:rPr>
                <w:rFonts w:ascii="Calibri" w:cs="Calibri" w:eastAsia="Calibri" w:hAnsi="Calibri"/>
                <w:sz w:val="20"/>
                <w:szCs w:val="20"/>
                <w:color w:val="auto"/>
                <w:vertAlign w:val="superscript"/>
              </w:rPr>
              <w:t>(6)</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42.8%</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43.3%</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39.2%</w:t>
            </w:r>
          </w:p>
        </w:tc>
      </w:tr>
      <w:tr>
        <w:trPr>
          <w:trHeight w:val="233"/>
        </w:trPr>
        <w:tc>
          <w:tcPr>
            <w:tcW w:w="5700" w:type="dxa"/>
            <w:vAlign w:val="bottom"/>
            <w:tcBorders>
              <w:left w:val="single" w:sz="8" w:color="auto"/>
              <w:right w:val="single" w:sz="8" w:color="auto"/>
            </w:tcBorders>
          </w:tcPr>
          <w:p>
            <w:pPr>
              <w:ind w:left="20"/>
              <w:spacing w:after="0" w:line="232" w:lineRule="exact"/>
              <w:rPr>
                <w:sz w:val="20"/>
                <w:szCs w:val="20"/>
                <w:color w:val="auto"/>
              </w:rPr>
            </w:pPr>
            <w:r>
              <w:rPr>
                <w:rFonts w:ascii="Calibri" w:cs="Calibri" w:eastAsia="Calibri" w:hAnsi="Calibri"/>
                <w:sz w:val="12"/>
                <w:szCs w:val="12"/>
                <w:color w:val="auto"/>
              </w:rPr>
              <w:t xml:space="preserve">Oper. expenses as a percent. of av. tot. assets </w:t>
            </w:r>
            <w:r>
              <w:rPr>
                <w:rFonts w:ascii="Calibri" w:cs="Calibri" w:eastAsia="Calibri" w:hAnsi="Calibri"/>
                <w:sz w:val="20"/>
                <w:szCs w:val="20"/>
                <w:color w:val="auto"/>
                <w:vertAlign w:val="superscript"/>
              </w:rPr>
              <w:t>(2)(3)(6)</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2.75%</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3.50%</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3.16%</w:t>
            </w:r>
          </w:p>
        </w:tc>
      </w:tr>
      <w:tr>
        <w:trPr>
          <w:trHeight w:val="278"/>
        </w:trPr>
        <w:tc>
          <w:tcPr>
            <w:tcW w:w="57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Share Informaton</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r>
      <w:tr>
        <w:trPr>
          <w:trHeight w:val="170"/>
        </w:trPr>
        <w:tc>
          <w:tcPr>
            <w:tcW w:w="57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N° of outstanding shares (Million)</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12,973</w:t>
            </w:r>
          </w:p>
        </w:tc>
        <w:tc>
          <w:tcPr>
            <w:tcW w:w="1100" w:type="dxa"/>
            <w:vAlign w:val="bottom"/>
          </w:tcPr>
          <w:p>
            <w:pPr>
              <w:jc w:val="center"/>
              <w:spacing w:after="0"/>
              <w:rPr>
                <w:sz w:val="20"/>
                <w:szCs w:val="20"/>
                <w:color w:val="auto"/>
              </w:rPr>
            </w:pPr>
            <w:r>
              <w:rPr>
                <w:rFonts w:ascii="Calibri" w:cs="Calibri" w:eastAsia="Calibri" w:hAnsi="Calibri"/>
                <w:sz w:val="12"/>
                <w:szCs w:val="12"/>
                <w:color w:val="auto"/>
              </w:rPr>
              <w:t>12,973</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12,973</w:t>
            </w:r>
          </w:p>
        </w:tc>
      </w:tr>
      <w:tr>
        <w:trPr>
          <w:trHeight w:val="29"/>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bl>
    <w:p>
      <w:pPr>
        <w:ind w:left="1100" w:hanging="135"/>
        <w:spacing w:after="0" w:line="203" w:lineRule="auto"/>
        <w:tabs>
          <w:tab w:leader="none" w:pos="1100" w:val="left"/>
        </w:tabs>
        <w:numPr>
          <w:ilvl w:val="0"/>
          <w:numId w:val="66"/>
        </w:numPr>
        <w:rPr>
          <w:rFonts w:ascii="Calibri" w:cs="Calibri" w:eastAsia="Calibri" w:hAnsi="Calibri"/>
          <w:sz w:val="10"/>
          <w:szCs w:val="10"/>
          <w:color w:val="auto"/>
        </w:rPr>
      </w:pPr>
      <w:r>
        <w:rPr>
          <w:rFonts w:ascii="Calibri" w:cs="Calibri" w:eastAsia="Calibri" w:hAnsi="Calibri"/>
          <w:sz w:val="10"/>
          <w:szCs w:val="10"/>
          <w:color w:val="auto"/>
        </w:rPr>
        <w:t>Shares outstanding of 12,176 million is used for all periods since shares have been issued only for capitalizaton of profts.</w:t>
      </w:r>
    </w:p>
    <w:p>
      <w:pPr>
        <w:ind w:left="1100" w:hanging="135"/>
        <w:spacing w:after="0" w:line="223" w:lineRule="auto"/>
        <w:tabs>
          <w:tab w:leader="none" w:pos="1100" w:val="left"/>
        </w:tabs>
        <w:numPr>
          <w:ilvl w:val="0"/>
          <w:numId w:val="66"/>
        </w:numPr>
        <w:rPr>
          <w:rFonts w:ascii="Calibri" w:cs="Calibri" w:eastAsia="Calibri" w:hAnsi="Calibri"/>
          <w:sz w:val="10"/>
          <w:szCs w:val="10"/>
          <w:color w:val="auto"/>
        </w:rPr>
      </w:pPr>
      <w:r>
        <w:rPr>
          <w:rFonts w:ascii="Calibri" w:cs="Calibri" w:eastAsia="Calibri" w:hAnsi="Calibri"/>
          <w:sz w:val="10"/>
          <w:szCs w:val="10"/>
          <w:color w:val="auto"/>
        </w:rPr>
        <w:t>Ratos are annualized.</w:t>
      </w:r>
    </w:p>
    <w:p>
      <w:pPr>
        <w:ind w:left="1100" w:hanging="135"/>
        <w:spacing w:after="0" w:line="223" w:lineRule="auto"/>
        <w:tabs>
          <w:tab w:leader="none" w:pos="1100" w:val="left"/>
        </w:tabs>
        <w:numPr>
          <w:ilvl w:val="0"/>
          <w:numId w:val="66"/>
        </w:numPr>
        <w:rPr>
          <w:rFonts w:ascii="Calibri" w:cs="Calibri" w:eastAsia="Calibri" w:hAnsi="Calibri"/>
          <w:sz w:val="10"/>
          <w:szCs w:val="10"/>
          <w:color w:val="auto"/>
        </w:rPr>
      </w:pPr>
      <w:r>
        <w:rPr>
          <w:rFonts w:ascii="Calibri" w:cs="Calibri" w:eastAsia="Calibri" w:hAnsi="Calibri"/>
          <w:sz w:val="10"/>
          <w:szCs w:val="10"/>
          <w:color w:val="auto"/>
        </w:rPr>
        <w:t>Averages are determined as the average of period-beginning and period-ending balances.</w:t>
      </w:r>
    </w:p>
    <w:p>
      <w:pPr>
        <w:ind w:left="960" w:right="220" w:firstLine="5"/>
        <w:spacing w:after="0" w:line="223" w:lineRule="auto"/>
        <w:tabs>
          <w:tab w:leader="none" w:pos="1091" w:val="left"/>
        </w:tabs>
        <w:numPr>
          <w:ilvl w:val="0"/>
          <w:numId w:val="66"/>
        </w:numPr>
        <w:rPr>
          <w:rFonts w:ascii="Calibri" w:cs="Calibri" w:eastAsia="Calibri" w:hAnsi="Calibri"/>
          <w:sz w:val="10"/>
          <w:szCs w:val="10"/>
          <w:color w:val="auto"/>
        </w:rPr>
      </w:pPr>
      <w:r>
        <w:rPr>
          <w:rFonts w:ascii="Calibri" w:cs="Calibri" w:eastAsia="Calibri" w:hAnsi="Calibri"/>
          <w:sz w:val="10"/>
          <w:szCs w:val="10"/>
          <w:color w:val="auto"/>
        </w:rPr>
        <w:t>The funding costs difers from previously reported due to a methodoloy change in the denominator, which no longer includes the following accounts: acceptances outstanding, reserves for property and casualty claims, reserve for unearned premiums, reinsurance payable and other liabilites.</w:t>
      </w:r>
    </w:p>
    <w:p>
      <w:pPr>
        <w:ind w:left="1100" w:hanging="135"/>
        <w:spacing w:after="0" w:line="223" w:lineRule="auto"/>
        <w:tabs>
          <w:tab w:leader="none" w:pos="1100" w:val="left"/>
        </w:tabs>
        <w:numPr>
          <w:ilvl w:val="0"/>
          <w:numId w:val="66"/>
        </w:numPr>
        <w:rPr>
          <w:rFonts w:ascii="Calibri" w:cs="Calibri" w:eastAsia="Calibri" w:hAnsi="Calibri"/>
          <w:sz w:val="10"/>
          <w:szCs w:val="10"/>
          <w:color w:val="auto"/>
        </w:rPr>
      </w:pPr>
      <w:r>
        <w:rPr>
          <w:rFonts w:ascii="Calibri" w:cs="Calibri" w:eastAsia="Calibri" w:hAnsi="Calibri"/>
          <w:sz w:val="10"/>
          <w:szCs w:val="10"/>
          <w:color w:val="auto"/>
        </w:rPr>
        <w:t>Cost of risk: Annualized provision for loan losses / Total loans.</w:t>
      </w:r>
    </w:p>
    <w:p>
      <w:pPr>
        <w:ind w:left="960" w:right="60" w:firstLine="5"/>
        <w:spacing w:after="0" w:line="223" w:lineRule="auto"/>
        <w:tabs>
          <w:tab w:leader="none" w:pos="1091" w:val="left"/>
        </w:tabs>
        <w:numPr>
          <w:ilvl w:val="0"/>
          <w:numId w:val="66"/>
        </w:numPr>
        <w:rPr>
          <w:rFonts w:ascii="Calibri" w:cs="Calibri" w:eastAsia="Calibri" w:hAnsi="Calibri"/>
          <w:sz w:val="10"/>
          <w:szCs w:val="10"/>
          <w:color w:val="auto"/>
        </w:rPr>
      </w:pPr>
      <w:r>
        <w:rPr>
          <w:rFonts w:ascii="Calibri" w:cs="Calibri" w:eastAsia="Calibri" w:hAnsi="Calibri"/>
          <w:sz w:val="10"/>
          <w:szCs w:val="10"/>
          <w:color w:val="auto"/>
        </w:rPr>
        <w:t>Total income includes net interest income, fee income, net gain on foreign exchange transactons, result on exchange diference and net gain on derivatves. Operatng expenses includes Salaries and social benefts, administratve, general and tax expenses and depreciaton and amortzaton.</w:t>
      </w: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5" w:right="319" w:bottom="1440" w:gutter="0" w:footer="0" w:header="0"/>
        </w:sectPr>
      </w:pPr>
    </w:p>
    <w:bookmarkStart w:id="73" w:name="page74"/>
    <w:bookmarkEnd w:id="73"/>
    <w:p>
      <w:pPr>
        <w:ind w:left="2720"/>
        <w:spacing w:after="0"/>
        <w:tabs>
          <w:tab w:leader="none" w:pos="2920" w:val="left"/>
          <w:tab w:leader="none" w:pos="858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3910" cy="2305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4500" w:type="dxa"/>
            <w:vAlign w:val="bottom"/>
          </w:tcPr>
          <w:p>
            <w:pPr>
              <w:ind w:left="20"/>
              <w:spacing w:after="0"/>
              <w:rPr>
                <w:sz w:val="20"/>
                <w:szCs w:val="20"/>
                <w:color w:val="auto"/>
              </w:rPr>
            </w:pPr>
            <w:r>
              <w:rPr>
                <w:rFonts w:ascii="Calibri" w:cs="Calibri" w:eastAsia="Calibri" w:hAnsi="Calibri"/>
                <w:sz w:val="15"/>
                <w:szCs w:val="15"/>
                <w:b w:val="1"/>
                <w:bCs w:val="1"/>
                <w:color w:val="auto"/>
              </w:rPr>
              <w:t>12.6.4. BCP Stand-alone</w:t>
            </w:r>
          </w:p>
        </w:tc>
        <w:tc>
          <w:tcPr>
            <w:tcW w:w="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86"/>
        </w:trPr>
        <w:tc>
          <w:tcPr>
            <w:tcW w:w="4500" w:type="dxa"/>
            <w:vAlign w:val="bottom"/>
          </w:tcPr>
          <w:p>
            <w:pPr>
              <w:spacing w:after="0"/>
              <w:rPr>
                <w:sz w:val="24"/>
                <w:szCs w:val="24"/>
                <w:color w:val="auto"/>
              </w:rPr>
            </w:pPr>
          </w:p>
        </w:tc>
        <w:tc>
          <w:tcPr>
            <w:tcW w:w="2400" w:type="dxa"/>
            <w:vAlign w:val="bottom"/>
            <w:gridSpan w:val="2"/>
          </w:tcPr>
          <w:p>
            <w:pPr>
              <w:jc w:val="center"/>
              <w:ind w:right="44"/>
              <w:spacing w:after="0"/>
              <w:rPr>
                <w:sz w:val="20"/>
                <w:szCs w:val="20"/>
                <w:color w:val="auto"/>
              </w:rPr>
            </w:pPr>
            <w:r>
              <w:rPr>
                <w:rFonts w:ascii="Calibri" w:cs="Calibri" w:eastAsia="Calibri" w:hAnsi="Calibri"/>
                <w:sz w:val="15"/>
                <w:szCs w:val="15"/>
                <w:b w:val="1"/>
                <w:bCs w:val="1"/>
                <w:color w:val="auto"/>
                <w:w w:val="98"/>
              </w:rPr>
              <w:t>BANCO DE CREDITO DEL PERU</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2"/>
        </w:trPr>
        <w:tc>
          <w:tcPr>
            <w:tcW w:w="4500" w:type="dxa"/>
            <w:vAlign w:val="bottom"/>
          </w:tcPr>
          <w:p>
            <w:pPr>
              <w:spacing w:after="0"/>
              <w:rPr>
                <w:sz w:val="15"/>
                <w:szCs w:val="15"/>
                <w:color w:val="auto"/>
              </w:rPr>
            </w:pPr>
          </w:p>
        </w:tc>
        <w:tc>
          <w:tcPr>
            <w:tcW w:w="2400" w:type="dxa"/>
            <w:vAlign w:val="bottom"/>
            <w:gridSpan w:val="2"/>
          </w:tcPr>
          <w:p>
            <w:pPr>
              <w:jc w:val="center"/>
              <w:ind w:right="24"/>
              <w:spacing w:after="0" w:line="181" w:lineRule="exact"/>
              <w:rPr>
                <w:sz w:val="20"/>
                <w:szCs w:val="20"/>
                <w:color w:val="auto"/>
              </w:rPr>
            </w:pPr>
            <w:r>
              <w:rPr>
                <w:rFonts w:ascii="Calibri" w:cs="Calibri" w:eastAsia="Calibri" w:hAnsi="Calibri"/>
                <w:sz w:val="15"/>
                <w:szCs w:val="15"/>
                <w:b w:val="1"/>
                <w:bCs w:val="1"/>
                <w:color w:val="auto"/>
                <w:w w:val="97"/>
              </w:rPr>
              <w:t>STATEMENT OF FINANCIAL POSITION</w:t>
            </w: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4500" w:type="dxa"/>
            <w:vAlign w:val="bottom"/>
          </w:tcPr>
          <w:p>
            <w:pPr>
              <w:spacing w:after="0"/>
              <w:rPr>
                <w:sz w:val="15"/>
                <w:szCs w:val="15"/>
                <w:color w:val="auto"/>
              </w:rPr>
            </w:pPr>
          </w:p>
        </w:tc>
        <w:tc>
          <w:tcPr>
            <w:tcW w:w="2400" w:type="dxa"/>
            <w:vAlign w:val="bottom"/>
            <w:gridSpan w:val="2"/>
          </w:tcPr>
          <w:p>
            <w:pPr>
              <w:jc w:val="center"/>
              <w:ind w:right="24"/>
              <w:spacing w:after="0" w:line="181" w:lineRule="exact"/>
              <w:rPr>
                <w:sz w:val="20"/>
                <w:szCs w:val="20"/>
                <w:color w:val="auto"/>
              </w:rPr>
            </w:pPr>
            <w:r>
              <w:rPr>
                <w:rFonts w:ascii="Calibri" w:cs="Calibri" w:eastAsia="Calibri" w:hAnsi="Calibri"/>
                <w:sz w:val="15"/>
                <w:szCs w:val="15"/>
                <w:b w:val="1"/>
                <w:bCs w:val="1"/>
                <w:color w:val="auto"/>
              </w:rPr>
              <w:t>(S/ thousands, IFRS)</w:t>
            </w: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8"/>
        </w:trPr>
        <w:tc>
          <w:tcPr>
            <w:tcW w:w="4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179"/>
        </w:trPr>
        <w:tc>
          <w:tcPr>
            <w:tcW w:w="450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700" w:type="dxa"/>
            <w:vAlign w:val="bottom"/>
            <w:shd w:val="clear" w:color="auto" w:fill="2AD2C9"/>
          </w:tcPr>
          <w:p>
            <w:pPr>
              <w:spacing w:after="0"/>
              <w:rPr>
                <w:sz w:val="15"/>
                <w:szCs w:val="15"/>
                <w:color w:val="auto"/>
              </w:rPr>
            </w:pPr>
          </w:p>
        </w:tc>
        <w:tc>
          <w:tcPr>
            <w:tcW w:w="1220" w:type="dxa"/>
            <w:vAlign w:val="bottom"/>
            <w:shd w:val="clear" w:color="auto" w:fill="2AD2C9"/>
          </w:tcPr>
          <w:p>
            <w:pPr>
              <w:jc w:val="right"/>
              <w:ind w:right="664"/>
              <w:spacing w:after="0" w:line="180" w:lineRule="exact"/>
              <w:rPr>
                <w:sz w:val="20"/>
                <w:szCs w:val="20"/>
                <w:color w:val="auto"/>
              </w:rPr>
            </w:pPr>
            <w:r>
              <w:rPr>
                <w:rFonts w:ascii="Calibri" w:cs="Calibri" w:eastAsia="Calibri" w:hAnsi="Calibri"/>
                <w:sz w:val="15"/>
                <w:szCs w:val="15"/>
                <w:b w:val="1"/>
                <w:bCs w:val="1"/>
                <w:color w:val="FFFFFF"/>
              </w:rPr>
              <w:t>As of</w:t>
            </w:r>
          </w:p>
        </w:tc>
        <w:tc>
          <w:tcPr>
            <w:tcW w:w="1140" w:type="dxa"/>
            <w:vAlign w:val="bottom"/>
            <w:tcBorders>
              <w:right w:val="single" w:sz="8" w:color="auto"/>
            </w:tcBorders>
            <w:shd w:val="clear" w:color="auto" w:fill="2AD2C9"/>
          </w:tcPr>
          <w:p>
            <w:pPr>
              <w:spacing w:after="0"/>
              <w:rPr>
                <w:sz w:val="15"/>
                <w:szCs w:val="15"/>
                <w:color w:val="auto"/>
              </w:rPr>
            </w:pPr>
          </w:p>
        </w:tc>
        <w:tc>
          <w:tcPr>
            <w:tcW w:w="1280" w:type="dxa"/>
            <w:vAlign w:val="bottom"/>
            <w:shd w:val="clear" w:color="auto" w:fill="2AD2C9"/>
          </w:tcPr>
          <w:p>
            <w:pPr>
              <w:ind w:left="700"/>
              <w:spacing w:after="0" w:line="180" w:lineRule="exact"/>
              <w:rPr>
                <w:sz w:val="20"/>
                <w:szCs w:val="20"/>
                <w:color w:val="auto"/>
              </w:rPr>
            </w:pPr>
            <w:r>
              <w:rPr>
                <w:rFonts w:ascii="Calibri" w:cs="Calibri" w:eastAsia="Calibri" w:hAnsi="Calibri"/>
                <w:sz w:val="15"/>
                <w:szCs w:val="15"/>
                <w:b w:val="1"/>
                <w:bCs w:val="1"/>
                <w:color w:val="FFFFFF"/>
                <w:w w:val="95"/>
              </w:rPr>
              <w:t>% change</w:t>
            </w:r>
          </w:p>
        </w:tc>
        <w:tc>
          <w:tcPr>
            <w:tcW w:w="740" w:type="dxa"/>
            <w:vAlign w:val="bottom"/>
            <w:tcBorders>
              <w:right w:val="single" w:sz="8" w:color="auto"/>
            </w:tcBorders>
            <w:shd w:val="clear" w:color="auto" w:fill="2AD2C9"/>
          </w:tcPr>
          <w:p>
            <w:pPr>
              <w:spacing w:after="0"/>
              <w:rPr>
                <w:sz w:val="15"/>
                <w:szCs w:val="15"/>
                <w:color w:val="auto"/>
              </w:rPr>
            </w:pPr>
          </w:p>
        </w:tc>
      </w:tr>
      <w:tr>
        <w:trPr>
          <w:trHeight w:val="232"/>
        </w:trPr>
        <w:tc>
          <w:tcPr>
            <w:tcW w:w="45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700" w:type="dxa"/>
            <w:vAlign w:val="bottom"/>
            <w:tcBorders>
              <w:bottom w:val="single" w:sz="8" w:color="2AD2C9"/>
            </w:tcBorders>
            <w:shd w:val="clear" w:color="auto" w:fill="2AD2C9"/>
          </w:tcPr>
          <w:p>
            <w:pPr>
              <w:jc w:val="right"/>
              <w:ind w:right="724"/>
              <w:spacing w:after="0"/>
              <w:rPr>
                <w:sz w:val="20"/>
                <w:szCs w:val="20"/>
                <w:color w:val="auto"/>
              </w:rPr>
            </w:pPr>
            <w:r>
              <w:rPr>
                <w:rFonts w:ascii="Calibri" w:cs="Calibri" w:eastAsia="Calibri" w:hAnsi="Calibri"/>
                <w:sz w:val="15"/>
                <w:szCs w:val="15"/>
                <w:b w:val="1"/>
                <w:bCs w:val="1"/>
                <w:color w:val="FFFFFF"/>
              </w:rPr>
              <w:t>Mar 22</w:t>
            </w:r>
          </w:p>
        </w:tc>
        <w:tc>
          <w:tcPr>
            <w:tcW w:w="1220" w:type="dxa"/>
            <w:vAlign w:val="bottom"/>
            <w:tcBorders>
              <w:bottom w:val="single" w:sz="8" w:color="2AD2C9"/>
            </w:tcBorders>
            <w:shd w:val="clear" w:color="auto" w:fill="2AD2C9"/>
          </w:tcPr>
          <w:p>
            <w:pPr>
              <w:jc w:val="right"/>
              <w:ind w:right="624"/>
              <w:spacing w:after="0"/>
              <w:rPr>
                <w:sz w:val="20"/>
                <w:szCs w:val="20"/>
                <w:color w:val="auto"/>
              </w:rPr>
            </w:pPr>
            <w:r>
              <w:rPr>
                <w:rFonts w:ascii="Calibri" w:cs="Calibri" w:eastAsia="Calibri" w:hAnsi="Calibri"/>
                <w:sz w:val="15"/>
                <w:szCs w:val="15"/>
                <w:b w:val="1"/>
                <w:bCs w:val="1"/>
                <w:color w:val="FFFFFF"/>
              </w:rPr>
              <w:t>Dec 22</w:t>
            </w:r>
          </w:p>
        </w:tc>
        <w:tc>
          <w:tcPr>
            <w:tcW w:w="1140" w:type="dxa"/>
            <w:vAlign w:val="bottom"/>
            <w:tcBorders>
              <w:bottom w:val="single" w:sz="8" w:color="2AD2C9"/>
              <w:right w:val="single" w:sz="8" w:color="auto"/>
            </w:tcBorders>
            <w:shd w:val="clear" w:color="auto" w:fill="2AD2C9"/>
          </w:tcPr>
          <w:p>
            <w:pPr>
              <w:jc w:val="right"/>
              <w:ind w:right="404"/>
              <w:spacing w:after="0"/>
              <w:rPr>
                <w:sz w:val="20"/>
                <w:szCs w:val="20"/>
                <w:color w:val="auto"/>
              </w:rPr>
            </w:pPr>
            <w:r>
              <w:rPr>
                <w:rFonts w:ascii="Calibri" w:cs="Calibri" w:eastAsia="Calibri" w:hAnsi="Calibri"/>
                <w:sz w:val="15"/>
                <w:szCs w:val="15"/>
                <w:b w:val="1"/>
                <w:bCs w:val="1"/>
                <w:color w:val="FFFFFF"/>
              </w:rPr>
              <w:t>Mar 23</w:t>
            </w:r>
          </w:p>
        </w:tc>
        <w:tc>
          <w:tcPr>
            <w:tcW w:w="1280" w:type="dxa"/>
            <w:vAlign w:val="bottom"/>
            <w:tcBorders>
              <w:bottom w:val="single" w:sz="8" w:color="2AD2C9"/>
            </w:tcBorders>
            <w:shd w:val="clear" w:color="auto" w:fill="2AD2C9"/>
          </w:tcPr>
          <w:p>
            <w:pPr>
              <w:ind w:left="360"/>
              <w:spacing w:after="0"/>
              <w:rPr>
                <w:sz w:val="20"/>
                <w:szCs w:val="20"/>
                <w:color w:val="auto"/>
              </w:rPr>
            </w:pPr>
            <w:r>
              <w:rPr>
                <w:rFonts w:ascii="Calibri" w:cs="Calibri" w:eastAsia="Calibri" w:hAnsi="Calibri"/>
                <w:sz w:val="15"/>
                <w:szCs w:val="15"/>
                <w:b w:val="1"/>
                <w:bCs w:val="1"/>
                <w:color w:val="FFFFFF"/>
              </w:rPr>
              <w:t>QoQ</w:t>
            </w:r>
          </w:p>
        </w:tc>
        <w:tc>
          <w:tcPr>
            <w:tcW w:w="740" w:type="dxa"/>
            <w:vAlign w:val="bottom"/>
            <w:tcBorders>
              <w:bottom w:val="single" w:sz="8" w:color="2AD2C9"/>
              <w:right w:val="single" w:sz="8" w:color="auto"/>
            </w:tcBorders>
            <w:shd w:val="clear" w:color="auto" w:fill="2AD2C9"/>
          </w:tcPr>
          <w:p>
            <w:pPr>
              <w:ind w:left="100"/>
              <w:spacing w:after="0"/>
              <w:rPr>
                <w:sz w:val="20"/>
                <w:szCs w:val="20"/>
                <w:color w:val="auto"/>
              </w:rPr>
            </w:pPr>
            <w:r>
              <w:rPr>
                <w:rFonts w:ascii="Calibri" w:cs="Calibri" w:eastAsia="Calibri" w:hAnsi="Calibri"/>
                <w:sz w:val="15"/>
                <w:szCs w:val="15"/>
                <w:b w:val="1"/>
                <w:bCs w:val="1"/>
                <w:color w:val="FFFFFF"/>
              </w:rPr>
              <w:t>YoY</w:t>
            </w:r>
          </w:p>
        </w:tc>
      </w:tr>
      <w:tr>
        <w:trPr>
          <w:trHeight w:val="179"/>
        </w:trPr>
        <w:tc>
          <w:tcPr>
            <w:tcW w:w="4500" w:type="dxa"/>
            <w:vAlign w:val="bottom"/>
            <w:tcBorders>
              <w:top w:val="single" w:sz="8" w:color="auto"/>
              <w:left w:val="single" w:sz="8" w:color="auto"/>
            </w:tcBorders>
          </w:tcPr>
          <w:p>
            <w:pPr>
              <w:ind w:left="40"/>
              <w:spacing w:after="0" w:line="180" w:lineRule="exact"/>
              <w:rPr>
                <w:sz w:val="20"/>
                <w:szCs w:val="20"/>
                <w:color w:val="auto"/>
              </w:rPr>
            </w:pPr>
            <w:r>
              <w:rPr>
                <w:rFonts w:ascii="Calibri" w:cs="Calibri" w:eastAsia="Calibri" w:hAnsi="Calibri"/>
                <w:sz w:val="15"/>
                <w:szCs w:val="15"/>
                <w:b w:val="1"/>
                <w:bCs w:val="1"/>
                <w:color w:val="auto"/>
              </w:rPr>
              <w:t>ASSETS</w:t>
            </w:r>
          </w:p>
        </w:tc>
        <w:tc>
          <w:tcPr>
            <w:tcW w:w="700" w:type="dxa"/>
            <w:vAlign w:val="bottom"/>
            <w:tcBorders>
              <w:top w:val="single" w:sz="8" w:color="auto"/>
              <w:right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r>
      <w:tr>
        <w:trPr>
          <w:trHeight w:val="197"/>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Cash and due from banks</w:t>
            </w:r>
          </w:p>
        </w:tc>
        <w:tc>
          <w:tcPr>
            <w:tcW w:w="700" w:type="dxa"/>
            <w:vAlign w:val="bottom"/>
            <w:tcBorders>
              <w:righ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4"/>
        </w:trPr>
        <w:tc>
          <w:tcPr>
            <w:tcW w:w="4500" w:type="dxa"/>
            <w:vAlign w:val="bottom"/>
            <w:tcBorders>
              <w:left w:val="single" w:sz="8" w:color="auto"/>
            </w:tcBorders>
          </w:tcPr>
          <w:p>
            <w:pPr>
              <w:ind w:left="300"/>
              <w:spacing w:after="0"/>
              <w:rPr>
                <w:sz w:val="20"/>
                <w:szCs w:val="20"/>
                <w:color w:val="auto"/>
              </w:rPr>
            </w:pPr>
            <w:r>
              <w:rPr>
                <w:rFonts w:ascii="Calibri" w:cs="Calibri" w:eastAsia="Calibri" w:hAnsi="Calibri"/>
                <w:sz w:val="15"/>
                <w:szCs w:val="15"/>
                <w:color w:val="auto"/>
              </w:rPr>
              <w:t>Non-interest bearing</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4,429,348</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5,070,067</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4,832,635</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-4.7%</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9.1%</w:t>
            </w:r>
          </w:p>
        </w:tc>
      </w:tr>
      <w:tr>
        <w:trPr>
          <w:trHeight w:val="204"/>
        </w:trPr>
        <w:tc>
          <w:tcPr>
            <w:tcW w:w="4500" w:type="dxa"/>
            <w:vAlign w:val="bottom"/>
            <w:tcBorders>
              <w:left w:val="single" w:sz="8" w:color="auto"/>
            </w:tcBorders>
          </w:tcPr>
          <w:p>
            <w:pPr>
              <w:ind w:left="300"/>
              <w:spacing w:after="0"/>
              <w:rPr>
                <w:sz w:val="20"/>
                <w:szCs w:val="20"/>
                <w:color w:val="auto"/>
              </w:rPr>
            </w:pPr>
            <w:r>
              <w:rPr>
                <w:rFonts w:ascii="Calibri" w:cs="Calibri" w:eastAsia="Calibri" w:hAnsi="Calibri"/>
                <w:sz w:val="15"/>
                <w:szCs w:val="15"/>
                <w:color w:val="auto"/>
              </w:rPr>
              <w:t>Interest bearing</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27,448,742</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24,573,419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26,052,997</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6.0%</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-5.1%</w:t>
            </w:r>
          </w:p>
        </w:tc>
      </w:tr>
      <w:tr>
        <w:trPr>
          <w:trHeight w:val="204"/>
        </w:trPr>
        <w:tc>
          <w:tcPr>
            <w:tcW w:w="4500" w:type="dxa"/>
            <w:vAlign w:val="bottom"/>
            <w:tcBorders>
              <w:left w:val="single" w:sz="8" w:color="auto"/>
            </w:tcBorders>
          </w:tcPr>
          <w:p>
            <w:pPr>
              <w:ind w:left="160"/>
              <w:spacing w:after="0"/>
              <w:rPr>
                <w:sz w:val="20"/>
                <w:szCs w:val="20"/>
                <w:color w:val="auto"/>
              </w:rPr>
            </w:pPr>
            <w:r>
              <w:rPr>
                <w:rFonts w:ascii="Calibri" w:cs="Calibri" w:eastAsia="Calibri" w:hAnsi="Calibri"/>
                <w:sz w:val="15"/>
                <w:szCs w:val="15"/>
                <w:b w:val="1"/>
                <w:bCs w:val="1"/>
                <w:color w:val="auto"/>
              </w:rPr>
              <w:t>Total cash and due from banks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31,878,090</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29,643,486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30,885,632</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4.2%</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7"/>
              </w:rPr>
              <w:t>-3.1%</w:t>
            </w:r>
          </w:p>
        </w:tc>
      </w:tr>
      <w:tr>
        <w:trPr>
          <w:trHeight w:val="408"/>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w w:val="98"/>
              </w:rPr>
              <w:t>Cash collateral, reverse repurchase agreements and securites borrowing</w:t>
            </w:r>
          </w:p>
        </w:tc>
        <w:tc>
          <w:tcPr>
            <w:tcW w:w="700" w:type="dxa"/>
            <w:vAlign w:val="bottom"/>
            <w:tcBorders>
              <w:right w:val="single" w:sz="8" w:color="auto"/>
            </w:tcBorders>
          </w:tcPr>
          <w:p>
            <w:pPr>
              <w:spacing w:after="0"/>
              <w:rPr>
                <w:sz w:val="24"/>
                <w:szCs w:val="24"/>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202,127</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244,017</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232,059</w:t>
            </w:r>
          </w:p>
        </w:tc>
        <w:tc>
          <w:tcPr>
            <w:tcW w:w="1280" w:type="dxa"/>
            <w:vAlign w:val="bottom"/>
          </w:tcPr>
          <w:p>
            <w:pPr>
              <w:jc w:val="center"/>
              <w:ind w:right="204"/>
              <w:spacing w:after="0"/>
              <w:rPr>
                <w:sz w:val="20"/>
                <w:szCs w:val="20"/>
                <w:color w:val="auto"/>
              </w:rPr>
            </w:pPr>
            <w:r>
              <w:rPr>
                <w:rFonts w:ascii="Calibri" w:cs="Calibri" w:eastAsia="Calibri" w:hAnsi="Calibri"/>
                <w:sz w:val="15"/>
                <w:szCs w:val="15"/>
                <w:b w:val="1"/>
                <w:bCs w:val="1"/>
                <w:color w:val="auto"/>
              </w:rPr>
              <w:t>-4.9%</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rPr>
              <w:t>14.8%</w:t>
            </w:r>
          </w:p>
        </w:tc>
      </w:tr>
      <w:tr>
        <w:trPr>
          <w:trHeight w:val="408"/>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Fair value through proft or loss investments</w:t>
            </w:r>
          </w:p>
        </w:tc>
        <w:tc>
          <w:tcPr>
            <w:tcW w:w="700" w:type="dxa"/>
            <w:vAlign w:val="bottom"/>
            <w:tcBorders>
              <w:right w:val="single" w:sz="8" w:color="auto"/>
            </w:tcBorders>
          </w:tcPr>
          <w:p>
            <w:pPr>
              <w:spacing w:after="0"/>
              <w:rPr>
                <w:sz w:val="24"/>
                <w:szCs w:val="24"/>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729,168</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1,011</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39,638</w:t>
            </w:r>
          </w:p>
        </w:tc>
        <w:tc>
          <w:tcPr>
            <w:tcW w:w="1280" w:type="dxa"/>
            <w:vAlign w:val="bottom"/>
          </w:tcPr>
          <w:p>
            <w:pPr>
              <w:jc w:val="center"/>
              <w:ind w:right="204"/>
              <w:spacing w:after="0"/>
              <w:rPr>
                <w:sz w:val="20"/>
                <w:szCs w:val="20"/>
                <w:color w:val="auto"/>
              </w:rPr>
            </w:pPr>
            <w:r>
              <w:rPr>
                <w:rFonts w:ascii="Calibri" w:cs="Calibri" w:eastAsia="Calibri" w:hAnsi="Calibri"/>
                <w:sz w:val="15"/>
                <w:szCs w:val="15"/>
                <w:b w:val="1"/>
                <w:bCs w:val="1"/>
                <w:color w:val="auto"/>
                <w:w w:val="98"/>
              </w:rPr>
              <w:t>3820.7%</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9"/>
              </w:rPr>
              <w:t>-94.6%</w:t>
            </w:r>
          </w:p>
        </w:tc>
      </w:tr>
      <w:tr>
        <w:trPr>
          <w:trHeight w:val="204"/>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Fair value through other comprehensive income investments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18,749,758</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14,098,087</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16,582,128</w:t>
            </w:r>
          </w:p>
        </w:tc>
        <w:tc>
          <w:tcPr>
            <w:tcW w:w="1280" w:type="dxa"/>
            <w:vAlign w:val="bottom"/>
          </w:tcPr>
          <w:p>
            <w:pPr>
              <w:jc w:val="center"/>
              <w:ind w:right="204"/>
              <w:spacing w:after="0"/>
              <w:rPr>
                <w:sz w:val="20"/>
                <w:szCs w:val="20"/>
                <w:color w:val="auto"/>
              </w:rPr>
            </w:pPr>
            <w:r>
              <w:rPr>
                <w:rFonts w:ascii="Calibri" w:cs="Calibri" w:eastAsia="Calibri" w:hAnsi="Calibri"/>
                <w:sz w:val="15"/>
                <w:szCs w:val="15"/>
                <w:b w:val="1"/>
                <w:bCs w:val="1"/>
                <w:color w:val="auto"/>
                <w:w w:val="95"/>
              </w:rPr>
              <w:t>17.6%</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9"/>
              </w:rPr>
              <w:t>-11.6%</w:t>
            </w:r>
          </w:p>
        </w:tc>
      </w:tr>
      <w:tr>
        <w:trPr>
          <w:trHeight w:val="204"/>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Amortzed cost investments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7,249,994</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9,534,621</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9,369,229</w:t>
            </w:r>
          </w:p>
        </w:tc>
        <w:tc>
          <w:tcPr>
            <w:tcW w:w="1280" w:type="dxa"/>
            <w:vAlign w:val="bottom"/>
          </w:tcPr>
          <w:p>
            <w:pPr>
              <w:jc w:val="center"/>
              <w:ind w:right="204"/>
              <w:spacing w:after="0"/>
              <w:rPr>
                <w:sz w:val="20"/>
                <w:szCs w:val="20"/>
                <w:color w:val="auto"/>
              </w:rPr>
            </w:pPr>
            <w:r>
              <w:rPr>
                <w:rFonts w:ascii="Calibri" w:cs="Calibri" w:eastAsia="Calibri" w:hAnsi="Calibri"/>
                <w:sz w:val="15"/>
                <w:szCs w:val="15"/>
                <w:b w:val="1"/>
                <w:bCs w:val="1"/>
                <w:color w:val="auto"/>
              </w:rPr>
              <w:t>-1.7%</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rPr>
              <w:t>29.2%</w:t>
            </w:r>
          </w:p>
        </w:tc>
      </w:tr>
      <w:tr>
        <w:trPr>
          <w:trHeight w:val="408"/>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Loans</w:t>
            </w:r>
          </w:p>
        </w:tc>
        <w:tc>
          <w:tcPr>
            <w:tcW w:w="700" w:type="dxa"/>
            <w:vAlign w:val="bottom"/>
            <w:tcBorders>
              <w:right w:val="single" w:sz="8" w:color="auto"/>
            </w:tcBorders>
          </w:tcPr>
          <w:p>
            <w:pPr>
              <w:spacing w:after="0"/>
              <w:rPr>
                <w:sz w:val="24"/>
                <w:szCs w:val="24"/>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120,541,004</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123,707,601</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119,751,399</w:t>
            </w:r>
          </w:p>
        </w:tc>
        <w:tc>
          <w:tcPr>
            <w:tcW w:w="1280" w:type="dxa"/>
            <w:vAlign w:val="bottom"/>
          </w:tcPr>
          <w:p>
            <w:pPr>
              <w:jc w:val="center"/>
              <w:ind w:right="204"/>
              <w:spacing w:after="0"/>
              <w:rPr>
                <w:sz w:val="20"/>
                <w:szCs w:val="20"/>
                <w:color w:val="auto"/>
              </w:rPr>
            </w:pPr>
            <w:r>
              <w:rPr>
                <w:rFonts w:ascii="Calibri" w:cs="Calibri" w:eastAsia="Calibri" w:hAnsi="Calibri"/>
                <w:sz w:val="15"/>
                <w:szCs w:val="15"/>
                <w:b w:val="1"/>
                <w:bCs w:val="1"/>
                <w:color w:val="auto"/>
              </w:rPr>
              <w:t>-3.2%</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7"/>
              </w:rPr>
              <w:t>-0.7%</w:t>
            </w:r>
          </w:p>
        </w:tc>
      </w:tr>
      <w:tr>
        <w:trPr>
          <w:trHeight w:val="204"/>
        </w:trPr>
        <w:tc>
          <w:tcPr>
            <w:tcW w:w="4500" w:type="dxa"/>
            <w:vAlign w:val="bottom"/>
            <w:tcBorders>
              <w:left w:val="single" w:sz="8" w:color="auto"/>
            </w:tcBorders>
          </w:tcPr>
          <w:p>
            <w:pPr>
              <w:ind w:left="300"/>
              <w:spacing w:after="0"/>
              <w:rPr>
                <w:sz w:val="20"/>
                <w:szCs w:val="20"/>
                <w:color w:val="auto"/>
              </w:rPr>
            </w:pPr>
            <w:r>
              <w:rPr>
                <w:rFonts w:ascii="Calibri" w:cs="Calibri" w:eastAsia="Calibri" w:hAnsi="Calibri"/>
                <w:sz w:val="15"/>
                <w:szCs w:val="15"/>
                <w:color w:val="auto"/>
              </w:rPr>
              <w:t>Current</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115,852,249</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118,841,510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115,009,487</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-3.2%</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-0.7%</w:t>
            </w:r>
          </w:p>
        </w:tc>
      </w:tr>
      <w:tr>
        <w:trPr>
          <w:trHeight w:val="204"/>
        </w:trPr>
        <w:tc>
          <w:tcPr>
            <w:tcW w:w="4500" w:type="dxa"/>
            <w:vAlign w:val="bottom"/>
            <w:tcBorders>
              <w:left w:val="single" w:sz="8" w:color="auto"/>
            </w:tcBorders>
          </w:tcPr>
          <w:p>
            <w:pPr>
              <w:ind w:left="300"/>
              <w:spacing w:after="0"/>
              <w:rPr>
                <w:sz w:val="20"/>
                <w:szCs w:val="20"/>
                <w:color w:val="auto"/>
              </w:rPr>
            </w:pPr>
            <w:r>
              <w:rPr>
                <w:rFonts w:ascii="Calibri" w:cs="Calibri" w:eastAsia="Calibri" w:hAnsi="Calibri"/>
                <w:sz w:val="15"/>
                <w:szCs w:val="15"/>
                <w:color w:val="auto"/>
              </w:rPr>
              <w:t>Internal overdue loans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4,688,755</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4,866,091</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4,741,912</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-2.6%</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1.1%</w:t>
            </w:r>
          </w:p>
        </w:tc>
      </w:tr>
      <w:tr>
        <w:trPr>
          <w:trHeight w:val="204"/>
        </w:trPr>
        <w:tc>
          <w:tcPr>
            <w:tcW w:w="4500" w:type="dxa"/>
            <w:vAlign w:val="bottom"/>
            <w:tcBorders>
              <w:left w:val="single" w:sz="8" w:color="auto"/>
            </w:tcBorders>
          </w:tcPr>
          <w:p>
            <w:pPr>
              <w:ind w:left="300"/>
              <w:spacing w:after="0"/>
              <w:rPr>
                <w:sz w:val="20"/>
                <w:szCs w:val="20"/>
                <w:color w:val="auto"/>
              </w:rPr>
            </w:pPr>
            <w:r>
              <w:rPr>
                <w:rFonts w:ascii="Calibri" w:cs="Calibri" w:eastAsia="Calibri" w:hAnsi="Calibri"/>
                <w:sz w:val="15"/>
                <w:szCs w:val="15"/>
                <w:color w:val="auto"/>
              </w:rPr>
              <w:t>Less - allowance for loan losses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(6,616,033)</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(6,402,939)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(6,404,541)</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0.0%</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-3.2%</w:t>
            </w:r>
          </w:p>
        </w:tc>
      </w:tr>
      <w:tr>
        <w:trPr>
          <w:trHeight w:val="204"/>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Loans, net</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113,924,971</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117,304,662</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113,346,858</w:t>
            </w:r>
          </w:p>
        </w:tc>
        <w:tc>
          <w:tcPr>
            <w:tcW w:w="1280" w:type="dxa"/>
            <w:vAlign w:val="bottom"/>
          </w:tcPr>
          <w:p>
            <w:pPr>
              <w:jc w:val="center"/>
              <w:ind w:right="204"/>
              <w:spacing w:after="0"/>
              <w:rPr>
                <w:sz w:val="20"/>
                <w:szCs w:val="20"/>
                <w:color w:val="auto"/>
              </w:rPr>
            </w:pPr>
            <w:r>
              <w:rPr>
                <w:rFonts w:ascii="Calibri" w:cs="Calibri" w:eastAsia="Calibri" w:hAnsi="Calibri"/>
                <w:sz w:val="15"/>
                <w:szCs w:val="15"/>
                <w:b w:val="1"/>
                <w:bCs w:val="1"/>
                <w:color w:val="auto"/>
              </w:rPr>
              <w:t>-3.4%</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7"/>
              </w:rPr>
              <w:t>-0.5%</w:t>
            </w:r>
          </w:p>
        </w:tc>
      </w:tr>
      <w:tr>
        <w:trPr>
          <w:trHeight w:val="433"/>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 xml:space="preserve">Property, furniture and equipment, net </w:t>
            </w:r>
            <w:r>
              <w:rPr>
                <w:rFonts w:ascii="Calibri" w:cs="Calibri" w:eastAsia="Calibri" w:hAnsi="Calibri"/>
                <w:sz w:val="25"/>
                <w:szCs w:val="25"/>
                <w:b w:val="1"/>
                <w:bCs w:val="1"/>
                <w:color w:val="auto"/>
                <w:vertAlign w:val="superscript"/>
              </w:rPr>
              <w:t>(1)</w:t>
            </w:r>
          </w:p>
        </w:tc>
        <w:tc>
          <w:tcPr>
            <w:tcW w:w="700" w:type="dxa"/>
            <w:vAlign w:val="bottom"/>
            <w:tcBorders>
              <w:right w:val="single" w:sz="8" w:color="auto"/>
            </w:tcBorders>
          </w:tcPr>
          <w:p>
            <w:pPr>
              <w:spacing w:after="0"/>
              <w:rPr>
                <w:sz w:val="24"/>
                <w:szCs w:val="24"/>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1,314,065</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1,281,645</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1,238,722</w:t>
            </w:r>
          </w:p>
        </w:tc>
        <w:tc>
          <w:tcPr>
            <w:tcW w:w="1280" w:type="dxa"/>
            <w:vAlign w:val="bottom"/>
          </w:tcPr>
          <w:p>
            <w:pPr>
              <w:jc w:val="center"/>
              <w:ind w:right="204"/>
              <w:spacing w:after="0"/>
              <w:rPr>
                <w:sz w:val="20"/>
                <w:szCs w:val="20"/>
                <w:color w:val="auto"/>
              </w:rPr>
            </w:pPr>
            <w:r>
              <w:rPr>
                <w:rFonts w:ascii="Calibri" w:cs="Calibri" w:eastAsia="Calibri" w:hAnsi="Calibri"/>
                <w:sz w:val="15"/>
                <w:szCs w:val="15"/>
                <w:b w:val="1"/>
                <w:bCs w:val="1"/>
                <w:color w:val="auto"/>
              </w:rPr>
              <w:t>-3.3%</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7"/>
              </w:rPr>
              <w:t>-5.7%</w:t>
            </w:r>
          </w:p>
        </w:tc>
      </w:tr>
      <w:tr>
        <w:trPr>
          <w:trHeight w:val="179"/>
        </w:trPr>
        <w:tc>
          <w:tcPr>
            <w:tcW w:w="4500" w:type="dxa"/>
            <w:vAlign w:val="bottom"/>
            <w:tcBorders>
              <w:left w:val="single" w:sz="8" w:color="auto"/>
            </w:tcBorders>
          </w:tcPr>
          <w:p>
            <w:pPr>
              <w:ind w:left="40"/>
              <w:spacing w:after="0" w:line="180" w:lineRule="exact"/>
              <w:rPr>
                <w:sz w:val="20"/>
                <w:szCs w:val="20"/>
                <w:color w:val="auto"/>
              </w:rPr>
            </w:pPr>
            <w:r>
              <w:rPr>
                <w:rFonts w:ascii="Calibri" w:cs="Calibri" w:eastAsia="Calibri" w:hAnsi="Calibri"/>
                <w:sz w:val="15"/>
                <w:szCs w:val="15"/>
                <w:b w:val="1"/>
                <w:bCs w:val="1"/>
                <w:color w:val="auto"/>
              </w:rPr>
              <w:t>Due from customers on acceptances</w:t>
            </w:r>
          </w:p>
        </w:tc>
        <w:tc>
          <w:tcPr>
            <w:tcW w:w="700" w:type="dxa"/>
            <w:vAlign w:val="bottom"/>
            <w:tcBorders>
              <w:right w:val="single" w:sz="8" w:color="auto"/>
            </w:tcBorders>
          </w:tcPr>
          <w:p>
            <w:pPr>
              <w:spacing w:after="0"/>
              <w:rPr>
                <w:sz w:val="15"/>
                <w:szCs w:val="15"/>
                <w:color w:val="auto"/>
              </w:rPr>
            </w:pPr>
          </w:p>
        </w:tc>
        <w:tc>
          <w:tcPr>
            <w:tcW w:w="1700" w:type="dxa"/>
            <w:vAlign w:val="bottom"/>
          </w:tcPr>
          <w:p>
            <w:pPr>
              <w:jc w:val="right"/>
              <w:ind w:right="284"/>
              <w:spacing w:after="0" w:line="180" w:lineRule="exact"/>
              <w:rPr>
                <w:sz w:val="20"/>
                <w:szCs w:val="20"/>
                <w:color w:val="auto"/>
              </w:rPr>
            </w:pPr>
            <w:r>
              <w:rPr>
                <w:rFonts w:ascii="Calibri" w:cs="Calibri" w:eastAsia="Calibri" w:hAnsi="Calibri"/>
                <w:sz w:val="15"/>
                <w:szCs w:val="15"/>
                <w:b w:val="1"/>
                <w:bCs w:val="1"/>
                <w:color w:val="auto"/>
              </w:rPr>
              <w:t>524,448</w:t>
            </w:r>
          </w:p>
        </w:tc>
        <w:tc>
          <w:tcPr>
            <w:tcW w:w="1220" w:type="dxa"/>
            <w:vAlign w:val="bottom"/>
          </w:tcPr>
          <w:p>
            <w:pPr>
              <w:jc w:val="right"/>
              <w:ind w:right="164"/>
              <w:spacing w:after="0" w:line="180" w:lineRule="exact"/>
              <w:rPr>
                <w:sz w:val="20"/>
                <w:szCs w:val="20"/>
                <w:color w:val="auto"/>
              </w:rPr>
            </w:pPr>
            <w:r>
              <w:rPr>
                <w:rFonts w:ascii="Calibri" w:cs="Calibri" w:eastAsia="Calibri" w:hAnsi="Calibri"/>
                <w:sz w:val="15"/>
                <w:szCs w:val="15"/>
                <w:b w:val="1"/>
                <w:bCs w:val="1"/>
                <w:color w:val="auto"/>
              </w:rPr>
              <w:t>699,678</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496,170</w:t>
            </w:r>
          </w:p>
        </w:tc>
        <w:tc>
          <w:tcPr>
            <w:tcW w:w="1280" w:type="dxa"/>
            <w:vAlign w:val="bottom"/>
          </w:tcPr>
          <w:p>
            <w:pPr>
              <w:jc w:val="center"/>
              <w:ind w:right="224"/>
              <w:spacing w:after="0" w:line="180" w:lineRule="exact"/>
              <w:rPr>
                <w:sz w:val="20"/>
                <w:szCs w:val="20"/>
                <w:color w:val="auto"/>
              </w:rPr>
            </w:pPr>
            <w:r>
              <w:rPr>
                <w:rFonts w:ascii="Calibri" w:cs="Calibri" w:eastAsia="Calibri" w:hAnsi="Calibri"/>
                <w:sz w:val="15"/>
                <w:szCs w:val="15"/>
                <w:b w:val="1"/>
                <w:bCs w:val="1"/>
                <w:color w:val="auto"/>
                <w:w w:val="99"/>
              </w:rPr>
              <w:t>-29.1%</w:t>
            </w:r>
          </w:p>
        </w:tc>
        <w:tc>
          <w:tcPr>
            <w:tcW w:w="740" w:type="dxa"/>
            <w:vAlign w:val="bottom"/>
            <w:tcBorders>
              <w:right w:val="single" w:sz="8" w:color="auto"/>
            </w:tcBorders>
          </w:tcPr>
          <w:p>
            <w:pPr>
              <w:jc w:val="center"/>
              <w:ind w:right="244"/>
              <w:spacing w:after="0" w:line="180" w:lineRule="exact"/>
              <w:rPr>
                <w:sz w:val="20"/>
                <w:szCs w:val="20"/>
                <w:color w:val="auto"/>
              </w:rPr>
            </w:pPr>
            <w:r>
              <w:rPr>
                <w:rFonts w:ascii="Calibri" w:cs="Calibri" w:eastAsia="Calibri" w:hAnsi="Calibri"/>
                <w:sz w:val="15"/>
                <w:szCs w:val="15"/>
                <w:b w:val="1"/>
                <w:bCs w:val="1"/>
                <w:color w:val="auto"/>
                <w:w w:val="97"/>
              </w:rPr>
              <w:t>-5.4%</w:t>
            </w:r>
          </w:p>
        </w:tc>
      </w:tr>
      <w:tr>
        <w:trPr>
          <w:trHeight w:val="204"/>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Investments in associates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2,429,540</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2,730,184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2,736,368</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0.2%</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rPr>
              <w:t>12.6%</w:t>
            </w:r>
          </w:p>
        </w:tc>
      </w:tr>
      <w:tr>
        <w:trPr>
          <w:trHeight w:val="317"/>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 xml:space="preserve">Other assets </w:t>
            </w:r>
            <w:r>
              <w:rPr>
                <w:rFonts w:ascii="Calibri" w:cs="Calibri" w:eastAsia="Calibri" w:hAnsi="Calibri"/>
                <w:sz w:val="25"/>
                <w:szCs w:val="25"/>
                <w:color w:val="auto"/>
                <w:vertAlign w:val="superscript"/>
              </w:rPr>
              <w:t>(2)</w:t>
            </w:r>
          </w:p>
        </w:tc>
        <w:tc>
          <w:tcPr>
            <w:tcW w:w="700" w:type="dxa"/>
            <w:vAlign w:val="bottom"/>
            <w:tcBorders>
              <w:right w:val="single" w:sz="8" w:color="auto"/>
            </w:tcBorders>
          </w:tcPr>
          <w:p>
            <w:pPr>
              <w:spacing w:after="0"/>
              <w:rPr>
                <w:sz w:val="24"/>
                <w:szCs w:val="24"/>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5,360,983</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5,071,892</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6,203,938</w:t>
            </w:r>
          </w:p>
        </w:tc>
        <w:tc>
          <w:tcPr>
            <w:tcW w:w="1280" w:type="dxa"/>
            <w:vAlign w:val="bottom"/>
          </w:tcPr>
          <w:p>
            <w:pPr>
              <w:jc w:val="center"/>
              <w:ind w:right="204"/>
              <w:spacing w:after="0"/>
              <w:rPr>
                <w:sz w:val="20"/>
                <w:szCs w:val="20"/>
                <w:color w:val="auto"/>
              </w:rPr>
            </w:pPr>
            <w:r>
              <w:rPr>
                <w:rFonts w:ascii="Calibri" w:cs="Calibri" w:eastAsia="Calibri" w:hAnsi="Calibri"/>
                <w:sz w:val="15"/>
                <w:szCs w:val="15"/>
                <w:b w:val="1"/>
                <w:bCs w:val="1"/>
                <w:color w:val="auto"/>
                <w:w w:val="95"/>
              </w:rPr>
              <w:t>22.3%</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rPr>
              <w:t>15.7%</w:t>
            </w:r>
          </w:p>
        </w:tc>
      </w:tr>
      <w:tr>
        <w:trPr>
          <w:trHeight w:val="295"/>
        </w:trPr>
        <w:tc>
          <w:tcPr>
            <w:tcW w:w="4500" w:type="dxa"/>
            <w:vAlign w:val="bottom"/>
            <w:tcBorders>
              <w:left w:val="single" w:sz="8" w:color="auto"/>
            </w:tcBorders>
          </w:tcPr>
          <w:p>
            <w:pPr>
              <w:jc w:val="center"/>
              <w:ind w:left="624"/>
              <w:spacing w:after="0"/>
              <w:rPr>
                <w:sz w:val="20"/>
                <w:szCs w:val="20"/>
                <w:color w:val="auto"/>
              </w:rPr>
            </w:pPr>
            <w:r>
              <w:rPr>
                <w:rFonts w:ascii="Calibri" w:cs="Calibri" w:eastAsia="Calibri" w:hAnsi="Calibri"/>
                <w:sz w:val="15"/>
                <w:szCs w:val="15"/>
                <w:b w:val="1"/>
                <w:bCs w:val="1"/>
                <w:color w:val="auto"/>
                <w:w w:val="95"/>
              </w:rPr>
              <w:t>Total Assets</w:t>
            </w:r>
          </w:p>
        </w:tc>
        <w:tc>
          <w:tcPr>
            <w:tcW w:w="700" w:type="dxa"/>
            <w:vAlign w:val="bottom"/>
            <w:tcBorders>
              <w:right w:val="single" w:sz="8" w:color="auto"/>
            </w:tcBorders>
          </w:tcPr>
          <w:p>
            <w:pPr>
              <w:spacing w:after="0"/>
              <w:rPr>
                <w:sz w:val="24"/>
                <w:szCs w:val="24"/>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182,363,144</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180,609,283</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181,130,742</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0.3%</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7"/>
              </w:rPr>
              <w:t>-0.7%</w:t>
            </w:r>
          </w:p>
        </w:tc>
      </w:tr>
      <w:tr>
        <w:trPr>
          <w:trHeight w:val="408"/>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Liabilites and Equity</w:t>
            </w:r>
          </w:p>
        </w:tc>
        <w:tc>
          <w:tcPr>
            <w:tcW w:w="70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04"/>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Deposits and obligatons</w:t>
            </w:r>
          </w:p>
        </w:tc>
        <w:tc>
          <w:tcPr>
            <w:tcW w:w="700" w:type="dxa"/>
            <w:vAlign w:val="bottom"/>
            <w:tcBorders>
              <w:righ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4"/>
        </w:trPr>
        <w:tc>
          <w:tcPr>
            <w:tcW w:w="4500" w:type="dxa"/>
            <w:vAlign w:val="bottom"/>
            <w:tcBorders>
              <w:left w:val="single" w:sz="8" w:color="auto"/>
            </w:tcBorders>
          </w:tcPr>
          <w:p>
            <w:pPr>
              <w:ind w:left="300"/>
              <w:spacing w:after="0"/>
              <w:rPr>
                <w:sz w:val="20"/>
                <w:szCs w:val="20"/>
                <w:color w:val="auto"/>
              </w:rPr>
            </w:pPr>
            <w:r>
              <w:rPr>
                <w:rFonts w:ascii="Calibri" w:cs="Calibri" w:eastAsia="Calibri" w:hAnsi="Calibri"/>
                <w:sz w:val="15"/>
                <w:szCs w:val="15"/>
                <w:color w:val="auto"/>
              </w:rPr>
              <w:t>Non-interest bearing</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45,294,239</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39,395,493</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37,968,322</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-3.6%</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-16.2%</w:t>
            </w:r>
          </w:p>
        </w:tc>
      </w:tr>
      <w:tr>
        <w:trPr>
          <w:trHeight w:val="204"/>
        </w:trPr>
        <w:tc>
          <w:tcPr>
            <w:tcW w:w="4500" w:type="dxa"/>
            <w:vAlign w:val="bottom"/>
            <w:tcBorders>
              <w:left w:val="single" w:sz="8" w:color="auto"/>
            </w:tcBorders>
          </w:tcPr>
          <w:p>
            <w:pPr>
              <w:ind w:left="300"/>
              <w:spacing w:after="0"/>
              <w:rPr>
                <w:sz w:val="20"/>
                <w:szCs w:val="20"/>
                <w:color w:val="auto"/>
              </w:rPr>
            </w:pPr>
            <w:r>
              <w:rPr>
                <w:rFonts w:ascii="Calibri" w:cs="Calibri" w:eastAsia="Calibri" w:hAnsi="Calibri"/>
                <w:sz w:val="15"/>
                <w:szCs w:val="15"/>
                <w:color w:val="auto"/>
              </w:rPr>
              <w:t>Interest bearing</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76,416,598</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81,232,946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84,477,317</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4.0%</w:t>
            </w:r>
          </w:p>
        </w:tc>
        <w:tc>
          <w:tcPr>
            <w:tcW w:w="74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w w:val="96"/>
              </w:rPr>
              <w:t>10.5%</w:t>
            </w:r>
          </w:p>
        </w:tc>
      </w:tr>
      <w:tr>
        <w:trPr>
          <w:trHeight w:val="204"/>
        </w:trPr>
        <w:tc>
          <w:tcPr>
            <w:tcW w:w="4500" w:type="dxa"/>
            <w:vAlign w:val="bottom"/>
            <w:tcBorders>
              <w:left w:val="single" w:sz="8" w:color="auto"/>
            </w:tcBorders>
          </w:tcPr>
          <w:p>
            <w:pPr>
              <w:ind w:left="300"/>
              <w:spacing w:after="0"/>
              <w:rPr>
                <w:sz w:val="20"/>
                <w:szCs w:val="20"/>
                <w:color w:val="auto"/>
              </w:rPr>
            </w:pPr>
            <w:r>
              <w:rPr>
                <w:rFonts w:ascii="Calibri" w:cs="Calibri" w:eastAsia="Calibri" w:hAnsi="Calibri"/>
                <w:sz w:val="15"/>
                <w:szCs w:val="15"/>
                <w:b w:val="1"/>
                <w:bCs w:val="1"/>
                <w:color w:val="auto"/>
              </w:rPr>
              <w:t>Total deposits and obligatons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121,710,837</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120,628,439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122,445,639</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1.5%</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9"/>
              </w:rPr>
              <w:t>0.6%</w:t>
            </w:r>
          </w:p>
        </w:tc>
      </w:tr>
      <w:tr>
        <w:trPr>
          <w:trHeight w:val="386"/>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Payables from repurchase agreements and securites lending</w:t>
            </w:r>
          </w:p>
        </w:tc>
        <w:tc>
          <w:tcPr>
            <w:tcW w:w="700" w:type="dxa"/>
            <w:vAlign w:val="bottom"/>
            <w:tcBorders>
              <w:right w:val="single" w:sz="8" w:color="auto"/>
            </w:tcBorders>
          </w:tcPr>
          <w:p>
            <w:pPr>
              <w:spacing w:after="0"/>
              <w:rPr>
                <w:sz w:val="24"/>
                <w:szCs w:val="24"/>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16,093,566</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10,879,734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9,578,869</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-12.0%</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9"/>
              </w:rPr>
              <w:t>-40.5%</w:t>
            </w:r>
          </w:p>
        </w:tc>
      </w:tr>
      <w:tr>
        <w:trPr>
          <w:trHeight w:val="204"/>
        </w:trPr>
        <w:tc>
          <w:tcPr>
            <w:tcW w:w="4500" w:type="dxa"/>
            <w:vAlign w:val="bottom"/>
            <w:tcBorders>
              <w:left w:val="single" w:sz="8" w:color="auto"/>
            </w:tcBorders>
          </w:tcPr>
          <w:p>
            <w:pPr>
              <w:ind w:left="300"/>
              <w:spacing w:after="0"/>
              <w:rPr>
                <w:sz w:val="20"/>
                <w:szCs w:val="20"/>
                <w:color w:val="auto"/>
              </w:rPr>
            </w:pPr>
            <w:r>
              <w:rPr>
                <w:rFonts w:ascii="Calibri" w:cs="Calibri" w:eastAsia="Calibri" w:hAnsi="Calibri"/>
                <w:sz w:val="15"/>
                <w:szCs w:val="15"/>
                <w:color w:val="auto"/>
              </w:rPr>
              <w:t>BCRP instruments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15,561,430</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10,333,799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9,040,723</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5"/>
              </w:rPr>
              <w:t>-12.5%</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-41.9%</w:t>
            </w:r>
          </w:p>
        </w:tc>
      </w:tr>
      <w:tr>
        <w:trPr>
          <w:trHeight w:val="204"/>
        </w:trPr>
        <w:tc>
          <w:tcPr>
            <w:tcW w:w="4500" w:type="dxa"/>
            <w:vAlign w:val="bottom"/>
            <w:tcBorders>
              <w:left w:val="single" w:sz="8" w:color="auto"/>
            </w:tcBorders>
          </w:tcPr>
          <w:p>
            <w:pPr>
              <w:ind w:left="300"/>
              <w:spacing w:after="0"/>
              <w:rPr>
                <w:sz w:val="20"/>
                <w:szCs w:val="20"/>
                <w:color w:val="auto"/>
              </w:rPr>
            </w:pPr>
            <w:r>
              <w:rPr>
                <w:rFonts w:ascii="Calibri" w:cs="Calibri" w:eastAsia="Calibri" w:hAnsi="Calibri"/>
                <w:sz w:val="15"/>
                <w:szCs w:val="15"/>
                <w:color w:val="auto"/>
              </w:rPr>
              <w:t>Repurchase agreements with third partes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532,137</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545,935</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538,146</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-1.4%</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1.1%</w:t>
            </w:r>
          </w:p>
        </w:tc>
      </w:tr>
      <w:tr>
        <w:trPr>
          <w:trHeight w:val="204"/>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Due to banks and correspondents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4,905,616</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7,251,352</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8,535,930</w:t>
            </w:r>
          </w:p>
        </w:tc>
        <w:tc>
          <w:tcPr>
            <w:tcW w:w="1280" w:type="dxa"/>
            <w:vAlign w:val="bottom"/>
          </w:tcPr>
          <w:p>
            <w:pPr>
              <w:jc w:val="center"/>
              <w:ind w:right="204"/>
              <w:spacing w:after="0"/>
              <w:rPr>
                <w:sz w:val="20"/>
                <w:szCs w:val="20"/>
                <w:color w:val="auto"/>
              </w:rPr>
            </w:pPr>
            <w:r>
              <w:rPr>
                <w:rFonts w:ascii="Calibri" w:cs="Calibri" w:eastAsia="Calibri" w:hAnsi="Calibri"/>
                <w:sz w:val="15"/>
                <w:szCs w:val="15"/>
                <w:b w:val="1"/>
                <w:bCs w:val="1"/>
                <w:color w:val="auto"/>
                <w:w w:val="95"/>
              </w:rPr>
              <w:t>17.7%</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rPr>
              <w:t>74.0%</w:t>
            </w:r>
          </w:p>
        </w:tc>
      </w:tr>
      <w:tr>
        <w:trPr>
          <w:trHeight w:val="204"/>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Bonds and notes issued</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13,319,276</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13,287,386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10,396,500</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-21.8%</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9"/>
              </w:rPr>
              <w:t>-21.9%</w:t>
            </w:r>
          </w:p>
        </w:tc>
      </w:tr>
      <w:tr>
        <w:trPr>
          <w:trHeight w:val="204"/>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Banker’s acceptances outstanding</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524,448</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699,678</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496,170</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-29.1%</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7"/>
              </w:rPr>
              <w:t>-5.4%</w:t>
            </w:r>
          </w:p>
        </w:tc>
      </w:tr>
      <w:tr>
        <w:trPr>
          <w:trHeight w:val="204"/>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Financial liabilites at fair value through proft or loss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7,669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193,031</w:t>
            </w:r>
          </w:p>
        </w:tc>
        <w:tc>
          <w:tcPr>
            <w:tcW w:w="1280" w:type="dxa"/>
            <w:vAlign w:val="bottom"/>
          </w:tcPr>
          <w:p>
            <w:pPr>
              <w:jc w:val="center"/>
              <w:ind w:right="204"/>
              <w:spacing w:after="0"/>
              <w:rPr>
                <w:sz w:val="20"/>
                <w:szCs w:val="20"/>
                <w:color w:val="auto"/>
              </w:rPr>
            </w:pPr>
            <w:r>
              <w:rPr>
                <w:rFonts w:ascii="Calibri" w:cs="Calibri" w:eastAsia="Calibri" w:hAnsi="Calibri"/>
                <w:sz w:val="15"/>
                <w:szCs w:val="15"/>
                <w:b w:val="1"/>
                <w:bCs w:val="1"/>
                <w:color w:val="auto"/>
                <w:w w:val="98"/>
              </w:rPr>
              <w:t>2417.0%</w:t>
            </w:r>
          </w:p>
        </w:tc>
        <w:tc>
          <w:tcPr>
            <w:tcW w:w="740" w:type="dxa"/>
            <w:vAlign w:val="bottom"/>
            <w:tcBorders>
              <w:right w:val="single" w:sz="8" w:color="auto"/>
            </w:tcBorders>
          </w:tcPr>
          <w:p>
            <w:pPr>
              <w:ind w:left="100"/>
              <w:spacing w:after="0"/>
              <w:rPr>
                <w:sz w:val="20"/>
                <w:szCs w:val="20"/>
                <w:color w:val="auto"/>
              </w:rPr>
            </w:pPr>
            <w:r>
              <w:rPr>
                <w:rFonts w:ascii="Calibri" w:cs="Calibri" w:eastAsia="Calibri" w:hAnsi="Calibri"/>
                <w:sz w:val="15"/>
                <w:szCs w:val="15"/>
                <w:b w:val="1"/>
                <w:bCs w:val="1"/>
                <w:color w:val="auto"/>
              </w:rPr>
              <w:t>n.a.</w:t>
            </w:r>
          </w:p>
        </w:tc>
      </w:tr>
      <w:tr>
        <w:trPr>
          <w:trHeight w:val="229"/>
        </w:trPr>
        <w:tc>
          <w:tcPr>
            <w:tcW w:w="4500" w:type="dxa"/>
            <w:vAlign w:val="bottom"/>
            <w:tcBorders>
              <w:left w:val="single" w:sz="8" w:color="auto"/>
            </w:tcBorders>
          </w:tcPr>
          <w:p>
            <w:pPr>
              <w:ind w:left="40"/>
              <w:spacing w:after="0" w:line="229" w:lineRule="exact"/>
              <w:rPr>
                <w:sz w:val="20"/>
                <w:szCs w:val="20"/>
                <w:color w:val="auto"/>
              </w:rPr>
            </w:pPr>
            <w:r>
              <w:rPr>
                <w:rFonts w:ascii="Calibri" w:cs="Calibri" w:eastAsia="Calibri" w:hAnsi="Calibri"/>
                <w:sz w:val="15"/>
                <w:szCs w:val="15"/>
                <w:b w:val="1"/>
                <w:bCs w:val="1"/>
                <w:color w:val="auto"/>
              </w:rPr>
              <w:t xml:space="preserve">Other liabilites </w:t>
            </w:r>
            <w:r>
              <w:rPr>
                <w:rFonts w:ascii="Calibri" w:cs="Calibri" w:eastAsia="Calibri" w:hAnsi="Calibri"/>
                <w:sz w:val="25"/>
                <w:szCs w:val="25"/>
                <w:color w:val="auto"/>
                <w:vertAlign w:val="superscript"/>
              </w:rPr>
              <w:t>(3)</w:t>
            </w:r>
          </w:p>
        </w:tc>
        <w:tc>
          <w:tcPr>
            <w:tcW w:w="700" w:type="dxa"/>
            <w:vAlign w:val="bottom"/>
            <w:tcBorders>
              <w:right w:val="single" w:sz="8" w:color="auto"/>
            </w:tcBorders>
          </w:tcPr>
          <w:p>
            <w:pPr>
              <w:spacing w:after="0"/>
              <w:rPr>
                <w:sz w:val="19"/>
                <w:szCs w:val="19"/>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5,668,164</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4,731,200</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7,705,309</w:t>
            </w:r>
          </w:p>
        </w:tc>
        <w:tc>
          <w:tcPr>
            <w:tcW w:w="1280" w:type="dxa"/>
            <w:vAlign w:val="bottom"/>
          </w:tcPr>
          <w:p>
            <w:pPr>
              <w:jc w:val="center"/>
              <w:ind w:right="204"/>
              <w:spacing w:after="0"/>
              <w:rPr>
                <w:sz w:val="20"/>
                <w:szCs w:val="20"/>
                <w:color w:val="auto"/>
              </w:rPr>
            </w:pPr>
            <w:r>
              <w:rPr>
                <w:rFonts w:ascii="Calibri" w:cs="Calibri" w:eastAsia="Calibri" w:hAnsi="Calibri"/>
                <w:sz w:val="15"/>
                <w:szCs w:val="15"/>
                <w:b w:val="1"/>
                <w:bCs w:val="1"/>
                <w:color w:val="auto"/>
                <w:w w:val="95"/>
              </w:rPr>
              <w:t>62.9%</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rPr>
              <w:t>35.9%</w:t>
            </w:r>
          </w:p>
        </w:tc>
      </w:tr>
      <w:tr>
        <w:trPr>
          <w:trHeight w:val="179"/>
        </w:trPr>
        <w:tc>
          <w:tcPr>
            <w:tcW w:w="4500" w:type="dxa"/>
            <w:vAlign w:val="bottom"/>
            <w:tcBorders>
              <w:left w:val="single" w:sz="8" w:color="auto"/>
            </w:tcBorders>
          </w:tcPr>
          <w:p>
            <w:pPr>
              <w:jc w:val="center"/>
              <w:ind w:left="624"/>
              <w:spacing w:after="0" w:line="180" w:lineRule="exact"/>
              <w:rPr>
                <w:sz w:val="20"/>
                <w:szCs w:val="20"/>
                <w:color w:val="auto"/>
              </w:rPr>
            </w:pPr>
            <w:r>
              <w:rPr>
                <w:rFonts w:ascii="Calibri" w:cs="Calibri" w:eastAsia="Calibri" w:hAnsi="Calibri"/>
                <w:sz w:val="15"/>
                <w:szCs w:val="15"/>
                <w:b w:val="1"/>
                <w:bCs w:val="1"/>
                <w:color w:val="auto"/>
              </w:rPr>
              <w:t>Total Liabilites</w:t>
            </w:r>
          </w:p>
        </w:tc>
        <w:tc>
          <w:tcPr>
            <w:tcW w:w="700" w:type="dxa"/>
            <w:vAlign w:val="bottom"/>
            <w:tcBorders>
              <w:right w:val="single" w:sz="8" w:color="auto"/>
            </w:tcBorders>
          </w:tcPr>
          <w:p>
            <w:pPr>
              <w:spacing w:after="0"/>
              <w:rPr>
                <w:sz w:val="15"/>
                <w:szCs w:val="15"/>
                <w:color w:val="auto"/>
              </w:rPr>
            </w:pPr>
          </w:p>
        </w:tc>
        <w:tc>
          <w:tcPr>
            <w:tcW w:w="1700" w:type="dxa"/>
            <w:vAlign w:val="bottom"/>
          </w:tcPr>
          <w:p>
            <w:pPr>
              <w:jc w:val="right"/>
              <w:ind w:right="284"/>
              <w:spacing w:after="0" w:line="180" w:lineRule="exact"/>
              <w:rPr>
                <w:sz w:val="20"/>
                <w:szCs w:val="20"/>
                <w:color w:val="auto"/>
              </w:rPr>
            </w:pPr>
            <w:r>
              <w:rPr>
                <w:rFonts w:ascii="Calibri" w:cs="Calibri" w:eastAsia="Calibri" w:hAnsi="Calibri"/>
                <w:sz w:val="15"/>
                <w:szCs w:val="15"/>
                <w:b w:val="1"/>
                <w:bCs w:val="1"/>
                <w:color w:val="auto"/>
              </w:rPr>
              <w:t>162,221,907</w:t>
            </w:r>
          </w:p>
        </w:tc>
        <w:tc>
          <w:tcPr>
            <w:tcW w:w="1220" w:type="dxa"/>
            <w:vAlign w:val="bottom"/>
          </w:tcPr>
          <w:p>
            <w:pPr>
              <w:jc w:val="right"/>
              <w:ind w:right="164"/>
              <w:spacing w:after="0" w:line="180" w:lineRule="exact"/>
              <w:rPr>
                <w:sz w:val="20"/>
                <w:szCs w:val="20"/>
                <w:color w:val="auto"/>
              </w:rPr>
            </w:pPr>
            <w:r>
              <w:rPr>
                <w:rFonts w:ascii="Calibri" w:cs="Calibri" w:eastAsia="Calibri" w:hAnsi="Calibri"/>
                <w:sz w:val="15"/>
                <w:szCs w:val="15"/>
                <w:b w:val="1"/>
                <w:bCs w:val="1"/>
                <w:color w:val="auto"/>
              </w:rPr>
              <w:t>157,485,458</w:t>
            </w:r>
          </w:p>
        </w:tc>
        <w:tc>
          <w:tcPr>
            <w:tcW w:w="11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b w:val="1"/>
                <w:bCs w:val="1"/>
                <w:color w:val="auto"/>
              </w:rPr>
              <w:t>159,351,448</w:t>
            </w:r>
          </w:p>
        </w:tc>
        <w:tc>
          <w:tcPr>
            <w:tcW w:w="1280" w:type="dxa"/>
            <w:vAlign w:val="bottom"/>
          </w:tcPr>
          <w:p>
            <w:pPr>
              <w:jc w:val="center"/>
              <w:ind w:right="224"/>
              <w:spacing w:after="0" w:line="180" w:lineRule="exact"/>
              <w:rPr>
                <w:sz w:val="20"/>
                <w:szCs w:val="20"/>
                <w:color w:val="auto"/>
              </w:rPr>
            </w:pPr>
            <w:r>
              <w:rPr>
                <w:rFonts w:ascii="Calibri" w:cs="Calibri" w:eastAsia="Calibri" w:hAnsi="Calibri"/>
                <w:sz w:val="15"/>
                <w:szCs w:val="15"/>
                <w:b w:val="1"/>
                <w:bCs w:val="1"/>
                <w:color w:val="auto"/>
                <w:w w:val="99"/>
              </w:rPr>
              <w:t>1.2%</w:t>
            </w:r>
          </w:p>
        </w:tc>
        <w:tc>
          <w:tcPr>
            <w:tcW w:w="740" w:type="dxa"/>
            <w:vAlign w:val="bottom"/>
            <w:tcBorders>
              <w:right w:val="single" w:sz="8" w:color="auto"/>
            </w:tcBorders>
          </w:tcPr>
          <w:p>
            <w:pPr>
              <w:jc w:val="center"/>
              <w:ind w:right="244"/>
              <w:spacing w:after="0" w:line="180" w:lineRule="exact"/>
              <w:rPr>
                <w:sz w:val="20"/>
                <w:szCs w:val="20"/>
                <w:color w:val="auto"/>
              </w:rPr>
            </w:pPr>
            <w:r>
              <w:rPr>
                <w:rFonts w:ascii="Calibri" w:cs="Calibri" w:eastAsia="Calibri" w:hAnsi="Calibri"/>
                <w:sz w:val="15"/>
                <w:szCs w:val="15"/>
                <w:b w:val="1"/>
                <w:bCs w:val="1"/>
                <w:color w:val="auto"/>
                <w:w w:val="97"/>
              </w:rPr>
              <w:t>-1.8%</w:t>
            </w:r>
          </w:p>
        </w:tc>
      </w:tr>
      <w:tr>
        <w:trPr>
          <w:trHeight w:val="408"/>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Net equity</w:t>
            </w:r>
          </w:p>
        </w:tc>
        <w:tc>
          <w:tcPr>
            <w:tcW w:w="700" w:type="dxa"/>
            <w:vAlign w:val="bottom"/>
            <w:tcBorders>
              <w:right w:val="single" w:sz="8" w:color="auto"/>
            </w:tcBorders>
          </w:tcPr>
          <w:p>
            <w:pPr>
              <w:spacing w:after="0"/>
              <w:rPr>
                <w:sz w:val="24"/>
                <w:szCs w:val="24"/>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20,141,237</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23,123,825</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21,779,294</w:t>
            </w:r>
          </w:p>
        </w:tc>
        <w:tc>
          <w:tcPr>
            <w:tcW w:w="1280" w:type="dxa"/>
            <w:vAlign w:val="bottom"/>
          </w:tcPr>
          <w:p>
            <w:pPr>
              <w:jc w:val="center"/>
              <w:ind w:right="204"/>
              <w:spacing w:after="0"/>
              <w:rPr>
                <w:sz w:val="20"/>
                <w:szCs w:val="20"/>
                <w:color w:val="auto"/>
              </w:rPr>
            </w:pPr>
            <w:r>
              <w:rPr>
                <w:rFonts w:ascii="Calibri" w:cs="Calibri" w:eastAsia="Calibri" w:hAnsi="Calibri"/>
                <w:sz w:val="15"/>
                <w:szCs w:val="15"/>
                <w:b w:val="1"/>
                <w:bCs w:val="1"/>
                <w:color w:val="auto"/>
              </w:rPr>
              <w:t>-5.8%</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9"/>
              </w:rPr>
              <w:t>8.1%</w:t>
            </w:r>
          </w:p>
        </w:tc>
      </w:tr>
      <w:tr>
        <w:trPr>
          <w:trHeight w:val="204"/>
        </w:trPr>
        <w:tc>
          <w:tcPr>
            <w:tcW w:w="4500" w:type="dxa"/>
            <w:vAlign w:val="bottom"/>
            <w:tcBorders>
              <w:left w:val="single" w:sz="8" w:color="auto"/>
            </w:tcBorders>
          </w:tcPr>
          <w:p>
            <w:pPr>
              <w:ind w:left="160"/>
              <w:spacing w:after="0"/>
              <w:rPr>
                <w:sz w:val="20"/>
                <w:szCs w:val="20"/>
                <w:color w:val="auto"/>
              </w:rPr>
            </w:pPr>
            <w:r>
              <w:rPr>
                <w:rFonts w:ascii="Calibri" w:cs="Calibri" w:eastAsia="Calibri" w:hAnsi="Calibri"/>
                <w:sz w:val="15"/>
                <w:szCs w:val="15"/>
                <w:color w:val="auto"/>
              </w:rPr>
              <w:t>Capital stock</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11,882,984</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11,882,984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12,679,794</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6.7%</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6.7%</w:t>
            </w:r>
          </w:p>
        </w:tc>
      </w:tr>
      <w:tr>
        <w:trPr>
          <w:trHeight w:val="204"/>
        </w:trPr>
        <w:tc>
          <w:tcPr>
            <w:tcW w:w="4500" w:type="dxa"/>
            <w:vAlign w:val="bottom"/>
            <w:tcBorders>
              <w:left w:val="single" w:sz="8" w:color="auto"/>
            </w:tcBorders>
          </w:tcPr>
          <w:p>
            <w:pPr>
              <w:ind w:left="160"/>
              <w:spacing w:after="0"/>
              <w:rPr>
                <w:sz w:val="20"/>
                <w:szCs w:val="20"/>
                <w:color w:val="auto"/>
              </w:rPr>
            </w:pPr>
            <w:r>
              <w:rPr>
                <w:rFonts w:ascii="Calibri" w:cs="Calibri" w:eastAsia="Calibri" w:hAnsi="Calibri"/>
                <w:sz w:val="15"/>
                <w:szCs w:val="15"/>
                <w:color w:val="auto"/>
              </w:rPr>
              <w:t>Reserves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7,297,648</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6,540,665</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6,820,019</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4.3%</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-6.5%</w:t>
            </w:r>
          </w:p>
        </w:tc>
      </w:tr>
      <w:tr>
        <w:trPr>
          <w:trHeight w:val="204"/>
        </w:trPr>
        <w:tc>
          <w:tcPr>
            <w:tcW w:w="4500" w:type="dxa"/>
            <w:vAlign w:val="bottom"/>
            <w:tcBorders>
              <w:left w:val="single" w:sz="8" w:color="auto"/>
            </w:tcBorders>
          </w:tcPr>
          <w:p>
            <w:pPr>
              <w:ind w:left="160"/>
              <w:spacing w:after="0"/>
              <w:rPr>
                <w:sz w:val="20"/>
                <w:szCs w:val="20"/>
                <w:color w:val="auto"/>
              </w:rPr>
            </w:pPr>
            <w:r>
              <w:rPr>
                <w:rFonts w:ascii="Calibri" w:cs="Calibri" w:eastAsia="Calibri" w:hAnsi="Calibri"/>
                <w:sz w:val="15"/>
                <w:szCs w:val="15"/>
                <w:color w:val="auto"/>
              </w:rPr>
              <w:t>Unrealized gains and losses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(780,063)</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(549,319)</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(467,041)</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5"/>
              </w:rPr>
              <w:t>-15.0%</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-40.1%</w:t>
            </w:r>
          </w:p>
        </w:tc>
      </w:tr>
      <w:tr>
        <w:trPr>
          <w:trHeight w:val="204"/>
        </w:trPr>
        <w:tc>
          <w:tcPr>
            <w:tcW w:w="4500" w:type="dxa"/>
            <w:vAlign w:val="bottom"/>
            <w:tcBorders>
              <w:left w:val="single" w:sz="8" w:color="auto"/>
            </w:tcBorders>
          </w:tcPr>
          <w:p>
            <w:pPr>
              <w:ind w:left="160"/>
              <w:spacing w:after="0"/>
              <w:rPr>
                <w:sz w:val="20"/>
                <w:szCs w:val="20"/>
                <w:color w:val="auto"/>
              </w:rPr>
            </w:pPr>
            <w:r>
              <w:rPr>
                <w:rFonts w:ascii="Calibri" w:cs="Calibri" w:eastAsia="Calibri" w:hAnsi="Calibri"/>
                <w:sz w:val="15"/>
                <w:szCs w:val="15"/>
                <w:color w:val="auto"/>
              </w:rPr>
              <w:t>Retained earnings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1,740,668</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5,249,495</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2,746,522</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5"/>
              </w:rPr>
              <w:t>-47.7%</w:t>
            </w:r>
          </w:p>
        </w:tc>
        <w:tc>
          <w:tcPr>
            <w:tcW w:w="74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w w:val="96"/>
              </w:rPr>
              <w:t>57.8%</w:t>
            </w:r>
          </w:p>
        </w:tc>
      </w:tr>
      <w:tr>
        <w:trPr>
          <w:trHeight w:val="386"/>
        </w:trPr>
        <w:tc>
          <w:tcPr>
            <w:tcW w:w="4500" w:type="dxa"/>
            <w:vAlign w:val="bottom"/>
            <w:tcBorders>
              <w:left w:val="single" w:sz="8" w:color="auto"/>
            </w:tcBorders>
          </w:tcPr>
          <w:p>
            <w:pPr>
              <w:jc w:val="center"/>
              <w:ind w:left="644"/>
              <w:spacing w:after="0"/>
              <w:rPr>
                <w:sz w:val="20"/>
                <w:szCs w:val="20"/>
                <w:color w:val="auto"/>
              </w:rPr>
            </w:pPr>
            <w:r>
              <w:rPr>
                <w:rFonts w:ascii="Calibri" w:cs="Calibri" w:eastAsia="Calibri" w:hAnsi="Calibri"/>
                <w:sz w:val="15"/>
                <w:szCs w:val="15"/>
                <w:b w:val="1"/>
                <w:bCs w:val="1"/>
                <w:color w:val="auto"/>
                <w:w w:val="97"/>
              </w:rPr>
              <w:t>Total Net Equity</w:t>
            </w:r>
          </w:p>
        </w:tc>
        <w:tc>
          <w:tcPr>
            <w:tcW w:w="700" w:type="dxa"/>
            <w:vAlign w:val="bottom"/>
            <w:tcBorders>
              <w:right w:val="single" w:sz="8" w:color="auto"/>
            </w:tcBorders>
          </w:tcPr>
          <w:p>
            <w:pPr>
              <w:spacing w:after="0"/>
              <w:rPr>
                <w:sz w:val="24"/>
                <w:szCs w:val="24"/>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20,141,237</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23,123,825</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21,779,294</w:t>
            </w:r>
          </w:p>
        </w:tc>
        <w:tc>
          <w:tcPr>
            <w:tcW w:w="1280" w:type="dxa"/>
            <w:vAlign w:val="bottom"/>
          </w:tcPr>
          <w:p>
            <w:pPr>
              <w:jc w:val="center"/>
              <w:ind w:right="204"/>
              <w:spacing w:after="0"/>
              <w:rPr>
                <w:sz w:val="20"/>
                <w:szCs w:val="20"/>
                <w:color w:val="auto"/>
              </w:rPr>
            </w:pPr>
            <w:r>
              <w:rPr>
                <w:rFonts w:ascii="Calibri" w:cs="Calibri" w:eastAsia="Calibri" w:hAnsi="Calibri"/>
                <w:sz w:val="15"/>
                <w:szCs w:val="15"/>
                <w:b w:val="1"/>
                <w:bCs w:val="1"/>
                <w:color w:val="auto"/>
              </w:rPr>
              <w:t>-5.8%</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9"/>
              </w:rPr>
              <w:t>8.1%</w:t>
            </w:r>
          </w:p>
        </w:tc>
      </w:tr>
      <w:tr>
        <w:trPr>
          <w:trHeight w:val="408"/>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Total liabilites and equity</w:t>
            </w:r>
          </w:p>
        </w:tc>
        <w:tc>
          <w:tcPr>
            <w:tcW w:w="700" w:type="dxa"/>
            <w:vAlign w:val="bottom"/>
            <w:tcBorders>
              <w:right w:val="single" w:sz="8" w:color="auto"/>
            </w:tcBorders>
          </w:tcPr>
          <w:p>
            <w:pPr>
              <w:spacing w:after="0"/>
              <w:rPr>
                <w:sz w:val="24"/>
                <w:szCs w:val="24"/>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182,363,144</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180,609,283</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181,130,742</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0.3%</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7"/>
              </w:rPr>
              <w:t>-0.7%</w:t>
            </w:r>
          </w:p>
        </w:tc>
      </w:tr>
      <w:tr>
        <w:trPr>
          <w:trHeight w:val="386"/>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Of-balance sheet</w:t>
            </w:r>
          </w:p>
        </w:tc>
        <w:tc>
          <w:tcPr>
            <w:tcW w:w="700" w:type="dxa"/>
            <w:vAlign w:val="bottom"/>
            <w:tcBorders>
              <w:right w:val="single" w:sz="8" w:color="auto"/>
            </w:tcBorders>
          </w:tcPr>
          <w:p>
            <w:pPr>
              <w:spacing w:after="0"/>
              <w:rPr>
                <w:sz w:val="24"/>
                <w:szCs w:val="24"/>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127,873,817</w:t>
            </w:r>
          </w:p>
        </w:tc>
        <w:tc>
          <w:tcPr>
            <w:tcW w:w="1220" w:type="dxa"/>
            <w:vAlign w:val="bottom"/>
          </w:tcPr>
          <w:p>
            <w:pPr>
              <w:jc w:val="right"/>
              <w:ind w:right="164"/>
              <w:spacing w:after="0"/>
              <w:rPr>
                <w:sz w:val="20"/>
                <w:szCs w:val="20"/>
                <w:color w:val="auto"/>
              </w:rPr>
            </w:pPr>
            <w:r>
              <w:rPr>
                <w:rFonts w:ascii="Calibri" w:cs="Calibri" w:eastAsia="Calibri" w:hAnsi="Calibri"/>
                <w:sz w:val="15"/>
                <w:szCs w:val="15"/>
                <w:b w:val="1"/>
                <w:bCs w:val="1"/>
                <w:color w:val="auto"/>
              </w:rPr>
              <w:t>134,450,003</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b w:val="1"/>
                <w:bCs w:val="1"/>
                <w:color w:val="auto"/>
              </w:rPr>
              <w:t>138,810,501</w:t>
            </w:r>
          </w:p>
        </w:tc>
        <w:tc>
          <w:tcPr>
            <w:tcW w:w="1280" w:type="dxa"/>
            <w:vAlign w:val="bottom"/>
          </w:tcPr>
          <w:p>
            <w:pPr>
              <w:jc w:val="center"/>
              <w:ind w:right="224"/>
              <w:spacing w:after="0"/>
              <w:rPr>
                <w:sz w:val="20"/>
                <w:szCs w:val="20"/>
                <w:color w:val="auto"/>
              </w:rPr>
            </w:pPr>
            <w:r>
              <w:rPr>
                <w:rFonts w:ascii="Calibri" w:cs="Calibri" w:eastAsia="Calibri" w:hAnsi="Calibri"/>
                <w:sz w:val="15"/>
                <w:szCs w:val="15"/>
                <w:b w:val="1"/>
                <w:bCs w:val="1"/>
                <w:color w:val="auto"/>
                <w:w w:val="99"/>
              </w:rPr>
              <w:t>3.2%</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b w:val="1"/>
                <w:bCs w:val="1"/>
                <w:color w:val="auto"/>
                <w:w w:val="99"/>
              </w:rPr>
              <w:t>8.6%</w:t>
            </w:r>
          </w:p>
        </w:tc>
      </w:tr>
      <w:tr>
        <w:trPr>
          <w:trHeight w:val="204"/>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Total performance bonds, stand-by and L/Cs.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19,638,213</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19,738,086</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17,932,454</w:t>
            </w:r>
          </w:p>
        </w:tc>
        <w:tc>
          <w:tcPr>
            <w:tcW w:w="1280" w:type="dxa"/>
            <w:vAlign w:val="bottom"/>
          </w:tcPr>
          <w:p>
            <w:pPr>
              <w:jc w:val="center"/>
              <w:ind w:right="224"/>
              <w:spacing w:after="0"/>
              <w:rPr>
                <w:sz w:val="20"/>
                <w:szCs w:val="20"/>
                <w:color w:val="auto"/>
              </w:rPr>
            </w:pPr>
            <w:r>
              <w:rPr>
                <w:rFonts w:ascii="Calibri" w:cs="Calibri" w:eastAsia="Calibri" w:hAnsi="Calibri"/>
                <w:sz w:val="15"/>
                <w:szCs w:val="15"/>
                <w:color w:val="auto"/>
                <w:w w:val="98"/>
              </w:rPr>
              <w:t>-9.1%</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w w:val="98"/>
              </w:rPr>
              <w:t>-8.7%</w:t>
            </w:r>
          </w:p>
        </w:tc>
      </w:tr>
      <w:tr>
        <w:trPr>
          <w:trHeight w:val="204"/>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Undrawn credit lines, advised but not commited</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68,137,602</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73,473,563</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73,838,085</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4"/>
              </w:rPr>
              <w:t>0.5%</w:t>
            </w:r>
          </w:p>
        </w:tc>
        <w:tc>
          <w:tcPr>
            <w:tcW w:w="740" w:type="dxa"/>
            <w:vAlign w:val="bottom"/>
            <w:tcBorders>
              <w:right w:val="single" w:sz="8" w:color="auto"/>
            </w:tcBorders>
          </w:tcPr>
          <w:p>
            <w:pPr>
              <w:jc w:val="center"/>
              <w:ind w:right="244"/>
              <w:spacing w:after="0"/>
              <w:rPr>
                <w:sz w:val="20"/>
                <w:szCs w:val="20"/>
                <w:color w:val="auto"/>
              </w:rPr>
            </w:pPr>
            <w:r>
              <w:rPr>
                <w:rFonts w:ascii="Calibri" w:cs="Calibri" w:eastAsia="Calibri" w:hAnsi="Calibri"/>
                <w:sz w:val="15"/>
                <w:szCs w:val="15"/>
                <w:color w:val="auto"/>
              </w:rPr>
              <w:t>8.4%</w:t>
            </w:r>
          </w:p>
        </w:tc>
      </w:tr>
      <w:tr>
        <w:trPr>
          <w:trHeight w:val="204"/>
        </w:trPr>
        <w:tc>
          <w:tcPr>
            <w:tcW w:w="450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Total derivatves (notonal) and others</w:t>
            </w:r>
          </w:p>
        </w:tc>
        <w:tc>
          <w:tcPr>
            <w:tcW w:w="700" w:type="dxa"/>
            <w:vAlign w:val="bottom"/>
            <w:tcBorders>
              <w:right w:val="single" w:sz="8" w:color="auto"/>
            </w:tcBorders>
          </w:tcPr>
          <w:p>
            <w:pPr>
              <w:spacing w:after="0"/>
              <w:rPr>
                <w:sz w:val="17"/>
                <w:szCs w:val="17"/>
                <w:color w:val="auto"/>
              </w:rPr>
            </w:pPr>
          </w:p>
        </w:tc>
        <w:tc>
          <w:tcPr>
            <w:tcW w:w="1700" w:type="dxa"/>
            <w:vAlign w:val="bottom"/>
          </w:tcPr>
          <w:p>
            <w:pPr>
              <w:jc w:val="right"/>
              <w:ind w:right="284"/>
              <w:spacing w:after="0"/>
              <w:rPr>
                <w:sz w:val="20"/>
                <w:szCs w:val="20"/>
                <w:color w:val="auto"/>
              </w:rPr>
            </w:pPr>
            <w:r>
              <w:rPr>
                <w:rFonts w:ascii="Calibri" w:cs="Calibri" w:eastAsia="Calibri" w:hAnsi="Calibri"/>
                <w:sz w:val="15"/>
                <w:szCs w:val="15"/>
                <w:color w:val="auto"/>
              </w:rPr>
              <w:t>40,098,002</w:t>
            </w:r>
          </w:p>
        </w:tc>
        <w:tc>
          <w:tcPr>
            <w:tcW w:w="1220" w:type="dxa"/>
            <w:vAlign w:val="bottom"/>
          </w:tcPr>
          <w:p>
            <w:pPr>
              <w:jc w:val="right"/>
              <w:ind w:right="164"/>
              <w:spacing w:after="0"/>
              <w:rPr>
                <w:sz w:val="20"/>
                <w:szCs w:val="20"/>
                <w:color w:val="auto"/>
              </w:rPr>
            </w:pPr>
            <w:r>
              <w:rPr>
                <w:rFonts w:ascii="Calibri" w:cs="Calibri" w:eastAsia="Calibri" w:hAnsi="Calibri"/>
                <w:sz w:val="15"/>
                <w:szCs w:val="15"/>
                <w:color w:val="auto"/>
              </w:rPr>
              <w:t>41,238,354</w:t>
            </w:r>
          </w:p>
        </w:tc>
        <w:tc>
          <w:tcPr>
            <w:tcW w:w="11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47,039,962</w:t>
            </w:r>
          </w:p>
        </w:tc>
        <w:tc>
          <w:tcPr>
            <w:tcW w:w="1280" w:type="dxa"/>
            <w:vAlign w:val="bottom"/>
          </w:tcPr>
          <w:p>
            <w:pPr>
              <w:jc w:val="center"/>
              <w:ind w:right="204"/>
              <w:spacing w:after="0"/>
              <w:rPr>
                <w:sz w:val="20"/>
                <w:szCs w:val="20"/>
                <w:color w:val="auto"/>
              </w:rPr>
            </w:pPr>
            <w:r>
              <w:rPr>
                <w:rFonts w:ascii="Calibri" w:cs="Calibri" w:eastAsia="Calibri" w:hAnsi="Calibri"/>
                <w:sz w:val="15"/>
                <w:szCs w:val="15"/>
                <w:color w:val="auto"/>
                <w:w w:val="96"/>
              </w:rPr>
              <w:t>14.1%</w:t>
            </w:r>
          </w:p>
        </w:tc>
        <w:tc>
          <w:tcPr>
            <w:tcW w:w="740" w:type="dxa"/>
            <w:vAlign w:val="bottom"/>
            <w:tcBorders>
              <w:right w:val="single" w:sz="8" w:color="auto"/>
            </w:tcBorders>
          </w:tcPr>
          <w:p>
            <w:pPr>
              <w:jc w:val="center"/>
              <w:ind w:right="224"/>
              <w:spacing w:after="0"/>
              <w:rPr>
                <w:sz w:val="20"/>
                <w:szCs w:val="20"/>
                <w:color w:val="auto"/>
              </w:rPr>
            </w:pPr>
            <w:r>
              <w:rPr>
                <w:rFonts w:ascii="Calibri" w:cs="Calibri" w:eastAsia="Calibri" w:hAnsi="Calibri"/>
                <w:sz w:val="15"/>
                <w:szCs w:val="15"/>
                <w:color w:val="auto"/>
                <w:w w:val="96"/>
              </w:rPr>
              <w:t>17.3%</w:t>
            </w:r>
          </w:p>
        </w:tc>
      </w:tr>
      <w:tr>
        <w:trPr>
          <w:trHeight w:val="35"/>
        </w:trPr>
        <w:tc>
          <w:tcPr>
            <w:tcW w:w="4500" w:type="dxa"/>
            <w:vAlign w:val="bottom"/>
            <w:tcBorders>
              <w:left w:val="single" w:sz="8" w:color="auto"/>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bl>
    <w:p>
      <w:pPr>
        <w:ind w:left="140" w:hanging="129"/>
        <w:spacing w:after="0" w:line="203" w:lineRule="auto"/>
        <w:tabs>
          <w:tab w:leader="none" w:pos="140" w:val="left"/>
        </w:tabs>
        <w:numPr>
          <w:ilvl w:val="0"/>
          <w:numId w:val="67"/>
        </w:numPr>
        <w:rPr>
          <w:rFonts w:ascii="Calibri" w:cs="Calibri" w:eastAsia="Calibri" w:hAnsi="Calibri"/>
          <w:sz w:val="10"/>
          <w:szCs w:val="10"/>
          <w:color w:val="auto"/>
        </w:rPr>
      </w:pPr>
      <w:r>
        <w:rPr>
          <w:rFonts w:ascii="Calibri" w:cs="Calibri" w:eastAsia="Calibri" w:hAnsi="Calibri"/>
          <w:sz w:val="10"/>
          <w:szCs w:val="10"/>
          <w:color w:val="auto"/>
        </w:rPr>
        <w:t>Mainly includes intangible assets, other receivable accounts and tax credit.</w:t>
      </w:r>
    </w:p>
    <w:p>
      <w:pPr>
        <w:ind w:left="140" w:hanging="129"/>
        <w:spacing w:after="0" w:line="223" w:lineRule="auto"/>
        <w:tabs>
          <w:tab w:leader="none" w:pos="140" w:val="left"/>
        </w:tabs>
        <w:numPr>
          <w:ilvl w:val="0"/>
          <w:numId w:val="67"/>
        </w:numPr>
        <w:rPr>
          <w:rFonts w:ascii="Calibri" w:cs="Calibri" w:eastAsia="Calibri" w:hAnsi="Calibri"/>
          <w:sz w:val="10"/>
          <w:szCs w:val="10"/>
          <w:color w:val="auto"/>
        </w:rPr>
      </w:pPr>
      <w:r>
        <w:rPr>
          <w:rFonts w:ascii="Calibri" w:cs="Calibri" w:eastAsia="Calibri" w:hAnsi="Calibri"/>
          <w:sz w:val="10"/>
          <w:szCs w:val="10"/>
          <w:color w:val="auto"/>
        </w:rPr>
        <w:t>Mainly includes other payable accounts.</w:t>
      </w:r>
    </w:p>
    <w:p>
      <w:pPr>
        <w:spacing w:after="0" w:line="331"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3910" cy="146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80"/>
          </w:cols>
          <w:pgMar w:left="300" w:top="365" w:right="319" w:bottom="1440" w:gutter="0" w:footer="0" w:header="0"/>
        </w:sectPr>
      </w:pPr>
    </w:p>
    <w:bookmarkStart w:id="74" w:name="page75"/>
    <w:bookmarkEnd w:id="74"/>
    <w:p>
      <w:pPr>
        <w:ind w:left="2720"/>
        <w:spacing w:after="0"/>
        <w:tabs>
          <w:tab w:leader="none" w:pos="2920" w:val="left"/>
          <w:tab w:leader="none" w:pos="858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3910" cy="2305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FFFFFF"/>
        </w:rPr>
        <w:t>12. Appendix</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BANCO DE CREDITO DEL PERU</w:t>
      </w:r>
    </w:p>
    <w:p>
      <w:pPr>
        <w:jc w:val="center"/>
        <w:spacing w:after="0" w:line="236" w:lineRule="auto"/>
        <w:rPr>
          <w:sz w:val="20"/>
          <w:szCs w:val="20"/>
          <w:color w:val="auto"/>
        </w:rPr>
      </w:pPr>
      <w:r>
        <w:rPr>
          <w:rFonts w:ascii="Calibri" w:cs="Calibri" w:eastAsia="Calibri" w:hAnsi="Calibri"/>
          <w:sz w:val="17"/>
          <w:szCs w:val="17"/>
          <w:b w:val="1"/>
          <w:bCs w:val="1"/>
          <w:color w:val="auto"/>
        </w:rPr>
        <w:t>STATEMENT OF INCOME</w:t>
      </w:r>
    </w:p>
    <w:p>
      <w:pPr>
        <w:jc w:val="center"/>
        <w:spacing w:after="0" w:line="236" w:lineRule="auto"/>
        <w:rPr>
          <w:sz w:val="20"/>
          <w:szCs w:val="20"/>
          <w:color w:val="auto"/>
        </w:rPr>
      </w:pPr>
      <w:r>
        <w:rPr>
          <w:rFonts w:ascii="Calibri" w:cs="Calibri" w:eastAsia="Calibri" w:hAnsi="Calibri"/>
          <w:sz w:val="17"/>
          <w:szCs w:val="17"/>
          <w:b w:val="1"/>
          <w:bCs w:val="1"/>
          <w:color w:val="auto"/>
        </w:rPr>
        <w:t>(S/ thousands, IFRS)</w:t>
      </w:r>
    </w:p>
    <w:p>
      <w:pPr>
        <w:spacing w:after="0" w:line="326"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5680" w:type="dxa"/>
            <w:vAlign w:val="bottom"/>
            <w:tcBorders>
              <w:right w:val="single" w:sz="8" w:color="auto"/>
            </w:tcBorders>
          </w:tcPr>
          <w:p>
            <w:pPr>
              <w:spacing w:after="0"/>
              <w:rPr>
                <w:sz w:val="17"/>
                <w:szCs w:val="17"/>
                <w:color w:val="auto"/>
              </w:rPr>
            </w:pPr>
          </w:p>
        </w:tc>
        <w:tc>
          <w:tcPr>
            <w:tcW w:w="1240" w:type="dxa"/>
            <w:vAlign w:val="bottom"/>
            <w:tcBorders>
              <w:top w:val="single" w:sz="8" w:color="auto"/>
            </w:tcBorders>
            <w:shd w:val="clear" w:color="auto" w:fill="2AD2C9"/>
          </w:tcPr>
          <w:p>
            <w:pPr>
              <w:spacing w:after="0"/>
              <w:rPr>
                <w:sz w:val="17"/>
                <w:szCs w:val="17"/>
                <w:color w:val="auto"/>
              </w:rPr>
            </w:pPr>
          </w:p>
        </w:tc>
        <w:tc>
          <w:tcPr>
            <w:tcW w:w="1240" w:type="dxa"/>
            <w:vAlign w:val="bottom"/>
            <w:tcBorders>
              <w:top w:val="single" w:sz="8" w:color="auto"/>
            </w:tcBorders>
            <w:shd w:val="clear" w:color="auto" w:fill="2AD2C9"/>
          </w:tcPr>
          <w:p>
            <w:pPr>
              <w:ind w:left="380"/>
              <w:spacing w:after="0"/>
              <w:rPr>
                <w:sz w:val="20"/>
                <w:szCs w:val="20"/>
                <w:color w:val="auto"/>
              </w:rPr>
            </w:pPr>
            <w:r>
              <w:rPr>
                <w:rFonts w:ascii="Calibri" w:cs="Calibri" w:eastAsia="Calibri" w:hAnsi="Calibri"/>
                <w:sz w:val="15"/>
                <w:szCs w:val="15"/>
                <w:b w:val="1"/>
                <w:bCs w:val="1"/>
                <w:color w:val="FFFFFF"/>
              </w:rPr>
              <w:t>Quarter</w:t>
            </w:r>
          </w:p>
        </w:tc>
        <w:tc>
          <w:tcPr>
            <w:tcW w:w="1260" w:type="dxa"/>
            <w:vAlign w:val="bottom"/>
            <w:tcBorders>
              <w:top w:val="single" w:sz="8" w:color="auto"/>
              <w:right w:val="single" w:sz="8" w:color="auto"/>
            </w:tcBorders>
            <w:shd w:val="clear" w:color="auto" w:fill="2AD2C9"/>
          </w:tcPr>
          <w:p>
            <w:pPr>
              <w:spacing w:after="0"/>
              <w:rPr>
                <w:sz w:val="17"/>
                <w:szCs w:val="17"/>
                <w:color w:val="auto"/>
              </w:rPr>
            </w:pPr>
          </w:p>
        </w:tc>
        <w:tc>
          <w:tcPr>
            <w:tcW w:w="1860" w:type="dxa"/>
            <w:vAlign w:val="bottom"/>
            <w:tcBorders>
              <w:top w:val="single" w:sz="8" w:color="auto"/>
              <w:right w:val="single" w:sz="8" w:color="auto"/>
            </w:tcBorders>
            <w:gridSpan w:val="2"/>
            <w:shd w:val="clear" w:color="auto" w:fill="2AD2C9"/>
          </w:tcPr>
          <w:p>
            <w:pPr>
              <w:ind w:left="620"/>
              <w:spacing w:after="0"/>
              <w:rPr>
                <w:sz w:val="20"/>
                <w:szCs w:val="20"/>
                <w:color w:val="auto"/>
              </w:rPr>
            </w:pPr>
            <w:r>
              <w:rPr>
                <w:rFonts w:ascii="Calibri" w:cs="Calibri" w:eastAsia="Calibri" w:hAnsi="Calibri"/>
                <w:sz w:val="15"/>
                <w:szCs w:val="15"/>
                <w:b w:val="1"/>
                <w:bCs w:val="1"/>
                <w:color w:val="FFFFFF"/>
              </w:rPr>
              <w:t>% change</w:t>
            </w:r>
          </w:p>
        </w:tc>
      </w:tr>
      <w:tr>
        <w:trPr>
          <w:trHeight w:val="538"/>
        </w:trPr>
        <w:tc>
          <w:tcPr>
            <w:tcW w:w="5680" w:type="dxa"/>
            <w:vAlign w:val="bottom"/>
            <w:tcBorders>
              <w:right w:val="single" w:sz="8" w:color="auto"/>
            </w:tcBorders>
          </w:tcPr>
          <w:p>
            <w:pPr>
              <w:spacing w:after="0"/>
              <w:rPr>
                <w:sz w:val="24"/>
                <w:szCs w:val="24"/>
                <w:color w:val="auto"/>
              </w:rPr>
            </w:pPr>
          </w:p>
        </w:tc>
        <w:tc>
          <w:tcPr>
            <w:tcW w:w="1240" w:type="dxa"/>
            <w:vAlign w:val="bottom"/>
            <w:tcBorders>
              <w:bottom w:val="single" w:sz="8" w:color="2AD2C9"/>
            </w:tcBorders>
            <w:shd w:val="clear" w:color="auto" w:fill="2AD2C9"/>
          </w:tcPr>
          <w:p>
            <w:pPr>
              <w:jc w:val="center"/>
              <w:spacing w:after="0"/>
              <w:rPr>
                <w:sz w:val="20"/>
                <w:szCs w:val="20"/>
                <w:color w:val="auto"/>
              </w:rPr>
            </w:pPr>
            <w:r>
              <w:rPr>
                <w:rFonts w:ascii="Calibri" w:cs="Calibri" w:eastAsia="Calibri" w:hAnsi="Calibri"/>
                <w:sz w:val="15"/>
                <w:szCs w:val="15"/>
                <w:b w:val="1"/>
                <w:bCs w:val="1"/>
                <w:color w:val="FFFFFF"/>
              </w:rPr>
              <w:t>1Q22</w:t>
            </w:r>
          </w:p>
        </w:tc>
        <w:tc>
          <w:tcPr>
            <w:tcW w:w="1240" w:type="dxa"/>
            <w:vAlign w:val="bottom"/>
            <w:tcBorders>
              <w:bottom w:val="single" w:sz="8" w:color="2AD2C9"/>
            </w:tcBorders>
            <w:shd w:val="clear" w:color="auto" w:fill="2AD2C9"/>
          </w:tcPr>
          <w:p>
            <w:pPr>
              <w:jc w:val="center"/>
              <w:spacing w:after="0"/>
              <w:rPr>
                <w:sz w:val="20"/>
                <w:szCs w:val="20"/>
                <w:color w:val="auto"/>
              </w:rPr>
            </w:pPr>
            <w:r>
              <w:rPr>
                <w:rFonts w:ascii="Calibri" w:cs="Calibri" w:eastAsia="Calibri" w:hAnsi="Calibri"/>
                <w:sz w:val="15"/>
                <w:szCs w:val="15"/>
                <w:b w:val="1"/>
                <w:bCs w:val="1"/>
                <w:color w:val="FFFFFF"/>
                <w:w w:val="96"/>
              </w:rPr>
              <w:t>4Q22</w:t>
            </w:r>
          </w:p>
        </w:tc>
        <w:tc>
          <w:tcPr>
            <w:tcW w:w="1260" w:type="dxa"/>
            <w:vAlign w:val="bottom"/>
            <w:tcBorders>
              <w:bottom w:val="single" w:sz="8" w:color="2AD2C9"/>
              <w:right w:val="single" w:sz="8" w:color="auto"/>
            </w:tcBorders>
            <w:shd w:val="clear" w:color="auto" w:fill="2AD2C9"/>
          </w:tcPr>
          <w:p>
            <w:pPr>
              <w:jc w:val="center"/>
              <w:spacing w:after="0"/>
              <w:rPr>
                <w:sz w:val="20"/>
                <w:szCs w:val="20"/>
                <w:color w:val="auto"/>
              </w:rPr>
            </w:pPr>
            <w:r>
              <w:rPr>
                <w:rFonts w:ascii="Calibri" w:cs="Calibri" w:eastAsia="Calibri" w:hAnsi="Calibri"/>
                <w:sz w:val="15"/>
                <w:szCs w:val="15"/>
                <w:b w:val="1"/>
                <w:bCs w:val="1"/>
                <w:color w:val="FFFFFF"/>
                <w:w w:val="96"/>
              </w:rPr>
              <w:t>1Q23</w:t>
            </w:r>
          </w:p>
        </w:tc>
        <w:tc>
          <w:tcPr>
            <w:tcW w:w="880" w:type="dxa"/>
            <w:vAlign w:val="bottom"/>
            <w:tcBorders>
              <w:bottom w:val="single" w:sz="8" w:color="2AD2C9"/>
            </w:tcBorders>
            <w:shd w:val="clear" w:color="auto" w:fill="2AD2C9"/>
          </w:tcPr>
          <w:p>
            <w:pPr>
              <w:ind w:left="300"/>
              <w:spacing w:after="0"/>
              <w:rPr>
                <w:sz w:val="20"/>
                <w:szCs w:val="20"/>
                <w:color w:val="auto"/>
              </w:rPr>
            </w:pPr>
            <w:r>
              <w:rPr>
                <w:rFonts w:ascii="Calibri" w:cs="Calibri" w:eastAsia="Calibri" w:hAnsi="Calibri"/>
                <w:sz w:val="15"/>
                <w:szCs w:val="15"/>
                <w:b w:val="1"/>
                <w:bCs w:val="1"/>
                <w:color w:val="FFFFFF"/>
              </w:rPr>
              <w:t>QoQ</w:t>
            </w:r>
          </w:p>
        </w:tc>
        <w:tc>
          <w:tcPr>
            <w:tcW w:w="980" w:type="dxa"/>
            <w:vAlign w:val="bottom"/>
            <w:tcBorders>
              <w:bottom w:val="single" w:sz="8" w:color="2AD2C9"/>
              <w:right w:val="single" w:sz="8" w:color="auto"/>
            </w:tcBorders>
            <w:shd w:val="clear" w:color="auto" w:fill="2AD2C9"/>
          </w:tcPr>
          <w:p>
            <w:pPr>
              <w:ind w:left="360"/>
              <w:spacing w:after="0"/>
              <w:rPr>
                <w:sz w:val="20"/>
                <w:szCs w:val="20"/>
                <w:color w:val="auto"/>
              </w:rPr>
            </w:pPr>
            <w:r>
              <w:rPr>
                <w:rFonts w:ascii="Calibri" w:cs="Calibri" w:eastAsia="Calibri" w:hAnsi="Calibri"/>
                <w:sz w:val="15"/>
                <w:szCs w:val="15"/>
                <w:b w:val="1"/>
                <w:bCs w:val="1"/>
                <w:color w:val="FFFFFF"/>
              </w:rPr>
              <w:t>YoY</w:t>
            </w:r>
          </w:p>
        </w:tc>
      </w:tr>
      <w:tr>
        <w:trPr>
          <w:trHeight w:val="163"/>
        </w:trPr>
        <w:tc>
          <w:tcPr>
            <w:tcW w:w="5680" w:type="dxa"/>
            <w:vAlign w:val="bottom"/>
            <w:tcBorders>
              <w:top w:val="single" w:sz="8" w:color="auto"/>
              <w:left w:val="single" w:sz="8" w:color="auto"/>
              <w:right w:val="single" w:sz="8" w:color="auto"/>
            </w:tcBorders>
          </w:tcPr>
          <w:p>
            <w:pPr>
              <w:ind w:left="20"/>
              <w:spacing w:after="0" w:line="163" w:lineRule="exact"/>
              <w:rPr>
                <w:sz w:val="20"/>
                <w:szCs w:val="20"/>
                <w:color w:val="auto"/>
              </w:rPr>
            </w:pPr>
            <w:r>
              <w:rPr>
                <w:rFonts w:ascii="Calibri" w:cs="Calibri" w:eastAsia="Calibri" w:hAnsi="Calibri"/>
                <w:sz w:val="15"/>
                <w:szCs w:val="15"/>
                <w:b w:val="1"/>
                <w:bCs w:val="1"/>
                <w:color w:val="auto"/>
              </w:rPr>
              <w:t>Interest income and expense</w:t>
            </w:r>
          </w:p>
        </w:tc>
        <w:tc>
          <w:tcPr>
            <w:tcW w:w="1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6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spacing w:after="0"/>
              <w:rPr>
                <w:sz w:val="14"/>
                <w:szCs w:val="14"/>
                <w:color w:val="auto"/>
              </w:rPr>
            </w:pPr>
          </w:p>
        </w:tc>
      </w:tr>
      <w:tr>
        <w:trPr>
          <w:trHeight w:val="179"/>
        </w:trPr>
        <w:tc>
          <w:tcPr>
            <w:tcW w:w="5680" w:type="dxa"/>
            <w:vAlign w:val="bottom"/>
            <w:tcBorders>
              <w:left w:val="single" w:sz="8" w:color="auto"/>
              <w:right w:val="single" w:sz="8" w:color="auto"/>
            </w:tcBorders>
          </w:tcPr>
          <w:p>
            <w:pPr>
              <w:ind w:left="160"/>
              <w:spacing w:after="0" w:line="180" w:lineRule="exact"/>
              <w:rPr>
                <w:sz w:val="20"/>
                <w:szCs w:val="20"/>
                <w:color w:val="auto"/>
              </w:rPr>
            </w:pPr>
            <w:r>
              <w:rPr>
                <w:rFonts w:ascii="Calibri" w:cs="Calibri" w:eastAsia="Calibri" w:hAnsi="Calibri"/>
                <w:sz w:val="15"/>
                <w:szCs w:val="15"/>
                <w:color w:val="auto"/>
              </w:rPr>
              <w:t>Interest and dividend income</w:t>
            </w:r>
          </w:p>
        </w:tc>
        <w:tc>
          <w:tcPr>
            <w:tcW w:w="124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2,120,216</w:t>
            </w:r>
          </w:p>
        </w:tc>
        <w:tc>
          <w:tcPr>
            <w:tcW w:w="124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3,119,180</w:t>
            </w:r>
          </w:p>
        </w:tc>
        <w:tc>
          <w:tcPr>
            <w:tcW w:w="126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8"/>
              </w:rPr>
              <w:t>3,205,509</w:t>
            </w:r>
          </w:p>
        </w:tc>
        <w:tc>
          <w:tcPr>
            <w:tcW w:w="880" w:type="dxa"/>
            <w:vAlign w:val="bottom"/>
          </w:tcPr>
          <w:p>
            <w:pPr>
              <w:jc w:val="center"/>
              <w:spacing w:after="0" w:line="180" w:lineRule="exact"/>
              <w:rPr>
                <w:sz w:val="20"/>
                <w:szCs w:val="20"/>
                <w:color w:val="auto"/>
              </w:rPr>
            </w:pPr>
            <w:r>
              <w:rPr>
                <w:rFonts w:ascii="Calibri" w:cs="Calibri" w:eastAsia="Calibri" w:hAnsi="Calibri"/>
                <w:sz w:val="15"/>
                <w:szCs w:val="15"/>
                <w:color w:val="auto"/>
              </w:rPr>
              <w:t>2.8%</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51.2%</w:t>
            </w:r>
          </w:p>
        </w:tc>
      </w:tr>
      <w:tr>
        <w:trPr>
          <w:trHeight w:val="184"/>
        </w:trPr>
        <w:tc>
          <w:tcPr>
            <w:tcW w:w="5680" w:type="dxa"/>
            <w:vAlign w:val="bottom"/>
            <w:tcBorders>
              <w:left w:val="single" w:sz="8" w:color="auto"/>
              <w:right w:val="single" w:sz="8" w:color="auto"/>
            </w:tcBorders>
          </w:tcPr>
          <w:p>
            <w:pPr>
              <w:ind w:left="160"/>
              <w:spacing w:after="0" w:line="184" w:lineRule="exact"/>
              <w:rPr>
                <w:sz w:val="20"/>
                <w:szCs w:val="20"/>
                <w:color w:val="auto"/>
              </w:rPr>
            </w:pPr>
            <w:r>
              <w:rPr>
                <w:rFonts w:ascii="Calibri" w:cs="Calibri" w:eastAsia="Calibri" w:hAnsi="Calibri"/>
                <w:sz w:val="13"/>
                <w:szCs w:val="13"/>
                <w:color w:val="auto"/>
              </w:rPr>
              <w:t xml:space="preserve">Interest expense </w:t>
            </w:r>
            <w:r>
              <w:rPr>
                <w:rFonts w:ascii="Calibri" w:cs="Calibri" w:eastAsia="Calibri" w:hAnsi="Calibri"/>
                <w:sz w:val="20"/>
                <w:szCs w:val="20"/>
                <w:color w:val="auto"/>
                <w:vertAlign w:val="superscript"/>
              </w:rPr>
              <w:t>(1)</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(414,863)</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(751,858)</w:t>
            </w:r>
          </w:p>
        </w:tc>
        <w:tc>
          <w:tcPr>
            <w:tcW w:w="12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9"/>
              </w:rPr>
              <w:t>(817,056)</w:t>
            </w:r>
          </w:p>
        </w:tc>
        <w:tc>
          <w:tcPr>
            <w:tcW w:w="880" w:type="dxa"/>
            <w:vAlign w:val="bottom"/>
          </w:tcPr>
          <w:p>
            <w:pPr>
              <w:jc w:val="center"/>
              <w:spacing w:after="0" w:line="181" w:lineRule="exact"/>
              <w:rPr>
                <w:sz w:val="20"/>
                <w:szCs w:val="20"/>
                <w:color w:val="auto"/>
              </w:rPr>
            </w:pPr>
            <w:r>
              <w:rPr>
                <w:rFonts w:ascii="Calibri" w:cs="Calibri" w:eastAsia="Calibri" w:hAnsi="Calibri"/>
                <w:sz w:val="15"/>
                <w:szCs w:val="15"/>
                <w:color w:val="auto"/>
              </w:rPr>
              <w:t>8.7%</w:t>
            </w:r>
          </w:p>
        </w:tc>
        <w:tc>
          <w:tcPr>
            <w:tcW w:w="98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96.9%</w:t>
            </w:r>
          </w:p>
        </w:tc>
      </w:tr>
      <w:tr>
        <w:trPr>
          <w:trHeight w:val="179"/>
        </w:trPr>
        <w:tc>
          <w:tcPr>
            <w:tcW w:w="5680" w:type="dxa"/>
            <w:vAlign w:val="bottom"/>
            <w:tcBorders>
              <w:left w:val="single" w:sz="8" w:color="auto"/>
              <w:right w:val="single" w:sz="8" w:color="auto"/>
            </w:tcBorders>
          </w:tcPr>
          <w:p>
            <w:pPr>
              <w:ind w:left="160"/>
              <w:spacing w:after="0" w:line="180" w:lineRule="exact"/>
              <w:rPr>
                <w:sz w:val="20"/>
                <w:szCs w:val="20"/>
                <w:color w:val="auto"/>
              </w:rPr>
            </w:pPr>
            <w:r>
              <w:rPr>
                <w:rFonts w:ascii="Calibri" w:cs="Calibri" w:eastAsia="Calibri" w:hAnsi="Calibri"/>
                <w:sz w:val="15"/>
                <w:szCs w:val="15"/>
                <w:b w:val="1"/>
                <w:bCs w:val="1"/>
                <w:color w:val="auto"/>
              </w:rPr>
              <w:t>Net interest income</w:t>
            </w:r>
          </w:p>
        </w:tc>
        <w:tc>
          <w:tcPr>
            <w:tcW w:w="1240" w:type="dxa"/>
            <w:vAlign w:val="bottom"/>
          </w:tcPr>
          <w:p>
            <w:pPr>
              <w:jc w:val="center"/>
              <w:spacing w:after="0" w:line="180" w:lineRule="exact"/>
              <w:rPr>
                <w:sz w:val="20"/>
                <w:szCs w:val="20"/>
                <w:color w:val="auto"/>
              </w:rPr>
            </w:pPr>
            <w:r>
              <w:rPr>
                <w:rFonts w:ascii="Calibri" w:cs="Calibri" w:eastAsia="Calibri" w:hAnsi="Calibri"/>
                <w:sz w:val="15"/>
                <w:szCs w:val="15"/>
                <w:b w:val="1"/>
                <w:bCs w:val="1"/>
                <w:color w:val="auto"/>
                <w:w w:val="98"/>
              </w:rPr>
              <w:t>1,705,353</w:t>
            </w:r>
          </w:p>
        </w:tc>
        <w:tc>
          <w:tcPr>
            <w:tcW w:w="1240" w:type="dxa"/>
            <w:vAlign w:val="bottom"/>
          </w:tcPr>
          <w:p>
            <w:pPr>
              <w:jc w:val="center"/>
              <w:spacing w:after="0" w:line="180" w:lineRule="exact"/>
              <w:rPr>
                <w:sz w:val="20"/>
                <w:szCs w:val="20"/>
                <w:color w:val="auto"/>
              </w:rPr>
            </w:pPr>
            <w:r>
              <w:rPr>
                <w:rFonts w:ascii="Calibri" w:cs="Calibri" w:eastAsia="Calibri" w:hAnsi="Calibri"/>
                <w:sz w:val="15"/>
                <w:szCs w:val="15"/>
                <w:b w:val="1"/>
                <w:bCs w:val="1"/>
                <w:color w:val="auto"/>
                <w:w w:val="98"/>
              </w:rPr>
              <w:t>2,367,322</w:t>
            </w:r>
          </w:p>
        </w:tc>
        <w:tc>
          <w:tcPr>
            <w:tcW w:w="126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w w:val="98"/>
              </w:rPr>
              <w:t>2,388,453</w:t>
            </w:r>
          </w:p>
        </w:tc>
        <w:tc>
          <w:tcPr>
            <w:tcW w:w="880" w:type="dxa"/>
            <w:vAlign w:val="bottom"/>
          </w:tcPr>
          <w:p>
            <w:pPr>
              <w:jc w:val="center"/>
              <w:spacing w:after="0" w:line="180" w:lineRule="exact"/>
              <w:rPr>
                <w:sz w:val="20"/>
                <w:szCs w:val="20"/>
                <w:color w:val="auto"/>
              </w:rPr>
            </w:pPr>
            <w:r>
              <w:rPr>
                <w:rFonts w:ascii="Calibri" w:cs="Calibri" w:eastAsia="Calibri" w:hAnsi="Calibri"/>
                <w:sz w:val="15"/>
                <w:szCs w:val="15"/>
                <w:b w:val="1"/>
                <w:bCs w:val="1"/>
                <w:color w:val="auto"/>
                <w:w w:val="99"/>
              </w:rPr>
              <w:t>0.9%</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rPr>
              <w:t>40.1%</w:t>
            </w:r>
          </w:p>
        </w:tc>
      </w:tr>
      <w:tr>
        <w:trPr>
          <w:trHeight w:val="363"/>
        </w:trPr>
        <w:tc>
          <w:tcPr>
            <w:tcW w:w="56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Provision for credit losses on loan portolio</w:t>
            </w:r>
          </w:p>
        </w:tc>
        <w:tc>
          <w:tcPr>
            <w:tcW w:w="1240" w:type="dxa"/>
            <w:vAlign w:val="bottom"/>
          </w:tcPr>
          <w:p>
            <w:pPr>
              <w:jc w:val="center"/>
              <w:spacing w:after="0"/>
              <w:rPr>
                <w:sz w:val="20"/>
                <w:szCs w:val="20"/>
                <w:color w:val="auto"/>
              </w:rPr>
            </w:pPr>
            <w:r>
              <w:rPr>
                <w:rFonts w:ascii="Calibri" w:cs="Calibri" w:eastAsia="Calibri" w:hAnsi="Calibri"/>
                <w:sz w:val="15"/>
                <w:szCs w:val="15"/>
                <w:color w:val="auto"/>
                <w:w w:val="99"/>
              </w:rPr>
              <w:t>(202,768)</w:t>
            </w:r>
          </w:p>
        </w:tc>
        <w:tc>
          <w:tcPr>
            <w:tcW w:w="1240" w:type="dxa"/>
            <w:vAlign w:val="bottom"/>
          </w:tcPr>
          <w:p>
            <w:pPr>
              <w:jc w:val="center"/>
              <w:spacing w:after="0"/>
              <w:rPr>
                <w:sz w:val="20"/>
                <w:szCs w:val="20"/>
                <w:color w:val="auto"/>
              </w:rPr>
            </w:pPr>
            <w:r>
              <w:rPr>
                <w:rFonts w:ascii="Calibri" w:cs="Calibri" w:eastAsia="Calibri" w:hAnsi="Calibri"/>
                <w:sz w:val="15"/>
                <w:szCs w:val="15"/>
                <w:color w:val="auto"/>
                <w:w w:val="99"/>
              </w:rPr>
              <w:t>(564,240)</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9"/>
              </w:rPr>
              <w:t>(532,192)</w:t>
            </w:r>
          </w:p>
        </w:tc>
        <w:tc>
          <w:tcPr>
            <w:tcW w:w="880" w:type="dxa"/>
            <w:vAlign w:val="bottom"/>
          </w:tcPr>
          <w:p>
            <w:pPr>
              <w:jc w:val="center"/>
              <w:spacing w:after="0"/>
              <w:rPr>
                <w:sz w:val="20"/>
                <w:szCs w:val="20"/>
                <w:color w:val="auto"/>
              </w:rPr>
            </w:pPr>
            <w:r>
              <w:rPr>
                <w:rFonts w:ascii="Calibri" w:cs="Calibri" w:eastAsia="Calibri" w:hAnsi="Calibri"/>
                <w:sz w:val="15"/>
                <w:szCs w:val="15"/>
                <w:color w:val="auto"/>
                <w:w w:val="98"/>
              </w:rPr>
              <w:t>-5.7%</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162.5%</w:t>
            </w:r>
          </w:p>
        </w:tc>
      </w:tr>
      <w:tr>
        <w:trPr>
          <w:trHeight w:val="182"/>
        </w:trPr>
        <w:tc>
          <w:tcPr>
            <w:tcW w:w="56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Recoveries of writen-of loans</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rPr>
              <w:t>56,125</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rPr>
              <w:t>53,602</w:t>
            </w:r>
          </w:p>
        </w:tc>
        <w:tc>
          <w:tcPr>
            <w:tcW w:w="12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5"/>
              </w:rPr>
              <w:t>47,417</w:t>
            </w:r>
          </w:p>
        </w:tc>
        <w:tc>
          <w:tcPr>
            <w:tcW w:w="880" w:type="dxa"/>
            <w:vAlign w:val="bottom"/>
          </w:tcPr>
          <w:p>
            <w:pPr>
              <w:jc w:val="center"/>
              <w:spacing w:after="0" w:line="181" w:lineRule="exact"/>
              <w:rPr>
                <w:sz w:val="20"/>
                <w:szCs w:val="20"/>
                <w:color w:val="auto"/>
              </w:rPr>
            </w:pPr>
            <w:r>
              <w:rPr>
                <w:rFonts w:ascii="Calibri" w:cs="Calibri" w:eastAsia="Calibri" w:hAnsi="Calibri"/>
                <w:sz w:val="15"/>
                <w:szCs w:val="15"/>
                <w:color w:val="auto"/>
              </w:rPr>
              <w:t>-11.5%</w:t>
            </w:r>
          </w:p>
        </w:tc>
        <w:tc>
          <w:tcPr>
            <w:tcW w:w="98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-15.5%</w:t>
            </w:r>
          </w:p>
        </w:tc>
      </w:tr>
      <w:tr>
        <w:trPr>
          <w:trHeight w:val="182"/>
        </w:trPr>
        <w:tc>
          <w:tcPr>
            <w:tcW w:w="568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b w:val="1"/>
                <w:bCs w:val="1"/>
                <w:color w:val="auto"/>
              </w:rPr>
              <w:t>Provision for credit losses on loan portolio, net of recoveries</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w w:val="98"/>
              </w:rPr>
              <w:t>(146,643)</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w w:val="98"/>
              </w:rPr>
              <w:t>(510,638)</w:t>
            </w:r>
          </w:p>
        </w:tc>
        <w:tc>
          <w:tcPr>
            <w:tcW w:w="12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b w:val="1"/>
                <w:bCs w:val="1"/>
                <w:color w:val="auto"/>
                <w:w w:val="98"/>
              </w:rPr>
              <w:t>(484,775)</w:t>
            </w:r>
          </w:p>
        </w:tc>
        <w:tc>
          <w:tcPr>
            <w:tcW w:w="88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w w:val="97"/>
              </w:rPr>
              <w:t>-5.1%</w:t>
            </w:r>
          </w:p>
        </w:tc>
        <w:tc>
          <w:tcPr>
            <w:tcW w:w="98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b w:val="1"/>
                <w:bCs w:val="1"/>
                <w:color w:val="auto"/>
              </w:rPr>
              <w:t>230.6%</w:t>
            </w:r>
          </w:p>
        </w:tc>
      </w:tr>
      <w:tr>
        <w:trPr>
          <w:trHeight w:val="363"/>
        </w:trPr>
        <w:tc>
          <w:tcPr>
            <w:tcW w:w="56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b w:val="1"/>
                <w:bCs w:val="1"/>
                <w:color w:val="auto"/>
              </w:rPr>
              <w:t>Risk-adjusted net interest income</w:t>
            </w:r>
          </w:p>
        </w:tc>
        <w:tc>
          <w:tcPr>
            <w:tcW w:w="1240" w:type="dxa"/>
            <w:vAlign w:val="bottom"/>
          </w:tcPr>
          <w:p>
            <w:pPr>
              <w:jc w:val="center"/>
              <w:spacing w:after="0"/>
              <w:rPr>
                <w:sz w:val="20"/>
                <w:szCs w:val="20"/>
                <w:color w:val="auto"/>
              </w:rPr>
            </w:pPr>
            <w:r>
              <w:rPr>
                <w:rFonts w:ascii="Calibri" w:cs="Calibri" w:eastAsia="Calibri" w:hAnsi="Calibri"/>
                <w:sz w:val="15"/>
                <w:szCs w:val="15"/>
                <w:b w:val="1"/>
                <w:bCs w:val="1"/>
                <w:color w:val="auto"/>
                <w:w w:val="98"/>
              </w:rPr>
              <w:t>1,558,710</w:t>
            </w:r>
          </w:p>
        </w:tc>
        <w:tc>
          <w:tcPr>
            <w:tcW w:w="1240" w:type="dxa"/>
            <w:vAlign w:val="bottom"/>
          </w:tcPr>
          <w:p>
            <w:pPr>
              <w:jc w:val="center"/>
              <w:spacing w:after="0"/>
              <w:rPr>
                <w:sz w:val="20"/>
                <w:szCs w:val="20"/>
                <w:color w:val="auto"/>
              </w:rPr>
            </w:pPr>
            <w:r>
              <w:rPr>
                <w:rFonts w:ascii="Calibri" w:cs="Calibri" w:eastAsia="Calibri" w:hAnsi="Calibri"/>
                <w:sz w:val="15"/>
                <w:szCs w:val="15"/>
                <w:b w:val="1"/>
                <w:bCs w:val="1"/>
                <w:color w:val="auto"/>
                <w:w w:val="98"/>
              </w:rPr>
              <w:t>1,856,684</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8"/>
              </w:rPr>
              <w:t>1,903,678</w:t>
            </w:r>
          </w:p>
        </w:tc>
        <w:tc>
          <w:tcPr>
            <w:tcW w:w="880" w:type="dxa"/>
            <w:vAlign w:val="bottom"/>
          </w:tcPr>
          <w:p>
            <w:pPr>
              <w:jc w:val="center"/>
              <w:spacing w:after="0"/>
              <w:rPr>
                <w:sz w:val="20"/>
                <w:szCs w:val="20"/>
                <w:color w:val="auto"/>
              </w:rPr>
            </w:pPr>
            <w:r>
              <w:rPr>
                <w:rFonts w:ascii="Calibri" w:cs="Calibri" w:eastAsia="Calibri" w:hAnsi="Calibri"/>
                <w:sz w:val="15"/>
                <w:szCs w:val="15"/>
                <w:b w:val="1"/>
                <w:bCs w:val="1"/>
                <w:color w:val="auto"/>
                <w:w w:val="99"/>
              </w:rPr>
              <w:t>2.5%</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rPr>
              <w:t>22.1%</w:t>
            </w:r>
          </w:p>
        </w:tc>
      </w:tr>
      <w:tr>
        <w:trPr>
          <w:trHeight w:val="363"/>
        </w:trPr>
        <w:tc>
          <w:tcPr>
            <w:tcW w:w="56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b w:val="1"/>
                <w:bCs w:val="1"/>
                <w:color w:val="auto"/>
              </w:rPr>
              <w:t>Other income</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r>
      <w:tr>
        <w:trPr>
          <w:trHeight w:val="182"/>
        </w:trPr>
        <w:tc>
          <w:tcPr>
            <w:tcW w:w="5680" w:type="dxa"/>
            <w:vAlign w:val="bottom"/>
            <w:tcBorders>
              <w:left w:val="single" w:sz="8" w:color="auto"/>
              <w:right w:val="single" w:sz="8" w:color="auto"/>
            </w:tcBorders>
          </w:tcPr>
          <w:p>
            <w:pPr>
              <w:ind w:left="160"/>
              <w:spacing w:after="0" w:line="181" w:lineRule="exact"/>
              <w:rPr>
                <w:sz w:val="20"/>
                <w:szCs w:val="20"/>
                <w:color w:val="auto"/>
              </w:rPr>
            </w:pPr>
            <w:r>
              <w:rPr>
                <w:rFonts w:ascii="Calibri" w:cs="Calibri" w:eastAsia="Calibri" w:hAnsi="Calibri"/>
                <w:sz w:val="15"/>
                <w:szCs w:val="15"/>
                <w:color w:val="auto"/>
              </w:rPr>
              <w:t>Fee income</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rPr>
              <w:t>706,861</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741,992</w:t>
            </w:r>
          </w:p>
        </w:tc>
        <w:tc>
          <w:tcPr>
            <w:tcW w:w="12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7"/>
              </w:rPr>
              <w:t>698,207</w:t>
            </w:r>
          </w:p>
        </w:tc>
        <w:tc>
          <w:tcPr>
            <w:tcW w:w="880" w:type="dxa"/>
            <w:vAlign w:val="bottom"/>
          </w:tcPr>
          <w:p>
            <w:pPr>
              <w:jc w:val="center"/>
              <w:spacing w:after="0" w:line="181" w:lineRule="exact"/>
              <w:rPr>
                <w:sz w:val="20"/>
                <w:szCs w:val="20"/>
                <w:color w:val="auto"/>
              </w:rPr>
            </w:pPr>
            <w:r>
              <w:rPr>
                <w:rFonts w:ascii="Calibri" w:cs="Calibri" w:eastAsia="Calibri" w:hAnsi="Calibri"/>
                <w:sz w:val="15"/>
                <w:szCs w:val="15"/>
                <w:color w:val="auto"/>
                <w:w w:val="98"/>
              </w:rPr>
              <w:t>-5.9%</w:t>
            </w:r>
          </w:p>
        </w:tc>
        <w:tc>
          <w:tcPr>
            <w:tcW w:w="98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8"/>
              </w:rPr>
              <w:t>-1.2%</w:t>
            </w:r>
          </w:p>
        </w:tc>
      </w:tr>
      <w:tr>
        <w:trPr>
          <w:trHeight w:val="182"/>
        </w:trPr>
        <w:tc>
          <w:tcPr>
            <w:tcW w:w="5680" w:type="dxa"/>
            <w:vAlign w:val="bottom"/>
            <w:tcBorders>
              <w:left w:val="single" w:sz="8" w:color="auto"/>
              <w:right w:val="single" w:sz="8" w:color="auto"/>
            </w:tcBorders>
          </w:tcPr>
          <w:p>
            <w:pPr>
              <w:ind w:left="160"/>
              <w:spacing w:after="0" w:line="181" w:lineRule="exact"/>
              <w:rPr>
                <w:sz w:val="20"/>
                <w:szCs w:val="20"/>
                <w:color w:val="auto"/>
              </w:rPr>
            </w:pPr>
            <w:r>
              <w:rPr>
                <w:rFonts w:ascii="Calibri" w:cs="Calibri" w:eastAsia="Calibri" w:hAnsi="Calibri"/>
                <w:sz w:val="15"/>
                <w:szCs w:val="15"/>
                <w:color w:val="auto"/>
              </w:rPr>
              <w:t>Net gain on foreign exchange transactons</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rPr>
              <w:t>238,738</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267,859</w:t>
            </w:r>
          </w:p>
        </w:tc>
        <w:tc>
          <w:tcPr>
            <w:tcW w:w="12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7"/>
              </w:rPr>
              <w:t>239,547</w:t>
            </w:r>
          </w:p>
        </w:tc>
        <w:tc>
          <w:tcPr>
            <w:tcW w:w="880" w:type="dxa"/>
            <w:vAlign w:val="bottom"/>
          </w:tcPr>
          <w:p>
            <w:pPr>
              <w:jc w:val="center"/>
              <w:spacing w:after="0" w:line="181" w:lineRule="exact"/>
              <w:rPr>
                <w:sz w:val="20"/>
                <w:szCs w:val="20"/>
                <w:color w:val="auto"/>
              </w:rPr>
            </w:pPr>
            <w:r>
              <w:rPr>
                <w:rFonts w:ascii="Calibri" w:cs="Calibri" w:eastAsia="Calibri" w:hAnsi="Calibri"/>
                <w:sz w:val="15"/>
                <w:szCs w:val="15"/>
                <w:color w:val="auto"/>
              </w:rPr>
              <w:t>-10.6%</w:t>
            </w:r>
          </w:p>
        </w:tc>
        <w:tc>
          <w:tcPr>
            <w:tcW w:w="98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0.3%</w:t>
            </w:r>
          </w:p>
        </w:tc>
      </w:tr>
      <w:tr>
        <w:trPr>
          <w:trHeight w:val="182"/>
        </w:trPr>
        <w:tc>
          <w:tcPr>
            <w:tcW w:w="5680" w:type="dxa"/>
            <w:vAlign w:val="bottom"/>
            <w:tcBorders>
              <w:left w:val="single" w:sz="8" w:color="auto"/>
              <w:right w:val="single" w:sz="8" w:color="auto"/>
            </w:tcBorders>
          </w:tcPr>
          <w:p>
            <w:pPr>
              <w:ind w:left="160"/>
              <w:spacing w:after="0" w:line="181" w:lineRule="exact"/>
              <w:rPr>
                <w:sz w:val="20"/>
                <w:szCs w:val="20"/>
                <w:color w:val="auto"/>
              </w:rPr>
            </w:pPr>
            <w:r>
              <w:rPr>
                <w:rFonts w:ascii="Calibri" w:cs="Calibri" w:eastAsia="Calibri" w:hAnsi="Calibri"/>
                <w:sz w:val="15"/>
                <w:szCs w:val="15"/>
                <w:color w:val="auto"/>
              </w:rPr>
              <w:t>Net gain (losses) on securites</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rPr>
              <w:t>90,463</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rPr>
              <w:t>37,096</w:t>
            </w:r>
          </w:p>
        </w:tc>
        <w:tc>
          <w:tcPr>
            <w:tcW w:w="12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5"/>
              </w:rPr>
              <w:t>26,998</w:t>
            </w:r>
          </w:p>
        </w:tc>
        <w:tc>
          <w:tcPr>
            <w:tcW w:w="880" w:type="dxa"/>
            <w:vAlign w:val="bottom"/>
          </w:tcPr>
          <w:p>
            <w:pPr>
              <w:jc w:val="center"/>
              <w:spacing w:after="0" w:line="181" w:lineRule="exact"/>
              <w:rPr>
                <w:sz w:val="20"/>
                <w:szCs w:val="20"/>
                <w:color w:val="auto"/>
              </w:rPr>
            </w:pPr>
            <w:r>
              <w:rPr>
                <w:rFonts w:ascii="Calibri" w:cs="Calibri" w:eastAsia="Calibri" w:hAnsi="Calibri"/>
                <w:sz w:val="15"/>
                <w:szCs w:val="15"/>
                <w:color w:val="auto"/>
              </w:rPr>
              <w:t>-27.2%</w:t>
            </w:r>
          </w:p>
        </w:tc>
        <w:tc>
          <w:tcPr>
            <w:tcW w:w="98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-70.2%</w:t>
            </w:r>
          </w:p>
        </w:tc>
      </w:tr>
      <w:tr>
        <w:trPr>
          <w:trHeight w:val="182"/>
        </w:trPr>
        <w:tc>
          <w:tcPr>
            <w:tcW w:w="5680" w:type="dxa"/>
            <w:vAlign w:val="bottom"/>
            <w:tcBorders>
              <w:left w:val="single" w:sz="8" w:color="auto"/>
              <w:right w:val="single" w:sz="8" w:color="auto"/>
            </w:tcBorders>
          </w:tcPr>
          <w:p>
            <w:pPr>
              <w:ind w:left="160"/>
              <w:spacing w:after="0" w:line="181" w:lineRule="exact"/>
              <w:rPr>
                <w:sz w:val="20"/>
                <w:szCs w:val="20"/>
                <w:color w:val="auto"/>
              </w:rPr>
            </w:pPr>
            <w:r>
              <w:rPr>
                <w:rFonts w:ascii="Calibri" w:cs="Calibri" w:eastAsia="Calibri" w:hAnsi="Calibri"/>
                <w:sz w:val="15"/>
                <w:szCs w:val="15"/>
                <w:color w:val="auto"/>
              </w:rPr>
              <w:t>Net gain from associates</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5,701</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rPr>
              <w:t>(864)</w:t>
            </w:r>
          </w:p>
        </w:tc>
        <w:tc>
          <w:tcPr>
            <w:tcW w:w="12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6"/>
              </w:rPr>
              <w:t>(7,269)</w:t>
            </w:r>
          </w:p>
        </w:tc>
        <w:tc>
          <w:tcPr>
            <w:tcW w:w="88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741.3%</w:t>
            </w:r>
          </w:p>
        </w:tc>
        <w:tc>
          <w:tcPr>
            <w:tcW w:w="98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-227.5%</w:t>
            </w:r>
          </w:p>
        </w:tc>
      </w:tr>
      <w:tr>
        <w:trPr>
          <w:trHeight w:val="182"/>
        </w:trPr>
        <w:tc>
          <w:tcPr>
            <w:tcW w:w="5680" w:type="dxa"/>
            <w:vAlign w:val="bottom"/>
            <w:tcBorders>
              <w:left w:val="single" w:sz="8" w:color="auto"/>
              <w:right w:val="single" w:sz="8" w:color="auto"/>
            </w:tcBorders>
          </w:tcPr>
          <w:p>
            <w:pPr>
              <w:ind w:left="160"/>
              <w:spacing w:after="0" w:line="181" w:lineRule="exact"/>
              <w:rPr>
                <w:sz w:val="20"/>
                <w:szCs w:val="20"/>
                <w:color w:val="auto"/>
              </w:rPr>
            </w:pPr>
            <w:r>
              <w:rPr>
                <w:rFonts w:ascii="Calibri" w:cs="Calibri" w:eastAsia="Calibri" w:hAnsi="Calibri"/>
                <w:sz w:val="15"/>
                <w:szCs w:val="15"/>
                <w:color w:val="auto"/>
              </w:rPr>
              <w:t>Net gain (losses) on derivatves held for trading</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6"/>
              </w:rPr>
              <w:t>(9,976)</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9,957</w:t>
            </w:r>
          </w:p>
        </w:tc>
        <w:tc>
          <w:tcPr>
            <w:tcW w:w="12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5"/>
              </w:rPr>
              <w:t>20,553</w:t>
            </w:r>
          </w:p>
        </w:tc>
        <w:tc>
          <w:tcPr>
            <w:tcW w:w="88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106.4%</w:t>
            </w:r>
          </w:p>
        </w:tc>
        <w:tc>
          <w:tcPr>
            <w:tcW w:w="98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-306.0%</w:t>
            </w:r>
          </w:p>
        </w:tc>
      </w:tr>
      <w:tr>
        <w:trPr>
          <w:trHeight w:val="182"/>
        </w:trPr>
        <w:tc>
          <w:tcPr>
            <w:tcW w:w="5680" w:type="dxa"/>
            <w:vAlign w:val="bottom"/>
            <w:tcBorders>
              <w:left w:val="single" w:sz="8" w:color="auto"/>
              <w:right w:val="single" w:sz="8" w:color="auto"/>
            </w:tcBorders>
          </w:tcPr>
          <w:p>
            <w:pPr>
              <w:ind w:left="160"/>
              <w:spacing w:after="0" w:line="181" w:lineRule="exact"/>
              <w:rPr>
                <w:sz w:val="20"/>
                <w:szCs w:val="20"/>
                <w:color w:val="auto"/>
              </w:rPr>
            </w:pPr>
            <w:r>
              <w:rPr>
                <w:rFonts w:ascii="Calibri" w:cs="Calibri" w:eastAsia="Calibri" w:hAnsi="Calibri"/>
                <w:sz w:val="15"/>
                <w:szCs w:val="15"/>
                <w:color w:val="auto"/>
              </w:rPr>
              <w:t>Net gain (losses) from exchange diferences</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8"/>
              </w:rPr>
              <w:t>(10,017)</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4,812</w:t>
            </w:r>
          </w:p>
        </w:tc>
        <w:tc>
          <w:tcPr>
            <w:tcW w:w="12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9"/>
              </w:rPr>
              <w:t>4,691</w:t>
            </w:r>
          </w:p>
        </w:tc>
        <w:tc>
          <w:tcPr>
            <w:tcW w:w="880" w:type="dxa"/>
            <w:vAlign w:val="bottom"/>
          </w:tcPr>
          <w:p>
            <w:pPr>
              <w:jc w:val="center"/>
              <w:spacing w:after="0" w:line="181" w:lineRule="exact"/>
              <w:rPr>
                <w:sz w:val="20"/>
                <w:szCs w:val="20"/>
                <w:color w:val="auto"/>
              </w:rPr>
            </w:pPr>
            <w:r>
              <w:rPr>
                <w:rFonts w:ascii="Calibri" w:cs="Calibri" w:eastAsia="Calibri" w:hAnsi="Calibri"/>
                <w:sz w:val="15"/>
                <w:szCs w:val="15"/>
                <w:color w:val="auto"/>
                <w:w w:val="98"/>
              </w:rPr>
              <w:t>-2.5%</w:t>
            </w:r>
          </w:p>
        </w:tc>
        <w:tc>
          <w:tcPr>
            <w:tcW w:w="98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-146.8%</w:t>
            </w:r>
          </w:p>
        </w:tc>
      </w:tr>
      <w:tr>
        <w:trPr>
          <w:trHeight w:val="182"/>
        </w:trPr>
        <w:tc>
          <w:tcPr>
            <w:tcW w:w="5680" w:type="dxa"/>
            <w:vAlign w:val="bottom"/>
            <w:tcBorders>
              <w:left w:val="single" w:sz="8" w:color="auto"/>
              <w:right w:val="single" w:sz="8" w:color="auto"/>
            </w:tcBorders>
          </w:tcPr>
          <w:p>
            <w:pPr>
              <w:ind w:left="160"/>
              <w:spacing w:after="0" w:line="181" w:lineRule="exact"/>
              <w:rPr>
                <w:sz w:val="20"/>
                <w:szCs w:val="20"/>
                <w:color w:val="auto"/>
              </w:rPr>
            </w:pPr>
            <w:r>
              <w:rPr>
                <w:rFonts w:ascii="Calibri" w:cs="Calibri" w:eastAsia="Calibri" w:hAnsi="Calibri"/>
                <w:sz w:val="15"/>
                <w:szCs w:val="15"/>
                <w:color w:val="auto"/>
              </w:rPr>
              <w:t>Others</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rPr>
              <w:t>110,750</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9,937</w:t>
            </w:r>
          </w:p>
        </w:tc>
        <w:tc>
          <w:tcPr>
            <w:tcW w:w="12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5"/>
              </w:rPr>
              <w:t>68,255</w:t>
            </w:r>
          </w:p>
        </w:tc>
        <w:tc>
          <w:tcPr>
            <w:tcW w:w="880" w:type="dxa"/>
            <w:vAlign w:val="bottom"/>
          </w:tcPr>
          <w:p>
            <w:pPr>
              <w:jc w:val="center"/>
              <w:spacing w:after="0" w:line="181" w:lineRule="exact"/>
              <w:rPr>
                <w:sz w:val="20"/>
                <w:szCs w:val="20"/>
                <w:color w:val="auto"/>
              </w:rPr>
            </w:pPr>
            <w:r>
              <w:rPr>
                <w:rFonts w:ascii="Calibri" w:cs="Calibri" w:eastAsia="Calibri" w:hAnsi="Calibri"/>
                <w:sz w:val="15"/>
                <w:szCs w:val="15"/>
                <w:color w:val="auto"/>
                <w:w w:val="97"/>
              </w:rPr>
              <w:t>586.9%</w:t>
            </w:r>
          </w:p>
        </w:tc>
        <w:tc>
          <w:tcPr>
            <w:tcW w:w="98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-38.4%</w:t>
            </w:r>
          </w:p>
        </w:tc>
      </w:tr>
      <w:tr>
        <w:trPr>
          <w:trHeight w:val="182"/>
        </w:trPr>
        <w:tc>
          <w:tcPr>
            <w:tcW w:w="5680" w:type="dxa"/>
            <w:vAlign w:val="bottom"/>
            <w:tcBorders>
              <w:left w:val="single" w:sz="8" w:color="auto"/>
              <w:right w:val="single" w:sz="8" w:color="auto"/>
            </w:tcBorders>
          </w:tcPr>
          <w:p>
            <w:pPr>
              <w:ind w:left="160"/>
              <w:spacing w:after="0" w:line="181" w:lineRule="exact"/>
              <w:rPr>
                <w:sz w:val="20"/>
                <w:szCs w:val="20"/>
                <w:color w:val="auto"/>
              </w:rPr>
            </w:pPr>
            <w:r>
              <w:rPr>
                <w:rFonts w:ascii="Calibri" w:cs="Calibri" w:eastAsia="Calibri" w:hAnsi="Calibri"/>
                <w:sz w:val="15"/>
                <w:szCs w:val="15"/>
                <w:b w:val="1"/>
                <w:bCs w:val="1"/>
                <w:color w:val="auto"/>
              </w:rPr>
              <w:t>Total other income</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w w:val="98"/>
              </w:rPr>
              <w:t>1,132,520</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w w:val="98"/>
              </w:rPr>
              <w:t>1,070,789</w:t>
            </w:r>
          </w:p>
        </w:tc>
        <w:tc>
          <w:tcPr>
            <w:tcW w:w="12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b w:val="1"/>
                <w:bCs w:val="1"/>
                <w:color w:val="auto"/>
                <w:w w:val="98"/>
              </w:rPr>
              <w:t>1,050,982</w:t>
            </w:r>
          </w:p>
        </w:tc>
        <w:tc>
          <w:tcPr>
            <w:tcW w:w="88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w w:val="97"/>
              </w:rPr>
              <w:t>-1.8%</w:t>
            </w:r>
          </w:p>
        </w:tc>
        <w:tc>
          <w:tcPr>
            <w:tcW w:w="98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b w:val="1"/>
                <w:bCs w:val="1"/>
                <w:color w:val="auto"/>
                <w:w w:val="97"/>
              </w:rPr>
              <w:t>-7.2%</w:t>
            </w:r>
          </w:p>
        </w:tc>
      </w:tr>
      <w:tr>
        <w:trPr>
          <w:trHeight w:val="363"/>
        </w:trPr>
        <w:tc>
          <w:tcPr>
            <w:tcW w:w="56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b w:val="1"/>
                <w:bCs w:val="1"/>
                <w:color w:val="auto"/>
              </w:rPr>
              <w:t>Total expenses</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r>
      <w:tr>
        <w:trPr>
          <w:trHeight w:val="182"/>
        </w:trPr>
        <w:tc>
          <w:tcPr>
            <w:tcW w:w="5680" w:type="dxa"/>
            <w:vAlign w:val="bottom"/>
            <w:tcBorders>
              <w:left w:val="single" w:sz="8" w:color="auto"/>
              <w:right w:val="single" w:sz="8" w:color="auto"/>
            </w:tcBorders>
          </w:tcPr>
          <w:p>
            <w:pPr>
              <w:ind w:left="160"/>
              <w:spacing w:after="0" w:line="181" w:lineRule="exact"/>
              <w:rPr>
                <w:sz w:val="20"/>
                <w:szCs w:val="20"/>
                <w:color w:val="auto"/>
              </w:rPr>
            </w:pPr>
            <w:r>
              <w:rPr>
                <w:rFonts w:ascii="Calibri" w:cs="Calibri" w:eastAsia="Calibri" w:hAnsi="Calibri"/>
                <w:sz w:val="15"/>
                <w:szCs w:val="15"/>
                <w:color w:val="auto"/>
              </w:rPr>
              <w:t>Salaries and employee benefts</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(501,213)</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(564,902)</w:t>
            </w:r>
          </w:p>
        </w:tc>
        <w:tc>
          <w:tcPr>
            <w:tcW w:w="12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9"/>
              </w:rPr>
              <w:t>(546,048)</w:t>
            </w:r>
          </w:p>
        </w:tc>
        <w:tc>
          <w:tcPr>
            <w:tcW w:w="880" w:type="dxa"/>
            <w:vAlign w:val="bottom"/>
          </w:tcPr>
          <w:p>
            <w:pPr>
              <w:jc w:val="center"/>
              <w:spacing w:after="0" w:line="181" w:lineRule="exact"/>
              <w:rPr>
                <w:sz w:val="20"/>
                <w:szCs w:val="20"/>
                <w:color w:val="auto"/>
              </w:rPr>
            </w:pPr>
            <w:r>
              <w:rPr>
                <w:rFonts w:ascii="Calibri" w:cs="Calibri" w:eastAsia="Calibri" w:hAnsi="Calibri"/>
                <w:sz w:val="15"/>
                <w:szCs w:val="15"/>
                <w:color w:val="auto"/>
                <w:w w:val="98"/>
              </w:rPr>
              <w:t>-3.3%</w:t>
            </w:r>
          </w:p>
        </w:tc>
        <w:tc>
          <w:tcPr>
            <w:tcW w:w="98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8.9%</w:t>
            </w:r>
          </w:p>
        </w:tc>
      </w:tr>
      <w:tr>
        <w:trPr>
          <w:trHeight w:val="182"/>
        </w:trPr>
        <w:tc>
          <w:tcPr>
            <w:tcW w:w="5680" w:type="dxa"/>
            <w:vAlign w:val="bottom"/>
            <w:tcBorders>
              <w:left w:val="single" w:sz="8" w:color="auto"/>
              <w:right w:val="single" w:sz="8" w:color="auto"/>
            </w:tcBorders>
          </w:tcPr>
          <w:p>
            <w:pPr>
              <w:ind w:left="160"/>
              <w:spacing w:after="0" w:line="181" w:lineRule="exact"/>
              <w:rPr>
                <w:sz w:val="20"/>
                <w:szCs w:val="20"/>
                <w:color w:val="auto"/>
              </w:rPr>
            </w:pPr>
            <w:r>
              <w:rPr>
                <w:rFonts w:ascii="Calibri" w:cs="Calibri" w:eastAsia="Calibri" w:hAnsi="Calibri"/>
                <w:sz w:val="15"/>
                <w:szCs w:val="15"/>
                <w:color w:val="auto"/>
              </w:rPr>
              <w:t>Administratve expenses</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(463,927)</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(736,377)</w:t>
            </w:r>
          </w:p>
        </w:tc>
        <w:tc>
          <w:tcPr>
            <w:tcW w:w="12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9"/>
              </w:rPr>
              <w:t>(571,780)</w:t>
            </w:r>
          </w:p>
        </w:tc>
        <w:tc>
          <w:tcPr>
            <w:tcW w:w="880" w:type="dxa"/>
            <w:vAlign w:val="bottom"/>
          </w:tcPr>
          <w:p>
            <w:pPr>
              <w:jc w:val="center"/>
              <w:spacing w:after="0" w:line="181" w:lineRule="exact"/>
              <w:rPr>
                <w:sz w:val="20"/>
                <w:szCs w:val="20"/>
                <w:color w:val="auto"/>
              </w:rPr>
            </w:pPr>
            <w:r>
              <w:rPr>
                <w:rFonts w:ascii="Calibri" w:cs="Calibri" w:eastAsia="Calibri" w:hAnsi="Calibri"/>
                <w:sz w:val="15"/>
                <w:szCs w:val="15"/>
                <w:color w:val="auto"/>
              </w:rPr>
              <w:t>-22.4%</w:t>
            </w:r>
          </w:p>
        </w:tc>
        <w:tc>
          <w:tcPr>
            <w:tcW w:w="98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23.2%</w:t>
            </w:r>
          </w:p>
        </w:tc>
      </w:tr>
      <w:tr>
        <w:trPr>
          <w:trHeight w:val="184"/>
        </w:trPr>
        <w:tc>
          <w:tcPr>
            <w:tcW w:w="5680" w:type="dxa"/>
            <w:vAlign w:val="bottom"/>
            <w:tcBorders>
              <w:left w:val="single" w:sz="8" w:color="auto"/>
              <w:right w:val="single" w:sz="8" w:color="auto"/>
            </w:tcBorders>
          </w:tcPr>
          <w:p>
            <w:pPr>
              <w:ind w:left="160"/>
              <w:spacing w:after="0" w:line="184" w:lineRule="exact"/>
              <w:rPr>
                <w:sz w:val="20"/>
                <w:szCs w:val="20"/>
                <w:color w:val="auto"/>
              </w:rPr>
            </w:pPr>
            <w:r>
              <w:rPr>
                <w:rFonts w:ascii="Calibri" w:cs="Calibri" w:eastAsia="Calibri" w:hAnsi="Calibri"/>
                <w:sz w:val="13"/>
                <w:szCs w:val="13"/>
                <w:color w:val="auto"/>
              </w:rPr>
              <w:t xml:space="preserve">Depreciaton and amortzaton </w:t>
            </w:r>
            <w:r>
              <w:rPr>
                <w:rFonts w:ascii="Calibri" w:cs="Calibri" w:eastAsia="Calibri" w:hAnsi="Calibri"/>
                <w:sz w:val="20"/>
                <w:szCs w:val="20"/>
                <w:color w:val="auto"/>
                <w:vertAlign w:val="superscript"/>
              </w:rPr>
              <w:t>(2)</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(105,859)</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(119,047)</w:t>
            </w:r>
          </w:p>
        </w:tc>
        <w:tc>
          <w:tcPr>
            <w:tcW w:w="12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9"/>
              </w:rPr>
              <w:t>(112,872)</w:t>
            </w:r>
          </w:p>
        </w:tc>
        <w:tc>
          <w:tcPr>
            <w:tcW w:w="880" w:type="dxa"/>
            <w:vAlign w:val="bottom"/>
          </w:tcPr>
          <w:p>
            <w:pPr>
              <w:jc w:val="center"/>
              <w:spacing w:after="0" w:line="181" w:lineRule="exact"/>
              <w:rPr>
                <w:sz w:val="20"/>
                <w:szCs w:val="20"/>
                <w:color w:val="auto"/>
              </w:rPr>
            </w:pPr>
            <w:r>
              <w:rPr>
                <w:rFonts w:ascii="Calibri" w:cs="Calibri" w:eastAsia="Calibri" w:hAnsi="Calibri"/>
                <w:sz w:val="15"/>
                <w:szCs w:val="15"/>
                <w:color w:val="auto"/>
                <w:w w:val="98"/>
              </w:rPr>
              <w:t>-5.2%</w:t>
            </w:r>
          </w:p>
        </w:tc>
        <w:tc>
          <w:tcPr>
            <w:tcW w:w="98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6.6%</w:t>
            </w:r>
          </w:p>
        </w:tc>
      </w:tr>
      <w:tr>
        <w:trPr>
          <w:trHeight w:val="179"/>
        </w:trPr>
        <w:tc>
          <w:tcPr>
            <w:tcW w:w="5680" w:type="dxa"/>
            <w:vAlign w:val="bottom"/>
            <w:tcBorders>
              <w:left w:val="single" w:sz="8" w:color="auto"/>
              <w:right w:val="single" w:sz="8" w:color="auto"/>
            </w:tcBorders>
          </w:tcPr>
          <w:p>
            <w:pPr>
              <w:ind w:left="160"/>
              <w:spacing w:after="0" w:line="180" w:lineRule="exact"/>
              <w:rPr>
                <w:sz w:val="20"/>
                <w:szCs w:val="20"/>
                <w:color w:val="auto"/>
              </w:rPr>
            </w:pPr>
            <w:r>
              <w:rPr>
                <w:rFonts w:ascii="Calibri" w:cs="Calibri" w:eastAsia="Calibri" w:hAnsi="Calibri"/>
                <w:sz w:val="15"/>
                <w:szCs w:val="15"/>
                <w:color w:val="auto"/>
              </w:rPr>
              <w:t>Other expenses</w:t>
            </w:r>
          </w:p>
        </w:tc>
        <w:tc>
          <w:tcPr>
            <w:tcW w:w="124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(43,686)</w:t>
            </w:r>
          </w:p>
        </w:tc>
        <w:tc>
          <w:tcPr>
            <w:tcW w:w="124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(59,997)</w:t>
            </w:r>
          </w:p>
        </w:tc>
        <w:tc>
          <w:tcPr>
            <w:tcW w:w="126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8"/>
              </w:rPr>
              <w:t>(39,563)</w:t>
            </w:r>
          </w:p>
        </w:tc>
        <w:tc>
          <w:tcPr>
            <w:tcW w:w="880" w:type="dxa"/>
            <w:vAlign w:val="bottom"/>
          </w:tcPr>
          <w:p>
            <w:pPr>
              <w:jc w:val="center"/>
              <w:spacing w:after="0" w:line="180" w:lineRule="exact"/>
              <w:rPr>
                <w:sz w:val="20"/>
                <w:szCs w:val="20"/>
                <w:color w:val="auto"/>
              </w:rPr>
            </w:pPr>
            <w:r>
              <w:rPr>
                <w:rFonts w:ascii="Calibri" w:cs="Calibri" w:eastAsia="Calibri" w:hAnsi="Calibri"/>
                <w:sz w:val="15"/>
                <w:szCs w:val="15"/>
                <w:color w:val="auto"/>
              </w:rPr>
              <w:t>-34.1%</w:t>
            </w:r>
          </w:p>
        </w:tc>
        <w:tc>
          <w:tcPr>
            <w:tcW w:w="98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8"/>
              </w:rPr>
              <w:t>-9.4%</w:t>
            </w:r>
          </w:p>
        </w:tc>
      </w:tr>
      <w:tr>
        <w:trPr>
          <w:trHeight w:val="182"/>
        </w:trPr>
        <w:tc>
          <w:tcPr>
            <w:tcW w:w="5680" w:type="dxa"/>
            <w:vAlign w:val="bottom"/>
            <w:tcBorders>
              <w:left w:val="single" w:sz="8" w:color="auto"/>
              <w:right w:val="single" w:sz="8" w:color="auto"/>
            </w:tcBorders>
          </w:tcPr>
          <w:p>
            <w:pPr>
              <w:ind w:left="160"/>
              <w:spacing w:after="0" w:line="181" w:lineRule="exact"/>
              <w:rPr>
                <w:sz w:val="20"/>
                <w:szCs w:val="20"/>
                <w:color w:val="auto"/>
              </w:rPr>
            </w:pPr>
            <w:r>
              <w:rPr>
                <w:rFonts w:ascii="Calibri" w:cs="Calibri" w:eastAsia="Calibri" w:hAnsi="Calibri"/>
                <w:sz w:val="15"/>
                <w:szCs w:val="15"/>
                <w:b w:val="1"/>
                <w:bCs w:val="1"/>
                <w:color w:val="auto"/>
              </w:rPr>
              <w:t>Total expenses</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w w:val="99"/>
              </w:rPr>
              <w:t>(1,114,685)</w:t>
            </w:r>
          </w:p>
        </w:tc>
        <w:tc>
          <w:tcPr>
            <w:tcW w:w="124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w w:val="99"/>
              </w:rPr>
              <w:t>(1,480,323)</w:t>
            </w:r>
          </w:p>
        </w:tc>
        <w:tc>
          <w:tcPr>
            <w:tcW w:w="126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b w:val="1"/>
                <w:bCs w:val="1"/>
                <w:color w:val="auto"/>
                <w:w w:val="99"/>
              </w:rPr>
              <w:t>(1,270,263)</w:t>
            </w:r>
          </w:p>
        </w:tc>
        <w:tc>
          <w:tcPr>
            <w:tcW w:w="88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w w:val="99"/>
              </w:rPr>
              <w:t>-14.2%</w:t>
            </w:r>
          </w:p>
        </w:tc>
        <w:tc>
          <w:tcPr>
            <w:tcW w:w="98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b w:val="1"/>
                <w:bCs w:val="1"/>
                <w:color w:val="auto"/>
              </w:rPr>
              <w:t>14.0%</w:t>
            </w:r>
          </w:p>
        </w:tc>
      </w:tr>
      <w:tr>
        <w:trPr>
          <w:trHeight w:val="363"/>
        </w:trPr>
        <w:tc>
          <w:tcPr>
            <w:tcW w:w="56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b w:val="1"/>
                <w:bCs w:val="1"/>
                <w:color w:val="auto"/>
              </w:rPr>
              <w:t>Proft before income tax</w:t>
            </w:r>
          </w:p>
        </w:tc>
        <w:tc>
          <w:tcPr>
            <w:tcW w:w="1240" w:type="dxa"/>
            <w:vAlign w:val="bottom"/>
          </w:tcPr>
          <w:p>
            <w:pPr>
              <w:jc w:val="center"/>
              <w:spacing w:after="0"/>
              <w:rPr>
                <w:sz w:val="20"/>
                <w:szCs w:val="20"/>
                <w:color w:val="auto"/>
              </w:rPr>
            </w:pPr>
            <w:r>
              <w:rPr>
                <w:rFonts w:ascii="Calibri" w:cs="Calibri" w:eastAsia="Calibri" w:hAnsi="Calibri"/>
                <w:sz w:val="15"/>
                <w:szCs w:val="15"/>
                <w:b w:val="1"/>
                <w:bCs w:val="1"/>
                <w:color w:val="auto"/>
                <w:w w:val="98"/>
              </w:rPr>
              <w:t>1,576,545</w:t>
            </w:r>
          </w:p>
        </w:tc>
        <w:tc>
          <w:tcPr>
            <w:tcW w:w="1240" w:type="dxa"/>
            <w:vAlign w:val="bottom"/>
          </w:tcPr>
          <w:p>
            <w:pPr>
              <w:jc w:val="center"/>
              <w:spacing w:after="0"/>
              <w:rPr>
                <w:sz w:val="20"/>
                <w:szCs w:val="20"/>
                <w:color w:val="auto"/>
              </w:rPr>
            </w:pPr>
            <w:r>
              <w:rPr>
                <w:rFonts w:ascii="Calibri" w:cs="Calibri" w:eastAsia="Calibri" w:hAnsi="Calibri"/>
                <w:sz w:val="15"/>
                <w:szCs w:val="15"/>
                <w:b w:val="1"/>
                <w:bCs w:val="1"/>
                <w:color w:val="auto"/>
                <w:w w:val="98"/>
              </w:rPr>
              <w:t>1,447,150</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8"/>
              </w:rPr>
              <w:t>1,684,397</w:t>
            </w:r>
          </w:p>
        </w:tc>
        <w:tc>
          <w:tcPr>
            <w:tcW w:w="880" w:type="dxa"/>
            <w:vAlign w:val="bottom"/>
          </w:tcPr>
          <w:p>
            <w:pPr>
              <w:jc w:val="center"/>
              <w:spacing w:after="0"/>
              <w:rPr>
                <w:sz w:val="20"/>
                <w:szCs w:val="20"/>
                <w:color w:val="auto"/>
              </w:rPr>
            </w:pPr>
            <w:r>
              <w:rPr>
                <w:rFonts w:ascii="Calibri" w:cs="Calibri" w:eastAsia="Calibri" w:hAnsi="Calibri"/>
                <w:sz w:val="15"/>
                <w:szCs w:val="15"/>
                <w:b w:val="1"/>
                <w:bCs w:val="1"/>
                <w:color w:val="auto"/>
              </w:rPr>
              <w:t>16.4%</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9"/>
              </w:rPr>
              <w:t>6.8%</w:t>
            </w:r>
          </w:p>
        </w:tc>
      </w:tr>
      <w:tr>
        <w:trPr>
          <w:trHeight w:val="363"/>
        </w:trPr>
        <w:tc>
          <w:tcPr>
            <w:tcW w:w="568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5"/>
                <w:szCs w:val="15"/>
                <w:color w:val="auto"/>
              </w:rPr>
              <w:t>Income tax</w:t>
            </w:r>
          </w:p>
        </w:tc>
        <w:tc>
          <w:tcPr>
            <w:tcW w:w="1240" w:type="dxa"/>
            <w:vAlign w:val="bottom"/>
          </w:tcPr>
          <w:p>
            <w:pPr>
              <w:jc w:val="center"/>
              <w:spacing w:after="0"/>
              <w:rPr>
                <w:sz w:val="20"/>
                <w:szCs w:val="20"/>
                <w:color w:val="auto"/>
              </w:rPr>
            </w:pPr>
            <w:r>
              <w:rPr>
                <w:rFonts w:ascii="Calibri" w:cs="Calibri" w:eastAsia="Calibri" w:hAnsi="Calibri"/>
                <w:sz w:val="15"/>
                <w:szCs w:val="15"/>
                <w:color w:val="auto"/>
                <w:w w:val="99"/>
              </w:rPr>
              <w:t>(420,120)</w:t>
            </w:r>
          </w:p>
        </w:tc>
        <w:tc>
          <w:tcPr>
            <w:tcW w:w="1240" w:type="dxa"/>
            <w:vAlign w:val="bottom"/>
          </w:tcPr>
          <w:p>
            <w:pPr>
              <w:jc w:val="center"/>
              <w:spacing w:after="0"/>
              <w:rPr>
                <w:sz w:val="20"/>
                <w:szCs w:val="20"/>
                <w:color w:val="auto"/>
              </w:rPr>
            </w:pPr>
            <w:r>
              <w:rPr>
                <w:rFonts w:ascii="Calibri" w:cs="Calibri" w:eastAsia="Calibri" w:hAnsi="Calibri"/>
                <w:sz w:val="15"/>
                <w:szCs w:val="15"/>
                <w:color w:val="auto"/>
                <w:w w:val="99"/>
              </w:rPr>
              <w:t>(385,123)</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9"/>
              </w:rPr>
              <w:t>(420,795)</w:t>
            </w:r>
          </w:p>
        </w:tc>
        <w:tc>
          <w:tcPr>
            <w:tcW w:w="880" w:type="dxa"/>
            <w:vAlign w:val="bottom"/>
          </w:tcPr>
          <w:p>
            <w:pPr>
              <w:jc w:val="center"/>
              <w:spacing w:after="0"/>
              <w:rPr>
                <w:sz w:val="20"/>
                <w:szCs w:val="20"/>
                <w:color w:val="auto"/>
              </w:rPr>
            </w:pPr>
            <w:r>
              <w:rPr>
                <w:rFonts w:ascii="Calibri" w:cs="Calibri" w:eastAsia="Calibri" w:hAnsi="Calibri"/>
                <w:sz w:val="15"/>
                <w:szCs w:val="15"/>
                <w:color w:val="auto"/>
              </w:rPr>
              <w:t>9.3%</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0.2%</w:t>
            </w:r>
          </w:p>
        </w:tc>
      </w:tr>
      <w:tr>
        <w:trPr>
          <w:trHeight w:val="363"/>
        </w:trPr>
        <w:tc>
          <w:tcPr>
            <w:tcW w:w="56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b w:val="1"/>
                <w:bCs w:val="1"/>
                <w:color w:val="auto"/>
              </w:rPr>
              <w:t>Net proft atributable to BCP Stand-alone</w:t>
            </w:r>
          </w:p>
        </w:tc>
        <w:tc>
          <w:tcPr>
            <w:tcW w:w="1240" w:type="dxa"/>
            <w:vAlign w:val="bottom"/>
          </w:tcPr>
          <w:p>
            <w:pPr>
              <w:jc w:val="center"/>
              <w:spacing w:after="0"/>
              <w:rPr>
                <w:sz w:val="20"/>
                <w:szCs w:val="20"/>
                <w:color w:val="auto"/>
              </w:rPr>
            </w:pPr>
            <w:r>
              <w:rPr>
                <w:rFonts w:ascii="Calibri" w:cs="Calibri" w:eastAsia="Calibri" w:hAnsi="Calibri"/>
                <w:sz w:val="15"/>
                <w:szCs w:val="15"/>
                <w:b w:val="1"/>
                <w:bCs w:val="1"/>
                <w:color w:val="auto"/>
                <w:w w:val="98"/>
              </w:rPr>
              <w:t>1,156,425</w:t>
            </w:r>
          </w:p>
        </w:tc>
        <w:tc>
          <w:tcPr>
            <w:tcW w:w="1240" w:type="dxa"/>
            <w:vAlign w:val="bottom"/>
          </w:tcPr>
          <w:p>
            <w:pPr>
              <w:jc w:val="center"/>
              <w:spacing w:after="0"/>
              <w:rPr>
                <w:sz w:val="20"/>
                <w:szCs w:val="20"/>
                <w:color w:val="auto"/>
              </w:rPr>
            </w:pPr>
            <w:r>
              <w:rPr>
                <w:rFonts w:ascii="Calibri" w:cs="Calibri" w:eastAsia="Calibri" w:hAnsi="Calibri"/>
                <w:sz w:val="15"/>
                <w:szCs w:val="15"/>
                <w:b w:val="1"/>
                <w:bCs w:val="1"/>
                <w:color w:val="auto"/>
                <w:w w:val="98"/>
              </w:rPr>
              <w:t>1,062,027</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8"/>
              </w:rPr>
              <w:t>1,263,602</w:t>
            </w:r>
          </w:p>
        </w:tc>
        <w:tc>
          <w:tcPr>
            <w:tcW w:w="880" w:type="dxa"/>
            <w:vAlign w:val="bottom"/>
          </w:tcPr>
          <w:p>
            <w:pPr>
              <w:jc w:val="center"/>
              <w:spacing w:after="0"/>
              <w:rPr>
                <w:sz w:val="20"/>
                <w:szCs w:val="20"/>
                <w:color w:val="auto"/>
              </w:rPr>
            </w:pPr>
            <w:r>
              <w:rPr>
                <w:rFonts w:ascii="Calibri" w:cs="Calibri" w:eastAsia="Calibri" w:hAnsi="Calibri"/>
                <w:sz w:val="15"/>
                <w:szCs w:val="15"/>
                <w:b w:val="1"/>
                <w:bCs w:val="1"/>
                <w:color w:val="auto"/>
              </w:rPr>
              <w:t>19.0%</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9"/>
              </w:rPr>
              <w:t>9.3%</w:t>
            </w:r>
          </w:p>
        </w:tc>
      </w:tr>
      <w:tr>
        <w:trPr>
          <w:trHeight w:val="23"/>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bl>
    <w:p>
      <w:pPr>
        <w:spacing w:after="0" w:line="186" w:lineRule="exact"/>
        <w:rPr>
          <w:sz w:val="20"/>
          <w:szCs w:val="20"/>
          <w:color w:val="auto"/>
        </w:rPr>
      </w:pPr>
    </w:p>
    <w:p>
      <w:pPr>
        <w:ind w:left="140" w:hanging="129"/>
        <w:spacing w:after="0"/>
        <w:tabs>
          <w:tab w:leader="none" w:pos="140" w:val="left"/>
        </w:tabs>
        <w:numPr>
          <w:ilvl w:val="0"/>
          <w:numId w:val="68"/>
        </w:numPr>
        <w:rPr>
          <w:rFonts w:ascii="Calibri" w:cs="Calibri" w:eastAsia="Calibri" w:hAnsi="Calibri"/>
          <w:sz w:val="10"/>
          <w:szCs w:val="10"/>
          <w:color w:val="auto"/>
        </w:rPr>
      </w:pPr>
      <w:r>
        <w:rPr>
          <w:rFonts w:ascii="Calibri" w:cs="Calibri" w:eastAsia="Calibri" w:hAnsi="Calibri"/>
          <w:sz w:val="10"/>
          <w:szCs w:val="10"/>
          <w:color w:val="auto"/>
        </w:rPr>
        <w:t>As of 2019, fnancing expenses related to lease agreements is included according to the applicaton of IFRS 16.</w:t>
      </w:r>
    </w:p>
    <w:p>
      <w:pPr>
        <w:ind w:left="20" w:right="260" w:hanging="9"/>
        <w:spacing w:after="0" w:line="223" w:lineRule="auto"/>
        <w:tabs>
          <w:tab w:leader="none" w:pos="152" w:val="left"/>
        </w:tabs>
        <w:numPr>
          <w:ilvl w:val="0"/>
          <w:numId w:val="68"/>
        </w:numPr>
        <w:rPr>
          <w:rFonts w:ascii="Calibri" w:cs="Calibri" w:eastAsia="Calibri" w:hAnsi="Calibri"/>
          <w:sz w:val="10"/>
          <w:szCs w:val="10"/>
          <w:color w:val="auto"/>
        </w:rPr>
      </w:pPr>
      <w:r>
        <w:rPr>
          <w:rFonts w:ascii="Calibri" w:cs="Calibri" w:eastAsia="Calibri" w:hAnsi="Calibri"/>
          <w:sz w:val="10"/>
          <w:szCs w:val="10"/>
          <w:color w:val="auto"/>
        </w:rPr>
        <w:t>From this quarter, the efect is being incorporated by the applicaton of IFRS 16, which corresponds to a greater depreciaton for the asset for right-of-use”. Likewise, the expenses related to the depreciaton of improvements in building for rent is being reclassifed to the item “Other expenses”.</w:t>
      </w:r>
    </w:p>
    <w:p>
      <w:pPr>
        <w:spacing w:after="0" w:line="192" w:lineRule="exact"/>
        <w:rPr>
          <w:sz w:val="20"/>
          <w:szCs w:val="20"/>
          <w:color w:val="auto"/>
        </w:rPr>
      </w:pPr>
    </w:p>
    <w:p>
      <w:pPr>
        <w:jc w:val="center"/>
        <w:ind w:right="-19"/>
        <w:spacing w:after="0"/>
        <w:rPr>
          <w:sz w:val="20"/>
          <w:szCs w:val="20"/>
          <w:color w:val="auto"/>
        </w:rPr>
      </w:pPr>
      <w:r>
        <w:rPr>
          <w:rFonts w:ascii="Calibri" w:cs="Calibri" w:eastAsia="Calibri" w:hAnsi="Calibri"/>
          <w:sz w:val="15"/>
          <w:szCs w:val="15"/>
          <w:b w:val="1"/>
          <w:bCs w:val="1"/>
          <w:color w:val="auto"/>
        </w:rPr>
        <w:t>BANCO DE CREDITO DEL PERU</w:t>
      </w:r>
    </w:p>
    <w:p>
      <w:pPr>
        <w:jc w:val="center"/>
        <w:spacing w:after="0" w:line="237" w:lineRule="auto"/>
        <w:rPr>
          <w:sz w:val="20"/>
          <w:szCs w:val="20"/>
          <w:color w:val="auto"/>
        </w:rPr>
      </w:pPr>
      <w:r>
        <w:rPr>
          <w:rFonts w:ascii="Calibri" w:cs="Calibri" w:eastAsia="Calibri" w:hAnsi="Calibri"/>
          <w:sz w:val="15"/>
          <w:szCs w:val="15"/>
          <w:b w:val="1"/>
          <w:bCs w:val="1"/>
          <w:color w:val="auto"/>
        </w:rPr>
        <w:t>SELECTED FINANCIAL INDICATORS</w:t>
      </w:r>
    </w:p>
    <w:p>
      <w:pPr>
        <w:spacing w:after="0" w:line="206" w:lineRule="exact"/>
        <w:rPr>
          <w:sz w:val="20"/>
          <w:szCs w:val="20"/>
          <w:color w:val="auto"/>
        </w:rPr>
      </w:pPr>
    </w:p>
    <w:tbl>
      <w:tblPr>
        <w:tblLayout w:type="fixed"/>
        <w:tblInd w:w="870" w:type="dxa"/>
        <w:tblCellMar>
          <w:top w:w="0" w:type="dxa"/>
          <w:left w:w="0" w:type="dxa"/>
          <w:bottom w:w="0" w:type="dxa"/>
          <w:right w:w="0" w:type="dxa"/>
        </w:tblCellMar>
      </w:tblPr>
      <w:tr>
        <w:trPr>
          <w:trHeight w:val="202"/>
        </w:trPr>
        <w:tc>
          <w:tcPr>
            <w:tcW w:w="6200" w:type="dxa"/>
            <w:vAlign w:val="bottom"/>
            <w:tcBorders>
              <w:right w:val="single" w:sz="8" w:color="auto"/>
            </w:tcBorders>
          </w:tcPr>
          <w:p>
            <w:pPr>
              <w:spacing w:after="0"/>
              <w:rPr>
                <w:sz w:val="17"/>
                <w:szCs w:val="17"/>
                <w:color w:val="auto"/>
              </w:rPr>
            </w:pPr>
          </w:p>
        </w:tc>
        <w:tc>
          <w:tcPr>
            <w:tcW w:w="1100" w:type="dxa"/>
            <w:vAlign w:val="bottom"/>
            <w:tcBorders>
              <w:top w:val="single" w:sz="8" w:color="auto"/>
            </w:tcBorders>
            <w:shd w:val="clear" w:color="auto" w:fill="33CCCC"/>
          </w:tcPr>
          <w:p>
            <w:pPr>
              <w:spacing w:after="0"/>
              <w:rPr>
                <w:sz w:val="17"/>
                <w:szCs w:val="17"/>
                <w:color w:val="auto"/>
              </w:rPr>
            </w:pPr>
          </w:p>
        </w:tc>
        <w:tc>
          <w:tcPr>
            <w:tcW w:w="1140" w:type="dxa"/>
            <w:vAlign w:val="bottom"/>
            <w:tcBorders>
              <w:top w:val="single" w:sz="8" w:color="auto"/>
            </w:tcBorders>
            <w:shd w:val="clear" w:color="auto" w:fill="33CCCC"/>
          </w:tcPr>
          <w:p>
            <w:pPr>
              <w:ind w:left="320"/>
              <w:spacing w:after="0"/>
              <w:rPr>
                <w:sz w:val="20"/>
                <w:szCs w:val="20"/>
                <w:color w:val="auto"/>
              </w:rPr>
            </w:pPr>
            <w:r>
              <w:rPr>
                <w:rFonts w:ascii="Calibri" w:cs="Calibri" w:eastAsia="Calibri" w:hAnsi="Calibri"/>
                <w:sz w:val="15"/>
                <w:szCs w:val="15"/>
                <w:b w:val="1"/>
                <w:bCs w:val="1"/>
                <w:color w:val="FFFFFF"/>
              </w:rPr>
              <w:t>Quarter</w:t>
            </w:r>
          </w:p>
        </w:tc>
        <w:tc>
          <w:tcPr>
            <w:tcW w:w="1140" w:type="dxa"/>
            <w:vAlign w:val="bottom"/>
            <w:tcBorders>
              <w:top w:val="single" w:sz="8" w:color="auto"/>
              <w:right w:val="single" w:sz="8" w:color="auto"/>
            </w:tcBorders>
            <w:shd w:val="clear" w:color="auto" w:fill="33CCCC"/>
          </w:tcPr>
          <w:p>
            <w:pPr>
              <w:spacing w:after="0"/>
              <w:rPr>
                <w:sz w:val="17"/>
                <w:szCs w:val="17"/>
                <w:color w:val="auto"/>
              </w:rPr>
            </w:pPr>
          </w:p>
        </w:tc>
      </w:tr>
      <w:tr>
        <w:trPr>
          <w:trHeight w:val="232"/>
        </w:trPr>
        <w:tc>
          <w:tcPr>
            <w:tcW w:w="6200" w:type="dxa"/>
            <w:vAlign w:val="bottom"/>
            <w:tcBorders>
              <w:right w:val="single" w:sz="8" w:color="auto"/>
            </w:tcBorders>
          </w:tcPr>
          <w:p>
            <w:pPr>
              <w:spacing w:after="0"/>
              <w:rPr>
                <w:sz w:val="20"/>
                <w:szCs w:val="20"/>
                <w:color w:val="auto"/>
              </w:rPr>
            </w:pPr>
          </w:p>
        </w:tc>
        <w:tc>
          <w:tcPr>
            <w:tcW w:w="110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rPr>
              <w:t>1Q22</w:t>
            </w:r>
          </w:p>
        </w:tc>
        <w:tc>
          <w:tcPr>
            <w:tcW w:w="114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6"/>
              </w:rPr>
              <w:t>4Q22</w:t>
            </w:r>
          </w:p>
        </w:tc>
        <w:tc>
          <w:tcPr>
            <w:tcW w:w="114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rPr>
              <w:t>1Q23</w:t>
            </w:r>
          </w:p>
        </w:tc>
      </w:tr>
      <w:tr>
        <w:trPr>
          <w:trHeight w:val="179"/>
        </w:trPr>
        <w:tc>
          <w:tcPr>
            <w:tcW w:w="6200" w:type="dxa"/>
            <w:vAlign w:val="bottom"/>
            <w:tcBorders>
              <w:top w:val="single" w:sz="8" w:color="auto"/>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Proftability</w:t>
            </w:r>
          </w:p>
        </w:tc>
        <w:tc>
          <w:tcPr>
            <w:tcW w:w="1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spacing w:after="0"/>
              <w:rPr>
                <w:sz w:val="15"/>
                <w:szCs w:val="15"/>
                <w:color w:val="auto"/>
              </w:rPr>
            </w:pPr>
          </w:p>
        </w:tc>
      </w:tr>
      <w:tr>
        <w:trPr>
          <w:trHeight w:val="222"/>
        </w:trPr>
        <w:tc>
          <w:tcPr>
            <w:tcW w:w="6200" w:type="dxa"/>
            <w:vAlign w:val="bottom"/>
            <w:tcBorders>
              <w:left w:val="single" w:sz="8" w:color="auto"/>
              <w:right w:val="single" w:sz="8" w:color="auto"/>
            </w:tcBorders>
          </w:tcPr>
          <w:p>
            <w:pPr>
              <w:ind w:left="20"/>
              <w:spacing w:after="0" w:line="221" w:lineRule="exact"/>
              <w:rPr>
                <w:sz w:val="20"/>
                <w:szCs w:val="20"/>
                <w:color w:val="auto"/>
              </w:rPr>
            </w:pPr>
            <w:r>
              <w:rPr>
                <w:rFonts w:ascii="Calibri" w:cs="Calibri" w:eastAsia="Calibri" w:hAnsi="Calibri"/>
                <w:sz w:val="24"/>
                <w:szCs w:val="24"/>
                <w:color w:val="auto"/>
                <w:vertAlign w:val="subscript"/>
              </w:rPr>
              <w:t>ROAA</w:t>
            </w:r>
            <w:r>
              <w:rPr>
                <w:rFonts w:ascii="Calibri" w:cs="Calibri" w:eastAsia="Calibri" w:hAnsi="Calibri"/>
                <w:sz w:val="11"/>
                <w:szCs w:val="11"/>
                <w:color w:val="auto"/>
              </w:rPr>
              <w:t xml:space="preserve"> (1)(2)</w:t>
            </w:r>
          </w:p>
        </w:tc>
        <w:tc>
          <w:tcPr>
            <w:tcW w:w="1100" w:type="dxa"/>
            <w:vAlign w:val="bottom"/>
          </w:tcPr>
          <w:p>
            <w:pPr>
              <w:jc w:val="center"/>
              <w:spacing w:after="0"/>
              <w:rPr>
                <w:sz w:val="20"/>
                <w:szCs w:val="20"/>
                <w:color w:val="auto"/>
              </w:rPr>
            </w:pPr>
            <w:r>
              <w:rPr>
                <w:rFonts w:ascii="Calibri" w:cs="Calibri" w:eastAsia="Calibri" w:hAnsi="Calibri"/>
                <w:sz w:val="15"/>
                <w:szCs w:val="15"/>
                <w:color w:val="auto"/>
              </w:rPr>
              <w:t>2.5%</w:t>
            </w:r>
          </w:p>
        </w:tc>
        <w:tc>
          <w:tcPr>
            <w:tcW w:w="1140" w:type="dxa"/>
            <w:vAlign w:val="bottom"/>
          </w:tcPr>
          <w:p>
            <w:pPr>
              <w:jc w:val="center"/>
              <w:spacing w:after="0"/>
              <w:rPr>
                <w:sz w:val="20"/>
                <w:szCs w:val="20"/>
                <w:color w:val="auto"/>
              </w:rPr>
            </w:pPr>
            <w:r>
              <w:rPr>
                <w:rFonts w:ascii="Calibri" w:cs="Calibri" w:eastAsia="Calibri" w:hAnsi="Calibri"/>
                <w:sz w:val="15"/>
                <w:szCs w:val="15"/>
                <w:color w:val="auto"/>
              </w:rPr>
              <w:t>2.3%</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2.8%</w:t>
            </w:r>
          </w:p>
        </w:tc>
      </w:tr>
      <w:tr>
        <w:trPr>
          <w:trHeight w:val="204"/>
        </w:trPr>
        <w:tc>
          <w:tcPr>
            <w:tcW w:w="6200" w:type="dxa"/>
            <w:vAlign w:val="bottom"/>
            <w:tcBorders>
              <w:left w:val="single" w:sz="8" w:color="auto"/>
              <w:right w:val="single" w:sz="8" w:color="auto"/>
            </w:tcBorders>
          </w:tcPr>
          <w:p>
            <w:pPr>
              <w:ind w:left="20"/>
              <w:spacing w:after="0" w:line="204" w:lineRule="exact"/>
              <w:rPr>
                <w:sz w:val="20"/>
                <w:szCs w:val="20"/>
                <w:color w:val="auto"/>
              </w:rPr>
            </w:pPr>
            <w:r>
              <w:rPr>
                <w:rFonts w:ascii="Calibri" w:cs="Calibri" w:eastAsia="Calibri" w:hAnsi="Calibri"/>
                <w:sz w:val="22"/>
                <w:szCs w:val="22"/>
                <w:color w:val="auto"/>
                <w:vertAlign w:val="subscript"/>
              </w:rPr>
              <w:t>ROAE</w:t>
            </w:r>
            <w:r>
              <w:rPr>
                <w:rFonts w:ascii="Calibri" w:cs="Calibri" w:eastAsia="Calibri" w:hAnsi="Calibri"/>
                <w:sz w:val="11"/>
                <w:szCs w:val="11"/>
                <w:color w:val="auto"/>
              </w:rPr>
              <w:t xml:space="preserve"> (1)(2)</w:t>
            </w:r>
          </w:p>
        </w:tc>
        <w:tc>
          <w:tcPr>
            <w:tcW w:w="1100" w:type="dxa"/>
            <w:vAlign w:val="bottom"/>
          </w:tcPr>
          <w:p>
            <w:pPr>
              <w:jc w:val="center"/>
              <w:spacing w:after="0" w:line="180" w:lineRule="exact"/>
              <w:rPr>
                <w:sz w:val="20"/>
                <w:szCs w:val="20"/>
                <w:color w:val="auto"/>
              </w:rPr>
            </w:pPr>
            <w:r>
              <w:rPr>
                <w:rFonts w:ascii="Calibri" w:cs="Calibri" w:eastAsia="Calibri" w:hAnsi="Calibri"/>
                <w:sz w:val="15"/>
                <w:szCs w:val="15"/>
                <w:color w:val="auto"/>
              </w:rPr>
              <w:t>22.7%</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rPr>
              <w:t>18.8%</w:t>
            </w:r>
          </w:p>
        </w:tc>
        <w:tc>
          <w:tcPr>
            <w:tcW w:w="11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22.5%</w:t>
            </w:r>
          </w:p>
        </w:tc>
      </w:tr>
      <w:tr>
        <w:trPr>
          <w:trHeight w:val="204"/>
        </w:trPr>
        <w:tc>
          <w:tcPr>
            <w:tcW w:w="6200" w:type="dxa"/>
            <w:vAlign w:val="bottom"/>
            <w:tcBorders>
              <w:left w:val="single" w:sz="8" w:color="auto"/>
              <w:right w:val="single" w:sz="8" w:color="auto"/>
            </w:tcBorders>
          </w:tcPr>
          <w:p>
            <w:pPr>
              <w:ind w:left="20"/>
              <w:spacing w:after="0" w:line="204" w:lineRule="exact"/>
              <w:rPr>
                <w:sz w:val="20"/>
                <w:szCs w:val="20"/>
                <w:color w:val="auto"/>
              </w:rPr>
            </w:pPr>
            <w:r>
              <w:rPr>
                <w:rFonts w:ascii="Calibri" w:cs="Calibri" w:eastAsia="Calibri" w:hAnsi="Calibri"/>
                <w:sz w:val="14"/>
                <w:szCs w:val="14"/>
                <w:color w:val="auto"/>
              </w:rPr>
              <w:t xml:space="preserve">Net interest margin </w:t>
            </w:r>
            <w:r>
              <w:rPr>
                <w:rFonts w:ascii="Calibri" w:cs="Calibri" w:eastAsia="Calibri" w:hAnsi="Calibri"/>
                <w:sz w:val="22"/>
                <w:szCs w:val="22"/>
                <w:color w:val="auto"/>
                <w:vertAlign w:val="superscript"/>
              </w:rPr>
              <w:t>(1)(2)</w:t>
            </w:r>
          </w:p>
        </w:tc>
        <w:tc>
          <w:tcPr>
            <w:tcW w:w="1100" w:type="dxa"/>
            <w:vAlign w:val="bottom"/>
          </w:tcPr>
          <w:p>
            <w:pPr>
              <w:jc w:val="center"/>
              <w:spacing w:after="0" w:line="180" w:lineRule="exact"/>
              <w:rPr>
                <w:sz w:val="20"/>
                <w:szCs w:val="20"/>
                <w:color w:val="auto"/>
              </w:rPr>
            </w:pPr>
            <w:r>
              <w:rPr>
                <w:rFonts w:ascii="Calibri" w:cs="Calibri" w:eastAsia="Calibri" w:hAnsi="Calibri"/>
                <w:sz w:val="15"/>
                <w:szCs w:val="15"/>
                <w:color w:val="auto"/>
              </w:rPr>
              <w:t>3.85%</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rPr>
              <w:t>5.41%</w:t>
            </w:r>
          </w:p>
        </w:tc>
        <w:tc>
          <w:tcPr>
            <w:tcW w:w="11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5.55%</w:t>
            </w:r>
          </w:p>
        </w:tc>
      </w:tr>
      <w:tr>
        <w:trPr>
          <w:trHeight w:val="204"/>
        </w:trPr>
        <w:tc>
          <w:tcPr>
            <w:tcW w:w="6200" w:type="dxa"/>
            <w:vAlign w:val="bottom"/>
            <w:tcBorders>
              <w:left w:val="single" w:sz="8" w:color="auto"/>
              <w:right w:val="single" w:sz="8" w:color="auto"/>
            </w:tcBorders>
          </w:tcPr>
          <w:p>
            <w:pPr>
              <w:ind w:left="20"/>
              <w:spacing w:after="0" w:line="204" w:lineRule="exact"/>
              <w:rPr>
                <w:sz w:val="20"/>
                <w:szCs w:val="20"/>
                <w:color w:val="auto"/>
              </w:rPr>
            </w:pPr>
            <w:r>
              <w:rPr>
                <w:rFonts w:ascii="Calibri" w:cs="Calibri" w:eastAsia="Calibri" w:hAnsi="Calibri"/>
                <w:sz w:val="14"/>
                <w:szCs w:val="14"/>
                <w:color w:val="auto"/>
              </w:rPr>
              <w:t xml:space="preserve">Risk adjusted NIM </w:t>
            </w:r>
            <w:r>
              <w:rPr>
                <w:rFonts w:ascii="Calibri" w:cs="Calibri" w:eastAsia="Calibri" w:hAnsi="Calibri"/>
                <w:sz w:val="22"/>
                <w:szCs w:val="22"/>
                <w:color w:val="auto"/>
                <w:vertAlign w:val="superscript"/>
              </w:rPr>
              <w:t>(1)(2)</w:t>
            </w:r>
          </w:p>
        </w:tc>
        <w:tc>
          <w:tcPr>
            <w:tcW w:w="1100" w:type="dxa"/>
            <w:vAlign w:val="bottom"/>
          </w:tcPr>
          <w:p>
            <w:pPr>
              <w:jc w:val="center"/>
              <w:spacing w:after="0" w:line="180" w:lineRule="exact"/>
              <w:rPr>
                <w:sz w:val="20"/>
                <w:szCs w:val="20"/>
                <w:color w:val="auto"/>
              </w:rPr>
            </w:pPr>
            <w:r>
              <w:rPr>
                <w:rFonts w:ascii="Calibri" w:cs="Calibri" w:eastAsia="Calibri" w:hAnsi="Calibri"/>
                <w:sz w:val="15"/>
                <w:szCs w:val="15"/>
                <w:color w:val="auto"/>
              </w:rPr>
              <w:t>3.52%</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rPr>
              <w:t>4.24%</w:t>
            </w:r>
          </w:p>
        </w:tc>
        <w:tc>
          <w:tcPr>
            <w:tcW w:w="11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4.42%</w:t>
            </w:r>
          </w:p>
        </w:tc>
      </w:tr>
      <w:tr>
        <w:trPr>
          <w:trHeight w:val="293"/>
        </w:trPr>
        <w:tc>
          <w:tcPr>
            <w:tcW w:w="6200" w:type="dxa"/>
            <w:vAlign w:val="bottom"/>
            <w:tcBorders>
              <w:left w:val="single" w:sz="8" w:color="auto"/>
              <w:right w:val="single" w:sz="8" w:color="auto"/>
            </w:tcBorders>
          </w:tcPr>
          <w:p>
            <w:pPr>
              <w:ind w:left="20"/>
              <w:spacing w:after="0" w:line="293" w:lineRule="exact"/>
              <w:rPr>
                <w:sz w:val="20"/>
                <w:szCs w:val="20"/>
                <w:color w:val="auto"/>
              </w:rPr>
            </w:pPr>
            <w:r>
              <w:rPr>
                <w:rFonts w:ascii="Calibri" w:cs="Calibri" w:eastAsia="Calibri" w:hAnsi="Calibri"/>
                <w:sz w:val="15"/>
                <w:szCs w:val="15"/>
                <w:color w:val="auto"/>
              </w:rPr>
              <w:t xml:space="preserve">Funding Cost </w:t>
            </w:r>
            <w:r>
              <w:rPr>
                <w:rFonts w:ascii="Calibri" w:cs="Calibri" w:eastAsia="Calibri" w:hAnsi="Calibri"/>
                <w:sz w:val="25"/>
                <w:szCs w:val="25"/>
                <w:color w:val="auto"/>
                <w:vertAlign w:val="superscript"/>
              </w:rPr>
              <w:t>(1)(2)(3)</w:t>
            </w:r>
          </w:p>
        </w:tc>
        <w:tc>
          <w:tcPr>
            <w:tcW w:w="1100" w:type="dxa"/>
            <w:vAlign w:val="bottom"/>
          </w:tcPr>
          <w:p>
            <w:pPr>
              <w:jc w:val="center"/>
              <w:spacing w:after="0" w:line="180" w:lineRule="exact"/>
              <w:rPr>
                <w:sz w:val="20"/>
                <w:szCs w:val="20"/>
                <w:color w:val="auto"/>
              </w:rPr>
            </w:pPr>
            <w:r>
              <w:rPr>
                <w:rFonts w:ascii="Calibri" w:cs="Calibri" w:eastAsia="Calibri" w:hAnsi="Calibri"/>
                <w:sz w:val="15"/>
                <w:szCs w:val="15"/>
                <w:color w:val="auto"/>
              </w:rPr>
              <w:t>1.04%</w:t>
            </w:r>
          </w:p>
        </w:tc>
        <w:tc>
          <w:tcPr>
            <w:tcW w:w="1140" w:type="dxa"/>
            <w:vAlign w:val="bottom"/>
          </w:tcPr>
          <w:p>
            <w:pPr>
              <w:jc w:val="center"/>
              <w:spacing w:after="0" w:line="180" w:lineRule="exact"/>
              <w:rPr>
                <w:sz w:val="20"/>
                <w:szCs w:val="20"/>
                <w:color w:val="auto"/>
              </w:rPr>
            </w:pPr>
            <w:r>
              <w:rPr>
                <w:rFonts w:ascii="Calibri" w:cs="Calibri" w:eastAsia="Calibri" w:hAnsi="Calibri"/>
                <w:sz w:val="15"/>
                <w:szCs w:val="15"/>
                <w:color w:val="auto"/>
              </w:rPr>
              <w:t>1.93%</w:t>
            </w:r>
          </w:p>
        </w:tc>
        <w:tc>
          <w:tcPr>
            <w:tcW w:w="11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2.16%</w:t>
            </w:r>
          </w:p>
        </w:tc>
      </w:tr>
      <w:tr>
        <w:trPr>
          <w:trHeight w:val="273"/>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b w:val="1"/>
                <w:bCs w:val="1"/>
                <w:color w:val="auto"/>
              </w:rPr>
              <w:t>Quality of loan portolio</w:t>
            </w:r>
          </w:p>
        </w:tc>
        <w:tc>
          <w:tcPr>
            <w:tcW w:w="1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r>
      <w:tr>
        <w:trPr>
          <w:trHeight w:val="20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IOL rato</w:t>
            </w:r>
          </w:p>
        </w:tc>
        <w:tc>
          <w:tcPr>
            <w:tcW w:w="1100" w:type="dxa"/>
            <w:vAlign w:val="bottom"/>
          </w:tcPr>
          <w:p>
            <w:pPr>
              <w:jc w:val="center"/>
              <w:spacing w:after="0"/>
              <w:rPr>
                <w:sz w:val="20"/>
                <w:szCs w:val="20"/>
                <w:color w:val="auto"/>
              </w:rPr>
            </w:pPr>
            <w:r>
              <w:rPr>
                <w:rFonts w:ascii="Calibri" w:cs="Calibri" w:eastAsia="Calibri" w:hAnsi="Calibri"/>
                <w:sz w:val="15"/>
                <w:szCs w:val="15"/>
                <w:color w:val="auto"/>
              </w:rPr>
              <w:t>3.89%</w:t>
            </w:r>
          </w:p>
        </w:tc>
        <w:tc>
          <w:tcPr>
            <w:tcW w:w="1140" w:type="dxa"/>
            <w:vAlign w:val="bottom"/>
          </w:tcPr>
          <w:p>
            <w:pPr>
              <w:jc w:val="center"/>
              <w:spacing w:after="0"/>
              <w:rPr>
                <w:sz w:val="20"/>
                <w:szCs w:val="20"/>
                <w:color w:val="auto"/>
              </w:rPr>
            </w:pPr>
            <w:r>
              <w:rPr>
                <w:rFonts w:ascii="Calibri" w:cs="Calibri" w:eastAsia="Calibri" w:hAnsi="Calibri"/>
                <w:sz w:val="15"/>
                <w:szCs w:val="15"/>
                <w:color w:val="auto"/>
              </w:rPr>
              <w:t>3.93%</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3.96%</w:t>
            </w:r>
          </w:p>
        </w:tc>
      </w:tr>
      <w:tr>
        <w:trPr>
          <w:trHeight w:val="20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NPL rato</w:t>
            </w:r>
          </w:p>
        </w:tc>
        <w:tc>
          <w:tcPr>
            <w:tcW w:w="1100" w:type="dxa"/>
            <w:vAlign w:val="bottom"/>
          </w:tcPr>
          <w:p>
            <w:pPr>
              <w:jc w:val="center"/>
              <w:spacing w:after="0"/>
              <w:rPr>
                <w:sz w:val="20"/>
                <w:szCs w:val="20"/>
                <w:color w:val="auto"/>
              </w:rPr>
            </w:pPr>
            <w:r>
              <w:rPr>
                <w:rFonts w:ascii="Calibri" w:cs="Calibri" w:eastAsia="Calibri" w:hAnsi="Calibri"/>
                <w:sz w:val="15"/>
                <w:szCs w:val="15"/>
                <w:color w:val="auto"/>
              </w:rPr>
              <w:t>5.22%</w:t>
            </w:r>
          </w:p>
        </w:tc>
        <w:tc>
          <w:tcPr>
            <w:tcW w:w="1140" w:type="dxa"/>
            <w:vAlign w:val="bottom"/>
          </w:tcPr>
          <w:p>
            <w:pPr>
              <w:jc w:val="center"/>
              <w:spacing w:after="0"/>
              <w:rPr>
                <w:sz w:val="20"/>
                <w:szCs w:val="20"/>
                <w:color w:val="auto"/>
              </w:rPr>
            </w:pPr>
            <w:r>
              <w:rPr>
                <w:rFonts w:ascii="Calibri" w:cs="Calibri" w:eastAsia="Calibri" w:hAnsi="Calibri"/>
                <w:sz w:val="15"/>
                <w:szCs w:val="15"/>
                <w:color w:val="auto"/>
              </w:rPr>
              <w:t>5.53%</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5.61%</w:t>
            </w:r>
          </w:p>
        </w:tc>
      </w:tr>
      <w:tr>
        <w:trPr>
          <w:trHeight w:val="20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Coverage of IOLs</w:t>
            </w:r>
          </w:p>
        </w:tc>
        <w:tc>
          <w:tcPr>
            <w:tcW w:w="1100" w:type="dxa"/>
            <w:vAlign w:val="bottom"/>
          </w:tcPr>
          <w:p>
            <w:pPr>
              <w:jc w:val="center"/>
              <w:spacing w:after="0"/>
              <w:rPr>
                <w:sz w:val="20"/>
                <w:szCs w:val="20"/>
                <w:color w:val="auto"/>
              </w:rPr>
            </w:pPr>
            <w:r>
              <w:rPr>
                <w:rFonts w:ascii="Calibri" w:cs="Calibri" w:eastAsia="Calibri" w:hAnsi="Calibri"/>
                <w:sz w:val="15"/>
                <w:szCs w:val="15"/>
                <w:color w:val="auto"/>
              </w:rPr>
              <w:t>141.1%</w:t>
            </w:r>
          </w:p>
        </w:tc>
        <w:tc>
          <w:tcPr>
            <w:tcW w:w="1140" w:type="dxa"/>
            <w:vAlign w:val="bottom"/>
          </w:tcPr>
          <w:p>
            <w:pPr>
              <w:jc w:val="center"/>
              <w:spacing w:after="0"/>
              <w:rPr>
                <w:sz w:val="20"/>
                <w:szCs w:val="20"/>
                <w:color w:val="auto"/>
              </w:rPr>
            </w:pPr>
            <w:r>
              <w:rPr>
                <w:rFonts w:ascii="Calibri" w:cs="Calibri" w:eastAsia="Calibri" w:hAnsi="Calibri"/>
                <w:sz w:val="15"/>
                <w:szCs w:val="15"/>
                <w:color w:val="auto"/>
                <w:w w:val="97"/>
              </w:rPr>
              <w:t>131.6%</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135.1%</w:t>
            </w:r>
          </w:p>
        </w:tc>
      </w:tr>
      <w:tr>
        <w:trPr>
          <w:trHeight w:val="204"/>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Coverage of NPLs</w:t>
            </w:r>
          </w:p>
        </w:tc>
        <w:tc>
          <w:tcPr>
            <w:tcW w:w="1100" w:type="dxa"/>
            <w:vAlign w:val="bottom"/>
          </w:tcPr>
          <w:p>
            <w:pPr>
              <w:jc w:val="center"/>
              <w:spacing w:after="0"/>
              <w:rPr>
                <w:sz w:val="20"/>
                <w:szCs w:val="20"/>
                <w:color w:val="auto"/>
              </w:rPr>
            </w:pPr>
            <w:r>
              <w:rPr>
                <w:rFonts w:ascii="Calibri" w:cs="Calibri" w:eastAsia="Calibri" w:hAnsi="Calibri"/>
                <w:sz w:val="15"/>
                <w:szCs w:val="15"/>
                <w:color w:val="auto"/>
              </w:rPr>
              <w:t>105.2%</w:t>
            </w:r>
          </w:p>
        </w:tc>
        <w:tc>
          <w:tcPr>
            <w:tcW w:w="1140" w:type="dxa"/>
            <w:vAlign w:val="bottom"/>
          </w:tcPr>
          <w:p>
            <w:pPr>
              <w:jc w:val="center"/>
              <w:spacing w:after="0"/>
              <w:rPr>
                <w:sz w:val="20"/>
                <w:szCs w:val="20"/>
                <w:color w:val="auto"/>
              </w:rPr>
            </w:pPr>
            <w:r>
              <w:rPr>
                <w:rFonts w:ascii="Calibri" w:cs="Calibri" w:eastAsia="Calibri" w:hAnsi="Calibri"/>
                <w:sz w:val="15"/>
                <w:szCs w:val="15"/>
                <w:color w:val="auto"/>
              </w:rPr>
              <w:t>93.5%</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95.3%</w:t>
            </w:r>
          </w:p>
        </w:tc>
      </w:tr>
      <w:tr>
        <w:trPr>
          <w:trHeight w:val="317"/>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color w:val="auto"/>
              </w:rPr>
              <w:t xml:space="preserve">Cost of risk </w:t>
            </w:r>
            <w:r>
              <w:rPr>
                <w:rFonts w:ascii="Calibri" w:cs="Calibri" w:eastAsia="Calibri" w:hAnsi="Calibri"/>
                <w:sz w:val="25"/>
                <w:szCs w:val="25"/>
                <w:color w:val="auto"/>
                <w:vertAlign w:val="superscript"/>
              </w:rPr>
              <w:t>(4)</w:t>
            </w:r>
          </w:p>
        </w:tc>
        <w:tc>
          <w:tcPr>
            <w:tcW w:w="1100" w:type="dxa"/>
            <w:vAlign w:val="bottom"/>
          </w:tcPr>
          <w:p>
            <w:pPr>
              <w:jc w:val="center"/>
              <w:spacing w:after="0"/>
              <w:rPr>
                <w:sz w:val="20"/>
                <w:szCs w:val="20"/>
                <w:color w:val="auto"/>
              </w:rPr>
            </w:pPr>
            <w:r>
              <w:rPr>
                <w:rFonts w:ascii="Calibri" w:cs="Calibri" w:eastAsia="Calibri" w:hAnsi="Calibri"/>
                <w:sz w:val="15"/>
                <w:szCs w:val="15"/>
                <w:color w:val="auto"/>
              </w:rPr>
              <w:t>0.49%</w:t>
            </w:r>
          </w:p>
        </w:tc>
        <w:tc>
          <w:tcPr>
            <w:tcW w:w="1140" w:type="dxa"/>
            <w:vAlign w:val="bottom"/>
          </w:tcPr>
          <w:p>
            <w:pPr>
              <w:jc w:val="center"/>
              <w:spacing w:after="0"/>
              <w:rPr>
                <w:sz w:val="20"/>
                <w:szCs w:val="20"/>
                <w:color w:val="auto"/>
              </w:rPr>
            </w:pPr>
            <w:r>
              <w:rPr>
                <w:rFonts w:ascii="Calibri" w:cs="Calibri" w:eastAsia="Calibri" w:hAnsi="Calibri"/>
                <w:sz w:val="15"/>
                <w:szCs w:val="15"/>
                <w:color w:val="auto"/>
              </w:rPr>
              <w:t>1.65%</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1.62%</w:t>
            </w:r>
          </w:p>
        </w:tc>
      </w:tr>
      <w:tr>
        <w:trPr>
          <w:trHeight w:val="273"/>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5"/>
                <w:szCs w:val="15"/>
                <w:b w:val="1"/>
                <w:bCs w:val="1"/>
                <w:color w:val="auto"/>
              </w:rPr>
              <w:t>Operatng efciency</w:t>
            </w:r>
          </w:p>
        </w:tc>
        <w:tc>
          <w:tcPr>
            <w:tcW w:w="1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r>
      <w:tr>
        <w:trPr>
          <w:trHeight w:val="229"/>
        </w:trPr>
        <w:tc>
          <w:tcPr>
            <w:tcW w:w="6200" w:type="dxa"/>
            <w:vAlign w:val="bottom"/>
            <w:tcBorders>
              <w:left w:val="single" w:sz="8" w:color="auto"/>
              <w:right w:val="single" w:sz="8" w:color="auto"/>
            </w:tcBorders>
          </w:tcPr>
          <w:p>
            <w:pPr>
              <w:ind w:left="20"/>
              <w:spacing w:after="0" w:line="229" w:lineRule="exact"/>
              <w:rPr>
                <w:sz w:val="20"/>
                <w:szCs w:val="20"/>
                <w:color w:val="auto"/>
              </w:rPr>
            </w:pPr>
            <w:r>
              <w:rPr>
                <w:rFonts w:ascii="Calibri" w:cs="Calibri" w:eastAsia="Calibri" w:hAnsi="Calibri"/>
                <w:sz w:val="15"/>
                <w:szCs w:val="15"/>
                <w:color w:val="auto"/>
              </w:rPr>
              <w:t xml:space="preserve">Oper. expenses as a percent. of total income - reported </w:t>
            </w:r>
            <w:r>
              <w:rPr>
                <w:rFonts w:ascii="Calibri" w:cs="Calibri" w:eastAsia="Calibri" w:hAnsi="Calibri"/>
                <w:sz w:val="25"/>
                <w:szCs w:val="25"/>
                <w:color w:val="auto"/>
                <w:vertAlign w:val="superscript"/>
              </w:rPr>
              <w:t>(5)</w:t>
            </w:r>
          </w:p>
        </w:tc>
        <w:tc>
          <w:tcPr>
            <w:tcW w:w="1100" w:type="dxa"/>
            <w:vAlign w:val="bottom"/>
          </w:tcPr>
          <w:p>
            <w:pPr>
              <w:jc w:val="center"/>
              <w:spacing w:after="0"/>
              <w:rPr>
                <w:sz w:val="20"/>
                <w:szCs w:val="20"/>
                <w:color w:val="auto"/>
              </w:rPr>
            </w:pPr>
            <w:r>
              <w:rPr>
                <w:rFonts w:ascii="Calibri" w:cs="Calibri" w:eastAsia="Calibri" w:hAnsi="Calibri"/>
                <w:sz w:val="15"/>
                <w:szCs w:val="15"/>
                <w:color w:val="auto"/>
              </w:rPr>
              <w:t>40.7%</w:t>
            </w:r>
          </w:p>
        </w:tc>
        <w:tc>
          <w:tcPr>
            <w:tcW w:w="1140" w:type="dxa"/>
            <w:vAlign w:val="bottom"/>
          </w:tcPr>
          <w:p>
            <w:pPr>
              <w:jc w:val="center"/>
              <w:spacing w:after="0"/>
              <w:rPr>
                <w:sz w:val="20"/>
                <w:szCs w:val="20"/>
                <w:color w:val="auto"/>
              </w:rPr>
            </w:pPr>
            <w:r>
              <w:rPr>
                <w:rFonts w:ascii="Calibri" w:cs="Calibri" w:eastAsia="Calibri" w:hAnsi="Calibri"/>
                <w:sz w:val="15"/>
                <w:szCs w:val="15"/>
                <w:color w:val="auto"/>
              </w:rPr>
              <w:t>41.9%</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36.8%</w:t>
            </w:r>
          </w:p>
        </w:tc>
      </w:tr>
      <w:tr>
        <w:trPr>
          <w:trHeight w:val="214"/>
        </w:trPr>
        <w:tc>
          <w:tcPr>
            <w:tcW w:w="6200" w:type="dxa"/>
            <w:vAlign w:val="bottom"/>
            <w:tcBorders>
              <w:left w:val="single" w:sz="8" w:color="auto"/>
              <w:bottom w:val="single" w:sz="8" w:color="auto"/>
              <w:right w:val="single" w:sz="8" w:color="auto"/>
            </w:tcBorders>
          </w:tcPr>
          <w:p>
            <w:pPr>
              <w:ind w:left="20"/>
              <w:spacing w:after="0" w:line="211" w:lineRule="exact"/>
              <w:rPr>
                <w:sz w:val="20"/>
                <w:szCs w:val="20"/>
                <w:color w:val="auto"/>
              </w:rPr>
            </w:pPr>
            <w:r>
              <w:rPr>
                <w:rFonts w:ascii="Calibri" w:cs="Calibri" w:eastAsia="Calibri" w:hAnsi="Calibri"/>
                <w:sz w:val="14"/>
                <w:szCs w:val="14"/>
                <w:color w:val="auto"/>
              </w:rPr>
              <w:t xml:space="preserve">Oper. expenses as a percent. of av. tot. assets </w:t>
            </w:r>
            <w:r>
              <w:rPr>
                <w:rFonts w:ascii="Calibri" w:cs="Calibri" w:eastAsia="Calibri" w:hAnsi="Calibri"/>
                <w:sz w:val="23"/>
                <w:szCs w:val="23"/>
                <w:color w:val="auto"/>
                <w:vertAlign w:val="superscript"/>
              </w:rPr>
              <w:t>(1)(2)(5)</w:t>
            </w:r>
          </w:p>
        </w:tc>
        <w:tc>
          <w:tcPr>
            <w:tcW w:w="110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2.32%</w:t>
            </w:r>
          </w:p>
        </w:tc>
        <w:tc>
          <w:tcPr>
            <w:tcW w:w="114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3.09%</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2.72%</w:t>
            </w:r>
          </w:p>
        </w:tc>
      </w:tr>
    </w:tbl>
    <w:p>
      <w:pPr>
        <w:ind w:left="140" w:hanging="129"/>
        <w:spacing w:after="0" w:line="203" w:lineRule="auto"/>
        <w:tabs>
          <w:tab w:leader="none" w:pos="140" w:val="left"/>
        </w:tabs>
        <w:numPr>
          <w:ilvl w:val="0"/>
          <w:numId w:val="69"/>
        </w:numPr>
        <w:rPr>
          <w:rFonts w:ascii="Calibri" w:cs="Calibri" w:eastAsia="Calibri" w:hAnsi="Calibri"/>
          <w:sz w:val="10"/>
          <w:szCs w:val="10"/>
          <w:color w:val="auto"/>
        </w:rPr>
      </w:pPr>
      <w:r>
        <w:rPr>
          <w:rFonts w:ascii="Calibri" w:cs="Calibri" w:eastAsia="Calibri" w:hAnsi="Calibri"/>
          <w:sz w:val="10"/>
          <w:szCs w:val="10"/>
          <w:color w:val="auto"/>
        </w:rPr>
        <w:t>Ratos are annualized.</w:t>
      </w:r>
    </w:p>
    <w:p>
      <w:pPr>
        <w:ind w:left="140" w:hanging="129"/>
        <w:spacing w:after="0" w:line="223" w:lineRule="auto"/>
        <w:tabs>
          <w:tab w:leader="none" w:pos="140" w:val="left"/>
        </w:tabs>
        <w:numPr>
          <w:ilvl w:val="0"/>
          <w:numId w:val="69"/>
        </w:numPr>
        <w:rPr>
          <w:rFonts w:ascii="Calibri" w:cs="Calibri" w:eastAsia="Calibri" w:hAnsi="Calibri"/>
          <w:sz w:val="10"/>
          <w:szCs w:val="10"/>
          <w:color w:val="auto"/>
        </w:rPr>
      </w:pPr>
      <w:r>
        <w:rPr>
          <w:rFonts w:ascii="Calibri" w:cs="Calibri" w:eastAsia="Calibri" w:hAnsi="Calibri"/>
          <w:sz w:val="10"/>
          <w:szCs w:val="10"/>
          <w:color w:val="auto"/>
        </w:rPr>
        <w:t>Averages are determined as the average of period-beginning and period-ending balances.</w:t>
      </w:r>
    </w:p>
    <w:p>
      <w:pPr>
        <w:ind w:left="20" w:right="140" w:hanging="9"/>
        <w:spacing w:after="0" w:line="223" w:lineRule="auto"/>
        <w:tabs>
          <w:tab w:leader="none" w:pos="152" w:val="left"/>
        </w:tabs>
        <w:numPr>
          <w:ilvl w:val="0"/>
          <w:numId w:val="69"/>
        </w:numPr>
        <w:rPr>
          <w:rFonts w:ascii="Calibri" w:cs="Calibri" w:eastAsia="Calibri" w:hAnsi="Calibri"/>
          <w:sz w:val="10"/>
          <w:szCs w:val="10"/>
          <w:color w:val="auto"/>
        </w:rPr>
      </w:pPr>
      <w:r>
        <w:rPr>
          <w:rFonts w:ascii="Calibri" w:cs="Calibri" w:eastAsia="Calibri" w:hAnsi="Calibri"/>
          <w:sz w:val="10"/>
          <w:szCs w:val="10"/>
          <w:color w:val="auto"/>
        </w:rPr>
        <w:t>The funding costs difers from previously reported due to a methodology change in the denominator, which no longer includes the following accounts: acceptances outstanding, reserves for property and casualty claims, reserve for unearned premiums, reinsurance payable and other liabilites.</w:t>
      </w:r>
    </w:p>
    <w:p>
      <w:pPr>
        <w:ind w:left="140" w:hanging="129"/>
        <w:spacing w:after="0" w:line="223" w:lineRule="auto"/>
        <w:tabs>
          <w:tab w:leader="none" w:pos="140" w:val="left"/>
        </w:tabs>
        <w:numPr>
          <w:ilvl w:val="0"/>
          <w:numId w:val="69"/>
        </w:numPr>
        <w:rPr>
          <w:rFonts w:ascii="Calibri" w:cs="Calibri" w:eastAsia="Calibri" w:hAnsi="Calibri"/>
          <w:sz w:val="10"/>
          <w:szCs w:val="10"/>
          <w:color w:val="auto"/>
        </w:rPr>
      </w:pPr>
      <w:r>
        <w:rPr>
          <w:rFonts w:ascii="Calibri" w:cs="Calibri" w:eastAsia="Calibri" w:hAnsi="Calibri"/>
          <w:sz w:val="10"/>
          <w:szCs w:val="10"/>
          <w:color w:val="auto"/>
        </w:rPr>
        <w:t>Cost of risk: Annualized provision for loan losses / Total loans.</w:t>
      </w:r>
    </w:p>
    <w:p>
      <w:pPr>
        <w:ind w:left="20" w:right="160" w:hanging="9"/>
        <w:spacing w:after="0" w:line="223" w:lineRule="auto"/>
        <w:tabs>
          <w:tab w:leader="none" w:pos="152" w:val="left"/>
        </w:tabs>
        <w:numPr>
          <w:ilvl w:val="0"/>
          <w:numId w:val="69"/>
        </w:numPr>
        <w:rPr>
          <w:rFonts w:ascii="Calibri" w:cs="Calibri" w:eastAsia="Calibri" w:hAnsi="Calibri"/>
          <w:sz w:val="10"/>
          <w:szCs w:val="10"/>
          <w:color w:val="auto"/>
        </w:rPr>
      </w:pPr>
      <w:r>
        <w:rPr>
          <w:rFonts w:ascii="Calibri" w:cs="Calibri" w:eastAsia="Calibri" w:hAnsi="Calibri"/>
          <w:sz w:val="10"/>
          <w:szCs w:val="10"/>
          <w:color w:val="auto"/>
        </w:rPr>
        <w:t>Total income includes net interest income, fee income, net gain on foreign exchange transactons, result on exchange diference and net gain on derivatves. Operatng expenses includes Salaries and social benefts, administratve, general and tax expenses and depreciaton and amortzaton.</w:t>
      </w:r>
    </w:p>
    <w:p>
      <w:pPr>
        <w:spacing w:after="0" w:line="331"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3910" cy="146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80"/>
          </w:cols>
          <w:pgMar w:left="300" w:top="365" w:right="319" w:bottom="733" w:gutter="0" w:footer="0" w:header="0"/>
        </w:sectPr>
      </w:pPr>
    </w:p>
    <w:bookmarkStart w:id="75" w:name="page76"/>
    <w:bookmarkEnd w:id="75"/>
    <w:p>
      <w:pPr>
        <w:ind w:left="2720"/>
        <w:spacing w:after="0"/>
        <w:tabs>
          <w:tab w:leader="none" w:pos="2920" w:val="left"/>
          <w:tab w:leader="none" w:pos="858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3910" cy="2305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4340" w:type="dxa"/>
            <w:vAlign w:val="bottom"/>
          </w:tcPr>
          <w:p>
            <w:pPr>
              <w:ind w:left="20"/>
              <w:spacing w:after="0"/>
              <w:rPr>
                <w:sz w:val="20"/>
                <w:szCs w:val="20"/>
                <w:color w:val="auto"/>
              </w:rPr>
            </w:pPr>
            <w:r>
              <w:rPr>
                <w:rFonts w:ascii="Calibri" w:cs="Calibri" w:eastAsia="Calibri" w:hAnsi="Calibri"/>
                <w:sz w:val="15"/>
                <w:szCs w:val="15"/>
                <w:b w:val="1"/>
                <w:bCs w:val="1"/>
                <w:color w:val="auto"/>
              </w:rPr>
              <w:t>12.6.5. BCP Bolivia</w:t>
            </w:r>
          </w:p>
        </w:tc>
        <w:tc>
          <w:tcPr>
            <w:tcW w:w="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01"/>
        </w:trPr>
        <w:tc>
          <w:tcPr>
            <w:tcW w:w="4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center"/>
              <w:ind w:right="441"/>
              <w:spacing w:after="0"/>
              <w:rPr>
                <w:sz w:val="20"/>
                <w:szCs w:val="20"/>
                <w:color w:val="auto"/>
              </w:rPr>
            </w:pPr>
            <w:r>
              <w:rPr>
                <w:rFonts w:ascii="Calibri" w:cs="Calibri" w:eastAsia="Calibri" w:hAnsi="Calibri"/>
                <w:sz w:val="17"/>
                <w:szCs w:val="17"/>
                <w:b w:val="1"/>
                <w:bCs w:val="1"/>
                <w:color w:val="auto"/>
                <w:w w:val="96"/>
              </w:rPr>
              <w:t>BCP BOLIVIA</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4"/>
        </w:trPr>
        <w:tc>
          <w:tcPr>
            <w:tcW w:w="4340" w:type="dxa"/>
            <w:vAlign w:val="bottom"/>
          </w:tcPr>
          <w:p>
            <w:pPr>
              <w:spacing w:after="0"/>
              <w:rPr>
                <w:sz w:val="17"/>
                <w:szCs w:val="17"/>
                <w:color w:val="auto"/>
              </w:rPr>
            </w:pPr>
          </w:p>
        </w:tc>
        <w:tc>
          <w:tcPr>
            <w:tcW w:w="2260" w:type="dxa"/>
            <w:vAlign w:val="bottom"/>
            <w:gridSpan w:val="2"/>
          </w:tcPr>
          <w:p>
            <w:pPr>
              <w:jc w:val="center"/>
              <w:ind w:left="277"/>
              <w:spacing w:after="0" w:line="205" w:lineRule="exact"/>
              <w:rPr>
                <w:sz w:val="20"/>
                <w:szCs w:val="20"/>
                <w:color w:val="auto"/>
              </w:rPr>
            </w:pPr>
            <w:r>
              <w:rPr>
                <w:rFonts w:ascii="Calibri" w:cs="Calibri" w:eastAsia="Calibri" w:hAnsi="Calibri"/>
                <w:sz w:val="17"/>
                <w:szCs w:val="17"/>
                <w:b w:val="1"/>
                <w:bCs w:val="1"/>
                <w:color w:val="auto"/>
              </w:rPr>
              <w:t>(S/ thousands, IFRS)</w:t>
            </w: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5"/>
        </w:trPr>
        <w:tc>
          <w:tcPr>
            <w:tcW w:w="4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spacing w:after="0"/>
              <w:rPr>
                <w:sz w:val="20"/>
                <w:szCs w:val="20"/>
                <w:color w:val="auto"/>
              </w:rPr>
            </w:pPr>
          </w:p>
        </w:tc>
      </w:tr>
      <w:tr>
        <w:trPr>
          <w:trHeight w:val="197"/>
        </w:trPr>
        <w:tc>
          <w:tcPr>
            <w:tcW w:w="434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380" w:type="dxa"/>
            <w:vAlign w:val="bottom"/>
            <w:shd w:val="clear" w:color="auto" w:fill="33CCCC"/>
          </w:tcPr>
          <w:p>
            <w:pPr>
              <w:spacing w:after="0"/>
              <w:rPr>
                <w:sz w:val="17"/>
                <w:szCs w:val="17"/>
                <w:color w:val="auto"/>
              </w:rPr>
            </w:pPr>
          </w:p>
        </w:tc>
        <w:tc>
          <w:tcPr>
            <w:tcW w:w="1300" w:type="dxa"/>
            <w:vAlign w:val="bottom"/>
            <w:shd w:val="clear" w:color="auto" w:fill="33CCCC"/>
          </w:tcPr>
          <w:p>
            <w:pPr>
              <w:jc w:val="center"/>
              <w:spacing w:after="0" w:line="197" w:lineRule="exact"/>
              <w:rPr>
                <w:sz w:val="20"/>
                <w:szCs w:val="20"/>
                <w:color w:val="auto"/>
              </w:rPr>
            </w:pPr>
            <w:r>
              <w:rPr>
                <w:rFonts w:ascii="Calibri" w:cs="Calibri" w:eastAsia="Calibri" w:hAnsi="Calibri"/>
                <w:sz w:val="17"/>
                <w:szCs w:val="17"/>
                <w:b w:val="1"/>
                <w:bCs w:val="1"/>
                <w:color w:val="FFFFFF"/>
              </w:rPr>
              <w:t>As of</w:t>
            </w:r>
          </w:p>
        </w:tc>
        <w:tc>
          <w:tcPr>
            <w:tcW w:w="1360" w:type="dxa"/>
            <w:vAlign w:val="bottom"/>
            <w:tcBorders>
              <w:right w:val="single" w:sz="8" w:color="auto"/>
            </w:tcBorders>
            <w:shd w:val="clear" w:color="auto" w:fill="33CCCC"/>
          </w:tcPr>
          <w:p>
            <w:pPr>
              <w:spacing w:after="0"/>
              <w:rPr>
                <w:sz w:val="17"/>
                <w:szCs w:val="17"/>
                <w:color w:val="auto"/>
              </w:rPr>
            </w:pPr>
          </w:p>
        </w:tc>
        <w:tc>
          <w:tcPr>
            <w:tcW w:w="2020" w:type="dxa"/>
            <w:vAlign w:val="bottom"/>
            <w:tcBorders>
              <w:right w:val="single" w:sz="8" w:color="auto"/>
            </w:tcBorders>
            <w:gridSpan w:val="2"/>
            <w:shd w:val="clear" w:color="auto" w:fill="33CCCC"/>
          </w:tcPr>
          <w:p>
            <w:pPr>
              <w:jc w:val="center"/>
              <w:spacing w:after="0" w:line="197" w:lineRule="exact"/>
              <w:rPr>
                <w:sz w:val="20"/>
                <w:szCs w:val="20"/>
                <w:color w:val="auto"/>
              </w:rPr>
            </w:pPr>
            <w:r>
              <w:rPr>
                <w:rFonts w:ascii="Calibri" w:cs="Calibri" w:eastAsia="Calibri" w:hAnsi="Calibri"/>
                <w:sz w:val="17"/>
                <w:szCs w:val="17"/>
                <w:b w:val="1"/>
                <w:bCs w:val="1"/>
                <w:color w:val="FFFFFF"/>
                <w:w w:val="99"/>
              </w:rPr>
              <w:t>% change</w:t>
            </w:r>
          </w:p>
        </w:tc>
      </w:tr>
      <w:tr>
        <w:trPr>
          <w:trHeight w:val="260"/>
        </w:trPr>
        <w:tc>
          <w:tcPr>
            <w:tcW w:w="4340" w:type="dxa"/>
            <w:vAlign w:val="bottom"/>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1380" w:type="dxa"/>
            <w:vAlign w:val="bottom"/>
            <w:tcBorders>
              <w:bottom w:val="single" w:sz="8" w:color="33CCCC"/>
            </w:tcBorders>
            <w:shd w:val="clear" w:color="auto" w:fill="33CCCC"/>
          </w:tcPr>
          <w:p>
            <w:pPr>
              <w:ind w:left="400"/>
              <w:spacing w:after="0"/>
              <w:rPr>
                <w:sz w:val="20"/>
                <w:szCs w:val="20"/>
                <w:color w:val="auto"/>
              </w:rPr>
            </w:pPr>
            <w:r>
              <w:rPr>
                <w:rFonts w:ascii="Calibri" w:cs="Calibri" w:eastAsia="Calibri" w:hAnsi="Calibri"/>
                <w:sz w:val="17"/>
                <w:szCs w:val="17"/>
                <w:b w:val="1"/>
                <w:bCs w:val="1"/>
                <w:color w:val="FFFFFF"/>
              </w:rPr>
              <w:t>Mar 22</w:t>
            </w:r>
          </w:p>
        </w:tc>
        <w:tc>
          <w:tcPr>
            <w:tcW w:w="130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rPr>
              <w:t>Dec 22</w:t>
            </w:r>
          </w:p>
        </w:tc>
        <w:tc>
          <w:tcPr>
            <w:tcW w:w="1360" w:type="dxa"/>
            <w:vAlign w:val="bottom"/>
            <w:tcBorders>
              <w:bottom w:val="single" w:sz="8" w:color="33CCCC"/>
              <w:right w:val="single" w:sz="8" w:color="auto"/>
            </w:tcBorders>
            <w:shd w:val="clear" w:color="auto" w:fill="33CCCC"/>
          </w:tcPr>
          <w:p>
            <w:pPr>
              <w:ind w:left="420"/>
              <w:spacing w:after="0"/>
              <w:rPr>
                <w:sz w:val="20"/>
                <w:szCs w:val="20"/>
                <w:color w:val="auto"/>
              </w:rPr>
            </w:pPr>
            <w:r>
              <w:rPr>
                <w:rFonts w:ascii="Calibri" w:cs="Calibri" w:eastAsia="Calibri" w:hAnsi="Calibri"/>
                <w:sz w:val="17"/>
                <w:szCs w:val="17"/>
                <w:b w:val="1"/>
                <w:bCs w:val="1"/>
                <w:color w:val="FFFFFF"/>
              </w:rPr>
              <w:t>Mar 23</w:t>
            </w:r>
          </w:p>
        </w:tc>
        <w:tc>
          <w:tcPr>
            <w:tcW w:w="98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8"/>
              </w:rPr>
              <w:t>QoQ</w:t>
            </w:r>
          </w:p>
        </w:tc>
        <w:tc>
          <w:tcPr>
            <w:tcW w:w="104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6"/>
              </w:rPr>
              <w:t>YoY</w:t>
            </w:r>
          </w:p>
        </w:tc>
      </w:tr>
      <w:tr>
        <w:trPr>
          <w:trHeight w:val="197"/>
        </w:trPr>
        <w:tc>
          <w:tcPr>
            <w:tcW w:w="4340" w:type="dxa"/>
            <w:vAlign w:val="bottom"/>
            <w:tcBorders>
              <w:top w:val="single" w:sz="8" w:color="auto"/>
              <w:left w:val="single" w:sz="8" w:color="auto"/>
            </w:tcBorders>
          </w:tcPr>
          <w:p>
            <w:pPr>
              <w:ind w:left="40"/>
              <w:spacing w:after="0" w:line="197" w:lineRule="exact"/>
              <w:rPr>
                <w:sz w:val="20"/>
                <w:szCs w:val="20"/>
                <w:color w:val="auto"/>
              </w:rPr>
            </w:pPr>
            <w:r>
              <w:rPr>
                <w:rFonts w:ascii="Calibri" w:cs="Calibri" w:eastAsia="Calibri" w:hAnsi="Calibri"/>
                <w:sz w:val="17"/>
                <w:szCs w:val="17"/>
                <w:b w:val="1"/>
                <w:bCs w:val="1"/>
                <w:color w:val="auto"/>
              </w:rPr>
              <w:t>ASSETS</w:t>
            </w:r>
          </w:p>
        </w:tc>
        <w:tc>
          <w:tcPr>
            <w:tcW w:w="880" w:type="dxa"/>
            <w:vAlign w:val="bottom"/>
            <w:tcBorders>
              <w:top w:val="single" w:sz="8" w:color="auto"/>
              <w:right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360" w:type="dxa"/>
            <w:vAlign w:val="bottom"/>
            <w:tcBorders>
              <w:top w:val="single" w:sz="8" w:color="auto"/>
              <w:right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spacing w:after="0"/>
              <w:rPr>
                <w:sz w:val="17"/>
                <w:szCs w:val="17"/>
                <w:color w:val="auto"/>
              </w:rPr>
            </w:pPr>
          </w:p>
        </w:tc>
      </w:tr>
      <w:tr>
        <w:trPr>
          <w:trHeight w:val="218"/>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Cash and due from banks</w:t>
            </w:r>
          </w:p>
        </w:tc>
        <w:tc>
          <w:tcPr>
            <w:tcW w:w="880" w:type="dxa"/>
            <w:vAlign w:val="bottom"/>
            <w:tcBorders>
              <w:right w:val="single" w:sz="8" w:color="auto"/>
            </w:tcBorders>
          </w:tcPr>
          <w:p>
            <w:pPr>
              <w:spacing w:after="0"/>
              <w:rPr>
                <w:sz w:val="18"/>
                <w:szCs w:val="18"/>
                <w:color w:val="auto"/>
              </w:rPr>
            </w:pPr>
          </w:p>
        </w:tc>
        <w:tc>
          <w:tcPr>
            <w:tcW w:w="1380" w:type="dxa"/>
            <w:vAlign w:val="bottom"/>
          </w:tcPr>
          <w:p>
            <w:pPr>
              <w:jc w:val="center"/>
              <w:spacing w:after="0"/>
              <w:rPr>
                <w:sz w:val="20"/>
                <w:szCs w:val="20"/>
                <w:color w:val="auto"/>
              </w:rPr>
            </w:pPr>
            <w:r>
              <w:rPr>
                <w:rFonts w:ascii="Calibri" w:cs="Calibri" w:eastAsia="Calibri" w:hAnsi="Calibri"/>
                <w:sz w:val="17"/>
                <w:szCs w:val="17"/>
                <w:color w:val="auto"/>
                <w:w w:val="98"/>
              </w:rPr>
              <w:t>2,220,657</w:t>
            </w:r>
          </w:p>
        </w:tc>
        <w:tc>
          <w:tcPr>
            <w:tcW w:w="1300" w:type="dxa"/>
            <w:vAlign w:val="bottom"/>
          </w:tcPr>
          <w:p>
            <w:pPr>
              <w:jc w:val="center"/>
              <w:spacing w:after="0"/>
              <w:rPr>
                <w:sz w:val="20"/>
                <w:szCs w:val="20"/>
                <w:color w:val="auto"/>
              </w:rPr>
            </w:pPr>
            <w:r>
              <w:rPr>
                <w:rFonts w:ascii="Calibri" w:cs="Calibri" w:eastAsia="Calibri" w:hAnsi="Calibri"/>
                <w:sz w:val="17"/>
                <w:szCs w:val="17"/>
                <w:color w:val="auto"/>
                <w:w w:val="98"/>
              </w:rPr>
              <w:t>1,945,704</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1,979,856</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1.8%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-10.8%</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Investments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7"/>
                <w:szCs w:val="17"/>
                <w:color w:val="auto"/>
                <w:w w:val="98"/>
              </w:rPr>
              <w:t>1,598,725</w:t>
            </w:r>
          </w:p>
        </w:tc>
        <w:tc>
          <w:tcPr>
            <w:tcW w:w="1300" w:type="dxa"/>
            <w:vAlign w:val="bottom"/>
          </w:tcPr>
          <w:p>
            <w:pPr>
              <w:jc w:val="center"/>
              <w:spacing w:after="0"/>
              <w:rPr>
                <w:sz w:val="20"/>
                <w:szCs w:val="20"/>
                <w:color w:val="auto"/>
              </w:rPr>
            </w:pPr>
            <w:r>
              <w:rPr>
                <w:rFonts w:ascii="Calibri" w:cs="Calibri" w:eastAsia="Calibri" w:hAnsi="Calibri"/>
                <w:sz w:val="17"/>
                <w:szCs w:val="17"/>
                <w:color w:val="auto"/>
                <w:w w:val="98"/>
              </w:rPr>
              <w:t>1,526,954</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1,668,326</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9.3%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4.4%</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b w:val="1"/>
                <w:bCs w:val="1"/>
                <w:color w:val="auto"/>
              </w:rPr>
              <w:t>Total loans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7"/>
                <w:szCs w:val="17"/>
                <w:b w:val="1"/>
                <w:bCs w:val="1"/>
                <w:color w:val="auto"/>
                <w:w w:val="98"/>
              </w:rPr>
              <w:t>8,890,948</w:t>
            </w:r>
          </w:p>
        </w:tc>
        <w:tc>
          <w:tcPr>
            <w:tcW w:w="1300" w:type="dxa"/>
            <w:vAlign w:val="bottom"/>
          </w:tcPr>
          <w:p>
            <w:pPr>
              <w:jc w:val="center"/>
              <w:spacing w:after="0"/>
              <w:rPr>
                <w:sz w:val="20"/>
                <w:szCs w:val="20"/>
                <w:color w:val="auto"/>
              </w:rPr>
            </w:pPr>
            <w:r>
              <w:rPr>
                <w:rFonts w:ascii="Calibri" w:cs="Calibri" w:eastAsia="Calibri" w:hAnsi="Calibri"/>
                <w:sz w:val="17"/>
                <w:szCs w:val="17"/>
                <w:b w:val="1"/>
                <w:bCs w:val="1"/>
                <w:color w:val="auto"/>
                <w:w w:val="98"/>
              </w:rPr>
              <w:t>9,253,908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9,362,120</w:t>
            </w:r>
          </w:p>
        </w:tc>
        <w:tc>
          <w:tcPr>
            <w:tcW w:w="98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1.2%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5.3%</w:t>
            </w:r>
          </w:p>
        </w:tc>
      </w:tr>
      <w:tr>
        <w:trPr>
          <w:trHeight w:val="227"/>
        </w:trPr>
        <w:tc>
          <w:tcPr>
            <w:tcW w:w="4340" w:type="dxa"/>
            <w:vAlign w:val="bottom"/>
            <w:tcBorders>
              <w:left w:val="single" w:sz="8" w:color="auto"/>
            </w:tcBorders>
          </w:tcPr>
          <w:p>
            <w:pPr>
              <w:ind w:left="160"/>
              <w:spacing w:after="0"/>
              <w:rPr>
                <w:sz w:val="20"/>
                <w:szCs w:val="20"/>
                <w:color w:val="auto"/>
              </w:rPr>
            </w:pPr>
            <w:r>
              <w:rPr>
                <w:rFonts w:ascii="Calibri" w:cs="Calibri" w:eastAsia="Calibri" w:hAnsi="Calibri"/>
                <w:sz w:val="17"/>
                <w:szCs w:val="17"/>
                <w:color w:val="auto"/>
              </w:rPr>
              <w:t>Current</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7"/>
                <w:szCs w:val="17"/>
                <w:color w:val="auto"/>
                <w:w w:val="98"/>
              </w:rPr>
              <w:t>8,688,239</w:t>
            </w:r>
          </w:p>
        </w:tc>
        <w:tc>
          <w:tcPr>
            <w:tcW w:w="1300" w:type="dxa"/>
            <w:vAlign w:val="bottom"/>
          </w:tcPr>
          <w:p>
            <w:pPr>
              <w:jc w:val="center"/>
              <w:spacing w:after="0"/>
              <w:rPr>
                <w:sz w:val="20"/>
                <w:szCs w:val="20"/>
                <w:color w:val="auto"/>
              </w:rPr>
            </w:pPr>
            <w:r>
              <w:rPr>
                <w:rFonts w:ascii="Calibri" w:cs="Calibri" w:eastAsia="Calibri" w:hAnsi="Calibri"/>
                <w:sz w:val="17"/>
                <w:szCs w:val="17"/>
                <w:color w:val="auto"/>
                <w:w w:val="98"/>
              </w:rPr>
              <w:t>8,997,604</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9,108,055</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1.2%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4.8%</w:t>
            </w:r>
          </w:p>
        </w:tc>
      </w:tr>
      <w:tr>
        <w:trPr>
          <w:trHeight w:val="227"/>
        </w:trPr>
        <w:tc>
          <w:tcPr>
            <w:tcW w:w="4340" w:type="dxa"/>
            <w:vAlign w:val="bottom"/>
            <w:tcBorders>
              <w:left w:val="single" w:sz="8" w:color="auto"/>
            </w:tcBorders>
          </w:tcPr>
          <w:p>
            <w:pPr>
              <w:ind w:left="160"/>
              <w:spacing w:after="0"/>
              <w:rPr>
                <w:sz w:val="20"/>
                <w:szCs w:val="20"/>
                <w:color w:val="auto"/>
              </w:rPr>
            </w:pPr>
            <w:r>
              <w:rPr>
                <w:rFonts w:ascii="Calibri" w:cs="Calibri" w:eastAsia="Calibri" w:hAnsi="Calibri"/>
                <w:sz w:val="17"/>
                <w:szCs w:val="17"/>
                <w:color w:val="auto"/>
              </w:rPr>
              <w:t>Internal overdue loans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7"/>
                <w:szCs w:val="17"/>
                <w:color w:val="auto"/>
                <w:w w:val="99"/>
              </w:rPr>
              <w:t>170,937</w:t>
            </w:r>
          </w:p>
        </w:tc>
        <w:tc>
          <w:tcPr>
            <w:tcW w:w="1300" w:type="dxa"/>
            <w:vAlign w:val="bottom"/>
          </w:tcPr>
          <w:p>
            <w:pPr>
              <w:jc w:val="center"/>
              <w:spacing w:after="0"/>
              <w:rPr>
                <w:sz w:val="20"/>
                <w:szCs w:val="20"/>
                <w:color w:val="auto"/>
              </w:rPr>
            </w:pPr>
            <w:r>
              <w:rPr>
                <w:rFonts w:ascii="Calibri" w:cs="Calibri" w:eastAsia="Calibri" w:hAnsi="Calibri"/>
                <w:sz w:val="17"/>
                <w:szCs w:val="17"/>
                <w:color w:val="auto"/>
                <w:w w:val="99"/>
              </w:rPr>
              <w:t>231,247</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228,195</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7"/>
              </w:rPr>
              <w:t>-1.3%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33.5%</w:t>
            </w:r>
          </w:p>
        </w:tc>
      </w:tr>
      <w:tr>
        <w:trPr>
          <w:trHeight w:val="227"/>
        </w:trPr>
        <w:tc>
          <w:tcPr>
            <w:tcW w:w="4340" w:type="dxa"/>
            <w:vAlign w:val="bottom"/>
            <w:tcBorders>
              <w:left w:val="single" w:sz="8" w:color="auto"/>
            </w:tcBorders>
          </w:tcPr>
          <w:p>
            <w:pPr>
              <w:ind w:left="160"/>
              <w:spacing w:after="0"/>
              <w:rPr>
                <w:sz w:val="20"/>
                <w:szCs w:val="20"/>
                <w:color w:val="auto"/>
              </w:rPr>
            </w:pPr>
            <w:r>
              <w:rPr>
                <w:rFonts w:ascii="Calibri" w:cs="Calibri" w:eastAsia="Calibri" w:hAnsi="Calibri"/>
                <w:sz w:val="17"/>
                <w:szCs w:val="17"/>
                <w:color w:val="auto"/>
              </w:rPr>
              <w:t>Refnanced</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7"/>
                <w:szCs w:val="17"/>
                <w:color w:val="auto"/>
              </w:rPr>
              <w:t>31,772</w:t>
            </w:r>
          </w:p>
        </w:tc>
        <w:tc>
          <w:tcPr>
            <w:tcW w:w="1300" w:type="dxa"/>
            <w:vAlign w:val="bottom"/>
          </w:tcPr>
          <w:p>
            <w:pPr>
              <w:jc w:val="center"/>
              <w:spacing w:after="0"/>
              <w:rPr>
                <w:sz w:val="20"/>
                <w:szCs w:val="20"/>
                <w:color w:val="auto"/>
              </w:rPr>
            </w:pPr>
            <w:r>
              <w:rPr>
                <w:rFonts w:ascii="Calibri" w:cs="Calibri" w:eastAsia="Calibri" w:hAnsi="Calibri"/>
                <w:sz w:val="17"/>
                <w:szCs w:val="17"/>
                <w:color w:val="auto"/>
              </w:rPr>
              <w:t>25,057</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25,869</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3.2%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-18.6%</w:t>
            </w:r>
          </w:p>
        </w:tc>
      </w:tr>
      <w:tr>
        <w:trPr>
          <w:trHeight w:val="227"/>
        </w:trPr>
        <w:tc>
          <w:tcPr>
            <w:tcW w:w="4340" w:type="dxa"/>
            <w:vAlign w:val="bottom"/>
            <w:tcBorders>
              <w:left w:val="single" w:sz="8" w:color="auto"/>
            </w:tcBorders>
          </w:tcPr>
          <w:p>
            <w:pPr>
              <w:ind w:left="160"/>
              <w:spacing w:after="0"/>
              <w:rPr>
                <w:sz w:val="20"/>
                <w:szCs w:val="20"/>
                <w:color w:val="auto"/>
              </w:rPr>
            </w:pPr>
            <w:r>
              <w:rPr>
                <w:rFonts w:ascii="Calibri" w:cs="Calibri" w:eastAsia="Calibri" w:hAnsi="Calibri"/>
                <w:sz w:val="17"/>
                <w:szCs w:val="17"/>
                <w:color w:val="auto"/>
              </w:rPr>
              <w:t>Allowance for loan losses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ind w:right="1"/>
              <w:spacing w:after="0"/>
              <w:rPr>
                <w:sz w:val="20"/>
                <w:szCs w:val="20"/>
                <w:color w:val="auto"/>
              </w:rPr>
            </w:pPr>
            <w:r>
              <w:rPr>
                <w:rFonts w:ascii="Calibri" w:cs="Calibri" w:eastAsia="Calibri" w:hAnsi="Calibri"/>
                <w:sz w:val="17"/>
                <w:szCs w:val="17"/>
                <w:color w:val="auto"/>
                <w:w w:val="99"/>
              </w:rPr>
              <w:t>(404,078)</w:t>
            </w:r>
          </w:p>
        </w:tc>
        <w:tc>
          <w:tcPr>
            <w:tcW w:w="1300" w:type="dxa"/>
            <w:vAlign w:val="bottom"/>
          </w:tcPr>
          <w:p>
            <w:pPr>
              <w:jc w:val="center"/>
              <w:spacing w:after="0"/>
              <w:rPr>
                <w:sz w:val="20"/>
                <w:szCs w:val="20"/>
                <w:color w:val="auto"/>
              </w:rPr>
            </w:pPr>
            <w:r>
              <w:rPr>
                <w:rFonts w:ascii="Calibri" w:cs="Calibri" w:eastAsia="Calibri" w:hAnsi="Calibri"/>
                <w:sz w:val="17"/>
                <w:szCs w:val="17"/>
                <w:color w:val="auto"/>
              </w:rPr>
              <w:t>(397,602)</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(392,762)</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7"/>
              </w:rPr>
              <w:t>-1.2%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-2.8%</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b w:val="1"/>
                <w:bCs w:val="1"/>
                <w:color w:val="auto"/>
              </w:rPr>
              <w:t>Net loans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7"/>
                <w:szCs w:val="17"/>
                <w:b w:val="1"/>
                <w:bCs w:val="1"/>
                <w:color w:val="auto"/>
                <w:w w:val="98"/>
              </w:rPr>
              <w:t>8,486,870</w:t>
            </w:r>
          </w:p>
        </w:tc>
        <w:tc>
          <w:tcPr>
            <w:tcW w:w="1300" w:type="dxa"/>
            <w:vAlign w:val="bottom"/>
          </w:tcPr>
          <w:p>
            <w:pPr>
              <w:jc w:val="center"/>
              <w:spacing w:after="0"/>
              <w:rPr>
                <w:sz w:val="20"/>
                <w:szCs w:val="20"/>
                <w:color w:val="auto"/>
              </w:rPr>
            </w:pPr>
            <w:r>
              <w:rPr>
                <w:rFonts w:ascii="Calibri" w:cs="Calibri" w:eastAsia="Calibri" w:hAnsi="Calibri"/>
                <w:sz w:val="17"/>
                <w:szCs w:val="17"/>
                <w:b w:val="1"/>
                <w:bCs w:val="1"/>
                <w:color w:val="auto"/>
                <w:w w:val="98"/>
              </w:rPr>
              <w:t>8,856,305</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8,969,357</w:t>
            </w:r>
          </w:p>
        </w:tc>
        <w:tc>
          <w:tcPr>
            <w:tcW w:w="98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1.3%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5.7%</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Property, plant and equipment, net</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7"/>
                <w:szCs w:val="17"/>
                <w:color w:val="auto"/>
              </w:rPr>
              <w:t>62,645</w:t>
            </w:r>
          </w:p>
        </w:tc>
        <w:tc>
          <w:tcPr>
            <w:tcW w:w="1300" w:type="dxa"/>
            <w:vAlign w:val="bottom"/>
          </w:tcPr>
          <w:p>
            <w:pPr>
              <w:jc w:val="center"/>
              <w:spacing w:after="0"/>
              <w:rPr>
                <w:sz w:val="20"/>
                <w:szCs w:val="20"/>
                <w:color w:val="auto"/>
              </w:rPr>
            </w:pPr>
            <w:r>
              <w:rPr>
                <w:rFonts w:ascii="Calibri" w:cs="Calibri" w:eastAsia="Calibri" w:hAnsi="Calibri"/>
                <w:sz w:val="17"/>
                <w:szCs w:val="17"/>
                <w:color w:val="auto"/>
              </w:rPr>
              <w:t>63,957</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63,692</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7"/>
              </w:rPr>
              <w:t>-0.4%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1.7%</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Other assets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7"/>
                <w:szCs w:val="17"/>
                <w:color w:val="auto"/>
                <w:w w:val="99"/>
              </w:rPr>
              <w:t>368,350</w:t>
            </w:r>
          </w:p>
        </w:tc>
        <w:tc>
          <w:tcPr>
            <w:tcW w:w="1300" w:type="dxa"/>
            <w:vAlign w:val="bottom"/>
          </w:tcPr>
          <w:p>
            <w:pPr>
              <w:jc w:val="center"/>
              <w:spacing w:after="0"/>
              <w:rPr>
                <w:sz w:val="20"/>
                <w:szCs w:val="20"/>
                <w:color w:val="auto"/>
              </w:rPr>
            </w:pPr>
            <w:r>
              <w:rPr>
                <w:rFonts w:ascii="Calibri" w:cs="Calibri" w:eastAsia="Calibri" w:hAnsi="Calibri"/>
                <w:sz w:val="17"/>
                <w:szCs w:val="17"/>
                <w:color w:val="auto"/>
                <w:w w:val="99"/>
              </w:rPr>
              <w:t>304,873</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290,842</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7"/>
              </w:rPr>
              <w:t>-4.6%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-21.0%</w:t>
            </w:r>
          </w:p>
        </w:tc>
      </w:tr>
      <w:tr>
        <w:trPr>
          <w:trHeight w:val="227"/>
        </w:trPr>
        <w:tc>
          <w:tcPr>
            <w:tcW w:w="4340" w:type="dxa"/>
            <w:vAlign w:val="bottom"/>
            <w:tcBorders>
              <w:left w:val="single" w:sz="8" w:color="auto"/>
            </w:tcBorders>
          </w:tcPr>
          <w:p>
            <w:pPr>
              <w:ind w:left="2200"/>
              <w:spacing w:after="0"/>
              <w:rPr>
                <w:sz w:val="20"/>
                <w:szCs w:val="20"/>
                <w:color w:val="auto"/>
              </w:rPr>
            </w:pPr>
            <w:r>
              <w:rPr>
                <w:rFonts w:ascii="Calibri" w:cs="Calibri" w:eastAsia="Calibri" w:hAnsi="Calibri"/>
                <w:sz w:val="17"/>
                <w:szCs w:val="17"/>
                <w:b w:val="1"/>
                <w:bCs w:val="1"/>
                <w:color w:val="auto"/>
              </w:rPr>
              <w:t>Total assets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ind w:right="1"/>
              <w:spacing w:after="0"/>
              <w:rPr>
                <w:sz w:val="20"/>
                <w:szCs w:val="20"/>
                <w:color w:val="auto"/>
              </w:rPr>
            </w:pPr>
            <w:r>
              <w:rPr>
                <w:rFonts w:ascii="Calibri" w:cs="Calibri" w:eastAsia="Calibri" w:hAnsi="Calibri"/>
                <w:sz w:val="17"/>
                <w:szCs w:val="17"/>
                <w:b w:val="1"/>
                <w:bCs w:val="1"/>
                <w:color w:val="auto"/>
              </w:rPr>
              <w:t>12,737,246</w:t>
            </w:r>
          </w:p>
        </w:tc>
        <w:tc>
          <w:tcPr>
            <w:tcW w:w="1300" w:type="dxa"/>
            <w:vAlign w:val="bottom"/>
          </w:tcPr>
          <w:p>
            <w:pPr>
              <w:jc w:val="center"/>
              <w:spacing w:after="0"/>
              <w:rPr>
                <w:sz w:val="20"/>
                <w:szCs w:val="20"/>
                <w:color w:val="auto"/>
              </w:rPr>
            </w:pPr>
            <w:r>
              <w:rPr>
                <w:rFonts w:ascii="Calibri" w:cs="Calibri" w:eastAsia="Calibri" w:hAnsi="Calibri"/>
                <w:sz w:val="17"/>
                <w:szCs w:val="17"/>
                <w:b w:val="1"/>
                <w:bCs w:val="1"/>
                <w:color w:val="auto"/>
                <w:w w:val="97"/>
              </w:rPr>
              <w:t>12,697,793</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12,972,073</w:t>
            </w:r>
          </w:p>
        </w:tc>
        <w:tc>
          <w:tcPr>
            <w:tcW w:w="98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2.2%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1.8%</w:t>
            </w:r>
          </w:p>
        </w:tc>
      </w:tr>
      <w:tr>
        <w:trPr>
          <w:trHeight w:val="408"/>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b w:val="1"/>
                <w:bCs w:val="1"/>
                <w:color w:val="auto"/>
              </w:rPr>
              <w:t>LIABILITIES AND NET SHAREHOLDERS’ EQUITY</w:t>
            </w:r>
          </w:p>
        </w:tc>
        <w:tc>
          <w:tcPr>
            <w:tcW w:w="88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Deposits and obligatons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ind w:right="1"/>
              <w:spacing w:after="0"/>
              <w:rPr>
                <w:sz w:val="20"/>
                <w:szCs w:val="20"/>
                <w:color w:val="auto"/>
              </w:rPr>
            </w:pPr>
            <w:r>
              <w:rPr>
                <w:rFonts w:ascii="Calibri" w:cs="Calibri" w:eastAsia="Calibri" w:hAnsi="Calibri"/>
                <w:sz w:val="17"/>
                <w:szCs w:val="17"/>
                <w:color w:val="auto"/>
              </w:rPr>
              <w:t>10,678,175</w:t>
            </w:r>
          </w:p>
        </w:tc>
        <w:tc>
          <w:tcPr>
            <w:tcW w:w="1300" w:type="dxa"/>
            <w:vAlign w:val="bottom"/>
          </w:tcPr>
          <w:p>
            <w:pPr>
              <w:jc w:val="center"/>
              <w:spacing w:after="0"/>
              <w:rPr>
                <w:sz w:val="20"/>
                <w:szCs w:val="20"/>
                <w:color w:val="auto"/>
              </w:rPr>
            </w:pPr>
            <w:r>
              <w:rPr>
                <w:rFonts w:ascii="Calibri" w:cs="Calibri" w:eastAsia="Calibri" w:hAnsi="Calibri"/>
                <w:sz w:val="17"/>
                <w:szCs w:val="17"/>
                <w:color w:val="auto"/>
                <w:w w:val="98"/>
              </w:rPr>
              <w:t>10,985,892</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10,836,041</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7"/>
              </w:rPr>
              <w:t>-1.4%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1.5%</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Due to banks and correspondents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7"/>
                <w:szCs w:val="17"/>
                <w:color w:val="auto"/>
              </w:rPr>
              <w:t>89,938</w:t>
            </w:r>
          </w:p>
        </w:tc>
        <w:tc>
          <w:tcPr>
            <w:tcW w:w="1300" w:type="dxa"/>
            <w:vAlign w:val="bottom"/>
          </w:tcPr>
          <w:p>
            <w:pPr>
              <w:jc w:val="center"/>
              <w:spacing w:after="0"/>
              <w:rPr>
                <w:sz w:val="20"/>
                <w:szCs w:val="20"/>
                <w:color w:val="auto"/>
              </w:rPr>
            </w:pPr>
            <w:r>
              <w:rPr>
                <w:rFonts w:ascii="Calibri" w:cs="Calibri" w:eastAsia="Calibri" w:hAnsi="Calibri"/>
                <w:sz w:val="17"/>
                <w:szCs w:val="17"/>
                <w:color w:val="auto"/>
              </w:rPr>
              <w:t>77,909</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81,653</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4.8%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-9.2%</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Bonds and subordinated debt</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7"/>
                <w:szCs w:val="17"/>
                <w:color w:val="auto"/>
                <w:w w:val="99"/>
              </w:rPr>
              <w:t>171,787</w:t>
            </w:r>
          </w:p>
        </w:tc>
        <w:tc>
          <w:tcPr>
            <w:tcW w:w="1300" w:type="dxa"/>
            <w:vAlign w:val="bottom"/>
          </w:tcPr>
          <w:p>
            <w:pPr>
              <w:jc w:val="center"/>
              <w:spacing w:after="0"/>
              <w:rPr>
                <w:sz w:val="20"/>
                <w:szCs w:val="20"/>
                <w:color w:val="auto"/>
              </w:rPr>
            </w:pPr>
            <w:r>
              <w:rPr>
                <w:rFonts w:ascii="Calibri" w:cs="Calibri" w:eastAsia="Calibri" w:hAnsi="Calibri"/>
                <w:sz w:val="17"/>
                <w:szCs w:val="17"/>
                <w:color w:val="auto"/>
              </w:rPr>
              <w:t>99,065</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94,607</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7"/>
              </w:rPr>
              <w:t>-4.5%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-44.9%</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Other liabilites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7"/>
                <w:szCs w:val="17"/>
                <w:color w:val="auto"/>
                <w:w w:val="98"/>
              </w:rPr>
              <w:t>1,007,946</w:t>
            </w:r>
          </w:p>
        </w:tc>
        <w:tc>
          <w:tcPr>
            <w:tcW w:w="1300" w:type="dxa"/>
            <w:vAlign w:val="bottom"/>
          </w:tcPr>
          <w:p>
            <w:pPr>
              <w:jc w:val="center"/>
              <w:spacing w:after="0"/>
              <w:rPr>
                <w:sz w:val="20"/>
                <w:szCs w:val="20"/>
                <w:color w:val="auto"/>
              </w:rPr>
            </w:pPr>
            <w:r>
              <w:rPr>
                <w:rFonts w:ascii="Calibri" w:cs="Calibri" w:eastAsia="Calibri" w:hAnsi="Calibri"/>
                <w:sz w:val="17"/>
                <w:szCs w:val="17"/>
                <w:color w:val="auto"/>
                <w:w w:val="99"/>
              </w:rPr>
              <w:t>675,099</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1,109,657</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9"/>
              </w:rPr>
              <w:t>64.4%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10.1%</w:t>
            </w:r>
          </w:p>
        </w:tc>
      </w:tr>
      <w:tr>
        <w:trPr>
          <w:trHeight w:val="227"/>
        </w:trPr>
        <w:tc>
          <w:tcPr>
            <w:tcW w:w="4340" w:type="dxa"/>
            <w:vAlign w:val="bottom"/>
            <w:tcBorders>
              <w:left w:val="single" w:sz="8" w:color="auto"/>
            </w:tcBorders>
          </w:tcPr>
          <w:p>
            <w:pPr>
              <w:ind w:left="2100"/>
              <w:spacing w:after="0"/>
              <w:rPr>
                <w:sz w:val="20"/>
                <w:szCs w:val="20"/>
                <w:color w:val="auto"/>
              </w:rPr>
            </w:pPr>
            <w:r>
              <w:rPr>
                <w:rFonts w:ascii="Calibri" w:cs="Calibri" w:eastAsia="Calibri" w:hAnsi="Calibri"/>
                <w:sz w:val="17"/>
                <w:szCs w:val="17"/>
                <w:b w:val="1"/>
                <w:bCs w:val="1"/>
                <w:color w:val="auto"/>
              </w:rPr>
              <w:t>Total liabilites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ind w:right="1"/>
              <w:spacing w:after="0"/>
              <w:rPr>
                <w:sz w:val="20"/>
                <w:szCs w:val="20"/>
                <w:color w:val="auto"/>
              </w:rPr>
            </w:pPr>
            <w:r>
              <w:rPr>
                <w:rFonts w:ascii="Calibri" w:cs="Calibri" w:eastAsia="Calibri" w:hAnsi="Calibri"/>
                <w:sz w:val="17"/>
                <w:szCs w:val="17"/>
                <w:b w:val="1"/>
                <w:bCs w:val="1"/>
                <w:color w:val="auto"/>
              </w:rPr>
              <w:t>11,947,847</w:t>
            </w:r>
          </w:p>
        </w:tc>
        <w:tc>
          <w:tcPr>
            <w:tcW w:w="1300" w:type="dxa"/>
            <w:vAlign w:val="bottom"/>
          </w:tcPr>
          <w:p>
            <w:pPr>
              <w:jc w:val="center"/>
              <w:spacing w:after="0"/>
              <w:rPr>
                <w:sz w:val="20"/>
                <w:szCs w:val="20"/>
                <w:color w:val="auto"/>
              </w:rPr>
            </w:pPr>
            <w:r>
              <w:rPr>
                <w:rFonts w:ascii="Calibri" w:cs="Calibri" w:eastAsia="Calibri" w:hAnsi="Calibri"/>
                <w:sz w:val="17"/>
                <w:szCs w:val="17"/>
                <w:b w:val="1"/>
                <w:bCs w:val="1"/>
                <w:color w:val="auto"/>
                <w:w w:val="97"/>
              </w:rPr>
              <w:t>11,837,965</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12,121,958</w:t>
            </w:r>
          </w:p>
        </w:tc>
        <w:tc>
          <w:tcPr>
            <w:tcW w:w="98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2.4%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1.5%</w:t>
            </w:r>
          </w:p>
        </w:tc>
      </w:tr>
      <w:tr>
        <w:trPr>
          <w:trHeight w:val="408"/>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b w:val="1"/>
                <w:bCs w:val="1"/>
                <w:color w:val="auto"/>
              </w:rPr>
              <w:t>Net equity</w:t>
            </w:r>
          </w:p>
        </w:tc>
        <w:tc>
          <w:tcPr>
            <w:tcW w:w="880" w:type="dxa"/>
            <w:vAlign w:val="bottom"/>
            <w:tcBorders>
              <w:right w:val="single" w:sz="8" w:color="auto"/>
            </w:tcBorders>
          </w:tcPr>
          <w:p>
            <w:pPr>
              <w:spacing w:after="0"/>
              <w:rPr>
                <w:sz w:val="24"/>
                <w:szCs w:val="24"/>
                <w:color w:val="auto"/>
              </w:rPr>
            </w:pPr>
          </w:p>
        </w:tc>
        <w:tc>
          <w:tcPr>
            <w:tcW w:w="138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789,399</w:t>
            </w:r>
          </w:p>
        </w:tc>
        <w:tc>
          <w:tcPr>
            <w:tcW w:w="130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859,828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850,115</w:t>
            </w:r>
          </w:p>
        </w:tc>
        <w:tc>
          <w:tcPr>
            <w:tcW w:w="980" w:type="dxa"/>
            <w:vAlign w:val="bottom"/>
          </w:tcPr>
          <w:p>
            <w:pPr>
              <w:jc w:val="center"/>
              <w:spacing w:after="0"/>
              <w:rPr>
                <w:sz w:val="20"/>
                <w:szCs w:val="20"/>
                <w:color w:val="auto"/>
              </w:rPr>
            </w:pPr>
            <w:r>
              <w:rPr>
                <w:rFonts w:ascii="Calibri" w:cs="Calibri" w:eastAsia="Calibri" w:hAnsi="Calibri"/>
                <w:sz w:val="17"/>
                <w:szCs w:val="17"/>
                <w:b w:val="1"/>
                <w:bCs w:val="1"/>
                <w:color w:val="auto"/>
              </w:rPr>
              <w:t>-1.1%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7.7%</w:t>
            </w:r>
          </w:p>
        </w:tc>
      </w:tr>
      <w:tr>
        <w:trPr>
          <w:trHeight w:val="408"/>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b w:val="1"/>
                <w:bCs w:val="1"/>
                <w:color w:val="auto"/>
              </w:rPr>
              <w:t>TOTAL LIABILITIES AND NET SHAREHOLDERS’ EQUITY</w:t>
            </w:r>
          </w:p>
        </w:tc>
        <w:tc>
          <w:tcPr>
            <w:tcW w:w="880" w:type="dxa"/>
            <w:vAlign w:val="bottom"/>
            <w:tcBorders>
              <w:right w:val="single" w:sz="8" w:color="auto"/>
            </w:tcBorders>
          </w:tcPr>
          <w:p>
            <w:pPr>
              <w:spacing w:after="0"/>
              <w:rPr>
                <w:sz w:val="24"/>
                <w:szCs w:val="24"/>
                <w:color w:val="auto"/>
              </w:rPr>
            </w:pPr>
          </w:p>
        </w:tc>
        <w:tc>
          <w:tcPr>
            <w:tcW w:w="1380" w:type="dxa"/>
            <w:vAlign w:val="bottom"/>
          </w:tcPr>
          <w:p>
            <w:pPr>
              <w:jc w:val="center"/>
              <w:ind w:right="1"/>
              <w:spacing w:after="0"/>
              <w:rPr>
                <w:sz w:val="20"/>
                <w:szCs w:val="20"/>
                <w:color w:val="auto"/>
              </w:rPr>
            </w:pPr>
            <w:r>
              <w:rPr>
                <w:rFonts w:ascii="Calibri" w:cs="Calibri" w:eastAsia="Calibri" w:hAnsi="Calibri"/>
                <w:sz w:val="17"/>
                <w:szCs w:val="17"/>
                <w:b w:val="1"/>
                <w:bCs w:val="1"/>
                <w:color w:val="auto"/>
              </w:rPr>
              <w:t>12,737,246</w:t>
            </w:r>
          </w:p>
        </w:tc>
        <w:tc>
          <w:tcPr>
            <w:tcW w:w="1300" w:type="dxa"/>
            <w:vAlign w:val="bottom"/>
          </w:tcPr>
          <w:p>
            <w:pPr>
              <w:jc w:val="center"/>
              <w:spacing w:after="0"/>
              <w:rPr>
                <w:sz w:val="20"/>
                <w:szCs w:val="20"/>
                <w:color w:val="auto"/>
              </w:rPr>
            </w:pPr>
            <w:r>
              <w:rPr>
                <w:rFonts w:ascii="Calibri" w:cs="Calibri" w:eastAsia="Calibri" w:hAnsi="Calibri"/>
                <w:sz w:val="17"/>
                <w:szCs w:val="17"/>
                <w:b w:val="1"/>
                <w:bCs w:val="1"/>
                <w:color w:val="auto"/>
                <w:w w:val="97"/>
              </w:rPr>
              <w:t>12,697,793</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12,972,073</w:t>
            </w:r>
          </w:p>
        </w:tc>
        <w:tc>
          <w:tcPr>
            <w:tcW w:w="98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2.2%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1.8%</w:t>
            </w:r>
          </w:p>
        </w:tc>
      </w:tr>
      <w:tr>
        <w:trPr>
          <w:trHeight w:val="42"/>
        </w:trPr>
        <w:tc>
          <w:tcPr>
            <w:tcW w:w="4340" w:type="dxa"/>
            <w:vAlign w:val="bottom"/>
            <w:tcBorders>
              <w:left w:val="single" w:sz="8" w:color="auto"/>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gridSpan w:val="2"/>
          </w:tcPr>
          <w:p>
            <w:pPr>
              <w:spacing w:after="0"/>
              <w:rPr>
                <w:sz w:val="3"/>
                <w:szCs w:val="3"/>
                <w:color w:val="auto"/>
              </w:rPr>
            </w:pPr>
          </w:p>
        </w:tc>
      </w:tr>
      <w:tr>
        <w:trPr>
          <w:trHeight w:val="184"/>
        </w:trPr>
        <w:tc>
          <w:tcPr>
            <w:tcW w:w="4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79"/>
        </w:trPr>
        <w:tc>
          <w:tcPr>
            <w:tcW w:w="43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380" w:type="dxa"/>
            <w:vAlign w:val="bottom"/>
            <w:shd w:val="clear" w:color="auto" w:fill="33CCCC"/>
          </w:tcPr>
          <w:p>
            <w:pPr>
              <w:spacing w:after="0"/>
              <w:rPr>
                <w:sz w:val="15"/>
                <w:szCs w:val="15"/>
                <w:color w:val="auto"/>
              </w:rPr>
            </w:pPr>
          </w:p>
        </w:tc>
        <w:tc>
          <w:tcPr>
            <w:tcW w:w="1300" w:type="dxa"/>
            <w:vAlign w:val="bottom"/>
            <w:shd w:val="clear" w:color="auto" w:fill="33CCCC"/>
          </w:tcPr>
          <w:p>
            <w:pPr>
              <w:jc w:val="center"/>
              <w:spacing w:after="0" w:line="180" w:lineRule="exact"/>
              <w:rPr>
                <w:sz w:val="20"/>
                <w:szCs w:val="20"/>
                <w:color w:val="auto"/>
              </w:rPr>
            </w:pPr>
            <w:r>
              <w:rPr>
                <w:rFonts w:ascii="Calibri" w:cs="Calibri" w:eastAsia="Calibri" w:hAnsi="Calibri"/>
                <w:sz w:val="15"/>
                <w:szCs w:val="15"/>
                <w:b w:val="1"/>
                <w:bCs w:val="1"/>
                <w:color w:val="FFFFFF"/>
                <w:w w:val="97"/>
              </w:rPr>
              <w:t>Quarter</w:t>
            </w:r>
          </w:p>
        </w:tc>
        <w:tc>
          <w:tcPr>
            <w:tcW w:w="1360" w:type="dxa"/>
            <w:vAlign w:val="bottom"/>
            <w:tcBorders>
              <w:right w:val="single" w:sz="8" w:color="auto"/>
            </w:tcBorders>
            <w:shd w:val="clear" w:color="auto" w:fill="33CCCC"/>
          </w:tcPr>
          <w:p>
            <w:pPr>
              <w:spacing w:after="0"/>
              <w:rPr>
                <w:sz w:val="15"/>
                <w:szCs w:val="15"/>
                <w:color w:val="auto"/>
              </w:rPr>
            </w:pPr>
          </w:p>
        </w:tc>
        <w:tc>
          <w:tcPr>
            <w:tcW w:w="2020" w:type="dxa"/>
            <w:vAlign w:val="bottom"/>
            <w:tcBorders>
              <w:right w:val="single" w:sz="8" w:color="auto"/>
            </w:tcBorders>
            <w:gridSpan w:val="2"/>
            <w:shd w:val="clear" w:color="auto" w:fill="33CCCC"/>
          </w:tcPr>
          <w:p>
            <w:pPr>
              <w:jc w:val="center"/>
              <w:spacing w:after="0" w:line="180" w:lineRule="exact"/>
              <w:rPr>
                <w:sz w:val="20"/>
                <w:szCs w:val="20"/>
                <w:color w:val="auto"/>
              </w:rPr>
            </w:pPr>
            <w:r>
              <w:rPr>
                <w:rFonts w:ascii="Calibri" w:cs="Calibri" w:eastAsia="Calibri" w:hAnsi="Calibri"/>
                <w:sz w:val="15"/>
                <w:szCs w:val="15"/>
                <w:b w:val="1"/>
                <w:bCs w:val="1"/>
                <w:color w:val="FFFFFF"/>
                <w:w w:val="98"/>
              </w:rPr>
              <w:t>% change</w:t>
            </w:r>
          </w:p>
        </w:tc>
      </w:tr>
      <w:tr>
        <w:trPr>
          <w:trHeight w:val="232"/>
        </w:trPr>
        <w:tc>
          <w:tcPr>
            <w:tcW w:w="43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38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6"/>
              </w:rPr>
              <w:t>1Q22</w:t>
            </w:r>
          </w:p>
        </w:tc>
        <w:tc>
          <w:tcPr>
            <w:tcW w:w="130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6"/>
              </w:rPr>
              <w:t>4Q22</w:t>
            </w:r>
          </w:p>
        </w:tc>
        <w:tc>
          <w:tcPr>
            <w:tcW w:w="136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rPr>
              <w:t>1Q23</w:t>
            </w:r>
          </w:p>
        </w:tc>
        <w:tc>
          <w:tcPr>
            <w:tcW w:w="98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7"/>
              </w:rPr>
              <w:t>QoQ</w:t>
            </w:r>
          </w:p>
        </w:tc>
        <w:tc>
          <w:tcPr>
            <w:tcW w:w="104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2"/>
              </w:rPr>
              <w:t>YoY</w:t>
            </w:r>
          </w:p>
        </w:tc>
      </w:tr>
      <w:tr>
        <w:trPr>
          <w:trHeight w:val="197"/>
        </w:trPr>
        <w:tc>
          <w:tcPr>
            <w:tcW w:w="4340" w:type="dxa"/>
            <w:vAlign w:val="bottom"/>
            <w:tcBorders>
              <w:top w:val="single" w:sz="8" w:color="auto"/>
              <w:left w:val="single" w:sz="8" w:color="auto"/>
            </w:tcBorders>
          </w:tcPr>
          <w:p>
            <w:pPr>
              <w:ind w:left="40"/>
              <w:spacing w:after="0" w:line="197" w:lineRule="exact"/>
              <w:rPr>
                <w:sz w:val="20"/>
                <w:szCs w:val="20"/>
                <w:color w:val="auto"/>
              </w:rPr>
            </w:pPr>
            <w:r>
              <w:rPr>
                <w:rFonts w:ascii="Calibri" w:cs="Calibri" w:eastAsia="Calibri" w:hAnsi="Calibri"/>
                <w:sz w:val="17"/>
                <w:szCs w:val="17"/>
                <w:color w:val="auto"/>
              </w:rPr>
              <w:t>Net interest income</w:t>
            </w:r>
          </w:p>
        </w:tc>
        <w:tc>
          <w:tcPr>
            <w:tcW w:w="880" w:type="dxa"/>
            <w:vAlign w:val="bottom"/>
            <w:tcBorders>
              <w:top w:val="single" w:sz="8" w:color="auto"/>
              <w:right w:val="single" w:sz="8" w:color="auto"/>
            </w:tcBorders>
          </w:tcPr>
          <w:p>
            <w:pPr>
              <w:spacing w:after="0"/>
              <w:rPr>
                <w:sz w:val="17"/>
                <w:szCs w:val="17"/>
                <w:color w:val="auto"/>
              </w:rPr>
            </w:pPr>
          </w:p>
        </w:tc>
        <w:tc>
          <w:tcPr>
            <w:tcW w:w="1380" w:type="dxa"/>
            <w:vAlign w:val="bottom"/>
            <w:tcBorders>
              <w:top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5"/>
              </w:rPr>
              <w:t>81,157</w:t>
            </w:r>
          </w:p>
        </w:tc>
        <w:tc>
          <w:tcPr>
            <w:tcW w:w="1300" w:type="dxa"/>
            <w:vAlign w:val="bottom"/>
            <w:tcBorders>
              <w:top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5"/>
              </w:rPr>
              <w:t>78,977</w:t>
            </w:r>
          </w:p>
        </w:tc>
        <w:tc>
          <w:tcPr>
            <w:tcW w:w="1360" w:type="dxa"/>
            <w:vAlign w:val="bottom"/>
            <w:tcBorders>
              <w:top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82,670</w:t>
            </w:r>
          </w:p>
        </w:tc>
        <w:tc>
          <w:tcPr>
            <w:tcW w:w="980" w:type="dxa"/>
            <w:vAlign w:val="bottom"/>
            <w:tcBorders>
              <w:top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4"/>
              </w:rPr>
              <w:t>4.7%</w:t>
            </w:r>
          </w:p>
        </w:tc>
        <w:tc>
          <w:tcPr>
            <w:tcW w:w="1040" w:type="dxa"/>
            <w:vAlign w:val="bottom"/>
            <w:tcBorders>
              <w:top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1.9%</w:t>
            </w:r>
          </w:p>
        </w:tc>
      </w:tr>
      <w:tr>
        <w:trPr>
          <w:trHeight w:val="218"/>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Provision for loan losses, net of recoveries</w:t>
            </w:r>
          </w:p>
        </w:tc>
        <w:tc>
          <w:tcPr>
            <w:tcW w:w="880" w:type="dxa"/>
            <w:vAlign w:val="bottom"/>
            <w:tcBorders>
              <w:right w:val="single" w:sz="8" w:color="auto"/>
            </w:tcBorders>
          </w:tcPr>
          <w:p>
            <w:pPr>
              <w:spacing w:after="0"/>
              <w:rPr>
                <w:sz w:val="18"/>
                <w:szCs w:val="18"/>
                <w:color w:val="auto"/>
              </w:rPr>
            </w:pPr>
          </w:p>
        </w:tc>
        <w:tc>
          <w:tcPr>
            <w:tcW w:w="1380" w:type="dxa"/>
            <w:vAlign w:val="bottom"/>
          </w:tcPr>
          <w:p>
            <w:pPr>
              <w:jc w:val="center"/>
              <w:ind w:right="1"/>
              <w:spacing w:after="0"/>
              <w:rPr>
                <w:sz w:val="20"/>
                <w:szCs w:val="20"/>
                <w:color w:val="auto"/>
              </w:rPr>
            </w:pPr>
            <w:r>
              <w:rPr>
                <w:rFonts w:ascii="Calibri" w:cs="Calibri" w:eastAsia="Calibri" w:hAnsi="Calibri"/>
                <w:sz w:val="15"/>
                <w:szCs w:val="15"/>
                <w:color w:val="auto"/>
                <w:w w:val="99"/>
              </w:rPr>
              <w:t>2,858</w:t>
            </w:r>
          </w:p>
        </w:tc>
        <w:tc>
          <w:tcPr>
            <w:tcW w:w="1300" w:type="dxa"/>
            <w:vAlign w:val="bottom"/>
          </w:tcPr>
          <w:p>
            <w:pPr>
              <w:jc w:val="center"/>
              <w:spacing w:after="0"/>
              <w:rPr>
                <w:sz w:val="20"/>
                <w:szCs w:val="20"/>
                <w:color w:val="auto"/>
              </w:rPr>
            </w:pPr>
            <w:r>
              <w:rPr>
                <w:rFonts w:ascii="Calibri" w:cs="Calibri" w:eastAsia="Calibri" w:hAnsi="Calibri"/>
                <w:sz w:val="15"/>
                <w:szCs w:val="15"/>
                <w:color w:val="auto"/>
                <w:w w:val="98"/>
              </w:rPr>
              <w:t>(17,126)</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(3,349)</w:t>
            </w:r>
          </w:p>
        </w:tc>
        <w:tc>
          <w:tcPr>
            <w:tcW w:w="980" w:type="dxa"/>
            <w:vAlign w:val="bottom"/>
          </w:tcPr>
          <w:p>
            <w:pPr>
              <w:jc w:val="center"/>
              <w:spacing w:after="0"/>
              <w:rPr>
                <w:sz w:val="20"/>
                <w:szCs w:val="20"/>
                <w:color w:val="auto"/>
              </w:rPr>
            </w:pPr>
            <w:r>
              <w:rPr>
                <w:rFonts w:ascii="Calibri" w:cs="Calibri" w:eastAsia="Calibri" w:hAnsi="Calibri"/>
                <w:sz w:val="15"/>
                <w:szCs w:val="15"/>
                <w:color w:val="auto"/>
                <w:w w:val="95"/>
              </w:rPr>
              <w:t>-80.4%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-217.2%</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b w:val="1"/>
                <w:bCs w:val="1"/>
                <w:color w:val="auto"/>
              </w:rPr>
              <w:t>Net interest income afer provisions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5"/>
                <w:szCs w:val="15"/>
                <w:b w:val="1"/>
                <w:bCs w:val="1"/>
                <w:color w:val="auto"/>
                <w:w w:val="95"/>
              </w:rPr>
              <w:t>84,015</w:t>
            </w:r>
          </w:p>
        </w:tc>
        <w:tc>
          <w:tcPr>
            <w:tcW w:w="1300" w:type="dxa"/>
            <w:vAlign w:val="bottom"/>
          </w:tcPr>
          <w:p>
            <w:pPr>
              <w:jc w:val="center"/>
              <w:spacing w:after="0"/>
              <w:rPr>
                <w:sz w:val="20"/>
                <w:szCs w:val="20"/>
                <w:color w:val="auto"/>
              </w:rPr>
            </w:pPr>
            <w:r>
              <w:rPr>
                <w:rFonts w:ascii="Calibri" w:cs="Calibri" w:eastAsia="Calibri" w:hAnsi="Calibri"/>
                <w:sz w:val="15"/>
                <w:szCs w:val="15"/>
                <w:b w:val="1"/>
                <w:bCs w:val="1"/>
                <w:color w:val="auto"/>
                <w:w w:val="95"/>
              </w:rPr>
              <w:t>61,850</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rPr>
              <w:t>79,321</w:t>
            </w:r>
          </w:p>
        </w:tc>
        <w:tc>
          <w:tcPr>
            <w:tcW w:w="980" w:type="dxa"/>
            <w:vAlign w:val="bottom"/>
          </w:tcPr>
          <w:p>
            <w:pPr>
              <w:jc w:val="center"/>
              <w:spacing w:after="0"/>
              <w:rPr>
                <w:sz w:val="20"/>
                <w:szCs w:val="20"/>
                <w:color w:val="auto"/>
              </w:rPr>
            </w:pPr>
            <w:r>
              <w:rPr>
                <w:rFonts w:ascii="Calibri" w:cs="Calibri" w:eastAsia="Calibri" w:hAnsi="Calibri"/>
                <w:sz w:val="15"/>
                <w:szCs w:val="15"/>
                <w:b w:val="1"/>
                <w:bCs w:val="1"/>
                <w:color w:val="auto"/>
                <w:w w:val="95"/>
              </w:rPr>
              <w:t>28.2%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7"/>
              </w:rPr>
              <w:t>-5.6%</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Non-fnancial income</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5"/>
                <w:szCs w:val="15"/>
                <w:color w:val="auto"/>
                <w:w w:val="95"/>
              </w:rPr>
              <w:t>39,645</w:t>
            </w:r>
          </w:p>
        </w:tc>
        <w:tc>
          <w:tcPr>
            <w:tcW w:w="1300" w:type="dxa"/>
            <w:vAlign w:val="bottom"/>
          </w:tcPr>
          <w:p>
            <w:pPr>
              <w:jc w:val="center"/>
              <w:spacing w:after="0"/>
              <w:rPr>
                <w:sz w:val="20"/>
                <w:szCs w:val="20"/>
                <w:color w:val="auto"/>
              </w:rPr>
            </w:pPr>
            <w:r>
              <w:rPr>
                <w:rFonts w:ascii="Calibri" w:cs="Calibri" w:eastAsia="Calibri" w:hAnsi="Calibri"/>
                <w:sz w:val="15"/>
                <w:szCs w:val="15"/>
                <w:color w:val="auto"/>
                <w:w w:val="95"/>
              </w:rPr>
              <w:t>46,134</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45,306</w:t>
            </w:r>
          </w:p>
        </w:tc>
        <w:tc>
          <w:tcPr>
            <w:tcW w:w="980" w:type="dxa"/>
            <w:vAlign w:val="bottom"/>
          </w:tcPr>
          <w:p>
            <w:pPr>
              <w:jc w:val="center"/>
              <w:spacing w:after="0"/>
              <w:rPr>
                <w:sz w:val="20"/>
                <w:szCs w:val="20"/>
                <w:color w:val="auto"/>
              </w:rPr>
            </w:pPr>
            <w:r>
              <w:rPr>
                <w:rFonts w:ascii="Calibri" w:cs="Calibri" w:eastAsia="Calibri" w:hAnsi="Calibri"/>
                <w:sz w:val="15"/>
                <w:szCs w:val="15"/>
                <w:color w:val="auto"/>
                <w:w w:val="98"/>
              </w:rPr>
              <w:t>-1.8%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14.3%</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Total expenses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ind w:right="1"/>
              <w:spacing w:after="0"/>
              <w:rPr>
                <w:sz w:val="20"/>
                <w:szCs w:val="20"/>
                <w:color w:val="auto"/>
              </w:rPr>
            </w:pPr>
            <w:r>
              <w:rPr>
                <w:rFonts w:ascii="Calibri" w:cs="Calibri" w:eastAsia="Calibri" w:hAnsi="Calibri"/>
                <w:sz w:val="15"/>
                <w:szCs w:val="15"/>
                <w:color w:val="auto"/>
                <w:w w:val="98"/>
              </w:rPr>
              <w:t>(72,563)</w:t>
            </w:r>
          </w:p>
        </w:tc>
        <w:tc>
          <w:tcPr>
            <w:tcW w:w="1300" w:type="dxa"/>
            <w:vAlign w:val="bottom"/>
          </w:tcPr>
          <w:p>
            <w:pPr>
              <w:jc w:val="center"/>
              <w:spacing w:after="0"/>
              <w:rPr>
                <w:sz w:val="20"/>
                <w:szCs w:val="20"/>
                <w:color w:val="auto"/>
              </w:rPr>
            </w:pPr>
            <w:r>
              <w:rPr>
                <w:rFonts w:ascii="Calibri" w:cs="Calibri" w:eastAsia="Calibri" w:hAnsi="Calibri"/>
                <w:sz w:val="15"/>
                <w:szCs w:val="15"/>
                <w:color w:val="auto"/>
                <w:w w:val="98"/>
              </w:rPr>
              <w:t>(84,186)</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8"/>
              </w:rPr>
              <w:t>(92,549)</w:t>
            </w:r>
          </w:p>
        </w:tc>
        <w:tc>
          <w:tcPr>
            <w:tcW w:w="980" w:type="dxa"/>
            <w:vAlign w:val="bottom"/>
          </w:tcPr>
          <w:p>
            <w:pPr>
              <w:jc w:val="center"/>
              <w:spacing w:after="0"/>
              <w:rPr>
                <w:sz w:val="20"/>
                <w:szCs w:val="20"/>
                <w:color w:val="auto"/>
              </w:rPr>
            </w:pPr>
            <w:r>
              <w:rPr>
                <w:rFonts w:ascii="Calibri" w:cs="Calibri" w:eastAsia="Calibri" w:hAnsi="Calibri"/>
                <w:sz w:val="15"/>
                <w:szCs w:val="15"/>
                <w:color w:val="auto"/>
                <w:w w:val="94"/>
              </w:rPr>
              <w:t>9.9%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27.5%</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Translaton result</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5"/>
                <w:szCs w:val="15"/>
                <w:color w:val="auto"/>
              </w:rPr>
              <w:t>17</w:t>
            </w:r>
          </w:p>
        </w:tc>
        <w:tc>
          <w:tcPr>
            <w:tcW w:w="1300" w:type="dxa"/>
            <w:vAlign w:val="bottom"/>
          </w:tcPr>
          <w:p>
            <w:pPr>
              <w:jc w:val="center"/>
              <w:spacing w:after="0"/>
              <w:rPr>
                <w:sz w:val="20"/>
                <w:szCs w:val="20"/>
                <w:color w:val="auto"/>
              </w:rPr>
            </w:pPr>
            <w:r>
              <w:rPr>
                <w:rFonts w:ascii="Calibri" w:cs="Calibri" w:eastAsia="Calibri" w:hAnsi="Calibri"/>
                <w:sz w:val="15"/>
                <w:szCs w:val="15"/>
                <w:color w:val="auto"/>
              </w:rPr>
              <w:t>188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8"/>
              </w:rPr>
              <w:t>(51)</w:t>
            </w:r>
          </w:p>
        </w:tc>
        <w:tc>
          <w:tcPr>
            <w:tcW w:w="980" w:type="dxa"/>
            <w:vAlign w:val="bottom"/>
          </w:tcPr>
          <w:p>
            <w:pPr>
              <w:jc w:val="center"/>
              <w:spacing w:after="0"/>
              <w:rPr>
                <w:sz w:val="20"/>
                <w:szCs w:val="20"/>
                <w:color w:val="auto"/>
              </w:rPr>
            </w:pPr>
            <w:r>
              <w:rPr>
                <w:rFonts w:ascii="Calibri" w:cs="Calibri" w:eastAsia="Calibri" w:hAnsi="Calibri"/>
                <w:sz w:val="15"/>
                <w:szCs w:val="15"/>
                <w:color w:val="auto"/>
                <w:w w:val="96"/>
              </w:rPr>
              <w:t>-127.1%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-399.7%</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Income taxes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ind w:right="1"/>
              <w:spacing w:after="0"/>
              <w:rPr>
                <w:sz w:val="20"/>
                <w:szCs w:val="20"/>
                <w:color w:val="auto"/>
              </w:rPr>
            </w:pPr>
            <w:r>
              <w:rPr>
                <w:rFonts w:ascii="Calibri" w:cs="Calibri" w:eastAsia="Calibri" w:hAnsi="Calibri"/>
                <w:sz w:val="15"/>
                <w:szCs w:val="15"/>
                <w:color w:val="auto"/>
                <w:w w:val="98"/>
              </w:rPr>
              <w:t>(30,640)</w:t>
            </w:r>
          </w:p>
        </w:tc>
        <w:tc>
          <w:tcPr>
            <w:tcW w:w="1300" w:type="dxa"/>
            <w:vAlign w:val="bottom"/>
          </w:tcPr>
          <w:p>
            <w:pPr>
              <w:jc w:val="center"/>
              <w:spacing w:after="0"/>
              <w:rPr>
                <w:sz w:val="20"/>
                <w:szCs w:val="20"/>
                <w:color w:val="auto"/>
              </w:rPr>
            </w:pPr>
            <w:r>
              <w:rPr>
                <w:rFonts w:ascii="Calibri" w:cs="Calibri" w:eastAsia="Calibri" w:hAnsi="Calibri"/>
                <w:sz w:val="15"/>
                <w:szCs w:val="15"/>
                <w:color w:val="auto"/>
              </w:rPr>
              <w:t>(7,228)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8"/>
              </w:rPr>
              <w:t>(11,290)</w:t>
            </w:r>
          </w:p>
        </w:tc>
        <w:tc>
          <w:tcPr>
            <w:tcW w:w="980" w:type="dxa"/>
            <w:vAlign w:val="bottom"/>
          </w:tcPr>
          <w:p>
            <w:pPr>
              <w:jc w:val="center"/>
              <w:spacing w:after="0"/>
              <w:rPr>
                <w:sz w:val="20"/>
                <w:szCs w:val="20"/>
                <w:color w:val="auto"/>
              </w:rPr>
            </w:pPr>
            <w:r>
              <w:rPr>
                <w:rFonts w:ascii="Calibri" w:cs="Calibri" w:eastAsia="Calibri" w:hAnsi="Calibri"/>
                <w:sz w:val="15"/>
                <w:szCs w:val="15"/>
                <w:color w:val="auto"/>
                <w:w w:val="96"/>
              </w:rPr>
              <w:t>56.2%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-63.2%</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b w:val="1"/>
                <w:bCs w:val="1"/>
                <w:color w:val="auto"/>
              </w:rPr>
              <w:t>Net income</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5"/>
                <w:szCs w:val="15"/>
                <w:b w:val="1"/>
                <w:bCs w:val="1"/>
                <w:color w:val="auto"/>
                <w:w w:val="95"/>
              </w:rPr>
              <w:t>20,474</w:t>
            </w:r>
          </w:p>
        </w:tc>
        <w:tc>
          <w:tcPr>
            <w:tcW w:w="1300" w:type="dxa"/>
            <w:vAlign w:val="bottom"/>
          </w:tcPr>
          <w:p>
            <w:pPr>
              <w:jc w:val="center"/>
              <w:spacing w:after="0"/>
              <w:rPr>
                <w:sz w:val="20"/>
                <w:szCs w:val="20"/>
                <w:color w:val="auto"/>
              </w:rPr>
            </w:pPr>
            <w:r>
              <w:rPr>
                <w:rFonts w:ascii="Calibri" w:cs="Calibri" w:eastAsia="Calibri" w:hAnsi="Calibri"/>
                <w:sz w:val="15"/>
                <w:szCs w:val="15"/>
                <w:b w:val="1"/>
                <w:bCs w:val="1"/>
                <w:color w:val="auto"/>
                <w:w w:val="95"/>
              </w:rPr>
              <w:t>16,759</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rPr>
              <w:t>20,738</w:t>
            </w:r>
          </w:p>
        </w:tc>
        <w:tc>
          <w:tcPr>
            <w:tcW w:w="980" w:type="dxa"/>
            <w:vAlign w:val="bottom"/>
          </w:tcPr>
          <w:p>
            <w:pPr>
              <w:jc w:val="center"/>
              <w:spacing w:after="0"/>
              <w:rPr>
                <w:sz w:val="20"/>
                <w:szCs w:val="20"/>
                <w:color w:val="auto"/>
              </w:rPr>
            </w:pPr>
            <w:r>
              <w:rPr>
                <w:rFonts w:ascii="Calibri" w:cs="Calibri" w:eastAsia="Calibri" w:hAnsi="Calibri"/>
                <w:sz w:val="15"/>
                <w:szCs w:val="15"/>
                <w:b w:val="1"/>
                <w:bCs w:val="1"/>
                <w:color w:val="auto"/>
                <w:w w:val="95"/>
              </w:rPr>
              <w:t>23.7%</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9"/>
              </w:rPr>
              <w:t>1.3%</w:t>
            </w:r>
          </w:p>
        </w:tc>
      </w:tr>
      <w:tr>
        <w:trPr>
          <w:trHeight w:val="42"/>
        </w:trPr>
        <w:tc>
          <w:tcPr>
            <w:tcW w:w="4340" w:type="dxa"/>
            <w:vAlign w:val="bottom"/>
            <w:tcBorders>
              <w:left w:val="single" w:sz="8" w:color="auto"/>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184"/>
        </w:trPr>
        <w:tc>
          <w:tcPr>
            <w:tcW w:w="4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7"/>
        </w:trPr>
        <w:tc>
          <w:tcPr>
            <w:tcW w:w="4340" w:type="dxa"/>
            <w:vAlign w:val="bottom"/>
            <w:tcBorders>
              <w:left w:val="single" w:sz="8" w:color="auto"/>
            </w:tcBorders>
          </w:tcPr>
          <w:p>
            <w:pPr>
              <w:ind w:left="40"/>
              <w:spacing w:after="0" w:line="197" w:lineRule="exact"/>
              <w:rPr>
                <w:sz w:val="20"/>
                <w:szCs w:val="20"/>
                <w:color w:val="auto"/>
              </w:rPr>
            </w:pPr>
            <w:r>
              <w:rPr>
                <w:rFonts w:ascii="Calibri" w:cs="Calibri" w:eastAsia="Calibri" w:hAnsi="Calibri"/>
                <w:sz w:val="17"/>
                <w:szCs w:val="17"/>
                <w:color w:val="auto"/>
              </w:rPr>
              <w:t>Efciency rato</w:t>
            </w:r>
          </w:p>
        </w:tc>
        <w:tc>
          <w:tcPr>
            <w:tcW w:w="880" w:type="dxa"/>
            <w:vAlign w:val="bottom"/>
            <w:tcBorders>
              <w:right w:val="single" w:sz="8" w:color="auto"/>
            </w:tcBorders>
          </w:tcPr>
          <w:p>
            <w:pPr>
              <w:spacing w:after="0"/>
              <w:rPr>
                <w:sz w:val="17"/>
                <w:szCs w:val="17"/>
                <w:color w:val="auto"/>
              </w:rPr>
            </w:pPr>
          </w:p>
        </w:tc>
        <w:tc>
          <w:tcPr>
            <w:tcW w:w="1380" w:type="dxa"/>
            <w:vAlign w:val="bottom"/>
          </w:tcPr>
          <w:p>
            <w:pPr>
              <w:jc w:val="center"/>
              <w:spacing w:after="0" w:line="180" w:lineRule="exact"/>
              <w:rPr>
                <w:sz w:val="20"/>
                <w:szCs w:val="20"/>
                <w:color w:val="auto"/>
              </w:rPr>
            </w:pPr>
            <w:r>
              <w:rPr>
                <w:rFonts w:ascii="Calibri" w:cs="Calibri" w:eastAsia="Calibri" w:hAnsi="Calibri"/>
                <w:sz w:val="15"/>
                <w:szCs w:val="15"/>
                <w:color w:val="auto"/>
                <w:w w:val="96"/>
              </w:rPr>
              <w:t>59.9%</w:t>
            </w:r>
          </w:p>
        </w:tc>
        <w:tc>
          <w:tcPr>
            <w:tcW w:w="1300" w:type="dxa"/>
            <w:vAlign w:val="bottom"/>
          </w:tcPr>
          <w:p>
            <w:pPr>
              <w:jc w:val="center"/>
              <w:spacing w:after="0" w:line="180" w:lineRule="exact"/>
              <w:rPr>
                <w:sz w:val="20"/>
                <w:szCs w:val="20"/>
                <w:color w:val="auto"/>
              </w:rPr>
            </w:pPr>
            <w:r>
              <w:rPr>
                <w:rFonts w:ascii="Calibri" w:cs="Calibri" w:eastAsia="Calibri" w:hAnsi="Calibri"/>
                <w:sz w:val="15"/>
                <w:szCs w:val="15"/>
                <w:color w:val="auto"/>
                <w:w w:val="96"/>
              </w:rPr>
              <w:t>64.5%</w:t>
            </w:r>
          </w:p>
        </w:tc>
        <w:tc>
          <w:tcPr>
            <w:tcW w:w="136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rPr>
              <w:t>60.2%</w:t>
            </w:r>
          </w:p>
        </w:tc>
        <w:tc>
          <w:tcPr>
            <w:tcW w:w="980" w:type="dxa"/>
            <w:vAlign w:val="bottom"/>
          </w:tcPr>
          <w:p>
            <w:pPr>
              <w:jc w:val="center"/>
              <w:spacing w:after="0" w:line="180" w:lineRule="exact"/>
              <w:rPr>
                <w:sz w:val="20"/>
                <w:szCs w:val="20"/>
                <w:color w:val="auto"/>
              </w:rPr>
            </w:pPr>
            <w:r>
              <w:rPr>
                <w:rFonts w:ascii="Calibri" w:cs="Calibri" w:eastAsia="Calibri" w:hAnsi="Calibri"/>
                <w:sz w:val="15"/>
                <w:szCs w:val="15"/>
                <w:color w:val="auto"/>
                <w:w w:val="99"/>
              </w:rPr>
              <w:t>-427 pbs</w:t>
            </w:r>
          </w:p>
        </w:tc>
        <w:tc>
          <w:tcPr>
            <w:tcW w:w="104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9"/>
              </w:rPr>
              <w:t>35 pbs</w:t>
            </w:r>
          </w:p>
        </w:tc>
      </w:tr>
      <w:tr>
        <w:trPr>
          <w:trHeight w:val="218"/>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ROAE</w:t>
            </w:r>
          </w:p>
        </w:tc>
        <w:tc>
          <w:tcPr>
            <w:tcW w:w="880" w:type="dxa"/>
            <w:vAlign w:val="bottom"/>
            <w:tcBorders>
              <w:right w:val="single" w:sz="8" w:color="auto"/>
            </w:tcBorders>
          </w:tcPr>
          <w:p>
            <w:pPr>
              <w:spacing w:after="0"/>
              <w:rPr>
                <w:sz w:val="18"/>
                <w:szCs w:val="18"/>
                <w:color w:val="auto"/>
              </w:rPr>
            </w:pPr>
          </w:p>
        </w:tc>
        <w:tc>
          <w:tcPr>
            <w:tcW w:w="1380" w:type="dxa"/>
            <w:vAlign w:val="bottom"/>
          </w:tcPr>
          <w:p>
            <w:pPr>
              <w:jc w:val="center"/>
              <w:spacing w:after="0"/>
              <w:rPr>
                <w:sz w:val="20"/>
                <w:szCs w:val="20"/>
                <w:color w:val="auto"/>
              </w:rPr>
            </w:pPr>
            <w:r>
              <w:rPr>
                <w:rFonts w:ascii="Calibri" w:cs="Calibri" w:eastAsia="Calibri" w:hAnsi="Calibri"/>
                <w:sz w:val="15"/>
                <w:szCs w:val="15"/>
                <w:color w:val="auto"/>
                <w:w w:val="96"/>
              </w:rPr>
              <w:t>10.1%</w:t>
            </w:r>
          </w:p>
        </w:tc>
        <w:tc>
          <w:tcPr>
            <w:tcW w:w="1300" w:type="dxa"/>
            <w:vAlign w:val="bottom"/>
          </w:tcPr>
          <w:p>
            <w:pPr>
              <w:jc w:val="center"/>
              <w:spacing w:after="0"/>
              <w:rPr>
                <w:sz w:val="20"/>
                <w:szCs w:val="20"/>
                <w:color w:val="auto"/>
              </w:rPr>
            </w:pPr>
            <w:r>
              <w:rPr>
                <w:rFonts w:ascii="Calibri" w:cs="Calibri" w:eastAsia="Calibri" w:hAnsi="Calibri"/>
                <w:sz w:val="15"/>
                <w:szCs w:val="15"/>
                <w:color w:val="auto"/>
                <w:w w:val="94"/>
              </w:rPr>
              <w:t>7.7%</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9.7%</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196 pbs</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8"/>
              </w:rPr>
              <w:t>-39 pbs</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L/D rato</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5"/>
                <w:szCs w:val="15"/>
                <w:color w:val="auto"/>
                <w:w w:val="96"/>
              </w:rPr>
              <w:t>83.3%</w:t>
            </w:r>
          </w:p>
        </w:tc>
        <w:tc>
          <w:tcPr>
            <w:tcW w:w="1300" w:type="dxa"/>
            <w:vAlign w:val="bottom"/>
          </w:tcPr>
          <w:p>
            <w:pPr>
              <w:jc w:val="center"/>
              <w:spacing w:after="0"/>
              <w:rPr>
                <w:sz w:val="20"/>
                <w:szCs w:val="20"/>
                <w:color w:val="auto"/>
              </w:rPr>
            </w:pPr>
            <w:r>
              <w:rPr>
                <w:rFonts w:ascii="Calibri" w:cs="Calibri" w:eastAsia="Calibri" w:hAnsi="Calibri"/>
                <w:sz w:val="15"/>
                <w:szCs w:val="15"/>
                <w:color w:val="auto"/>
                <w:w w:val="96"/>
              </w:rPr>
              <w:t>84.2%</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86.4%</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217 pbs</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314 pbs</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IOL rato</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5"/>
                <w:szCs w:val="15"/>
                <w:color w:val="auto"/>
                <w:w w:val="96"/>
              </w:rPr>
              <w:t>1.92%</w:t>
            </w:r>
          </w:p>
        </w:tc>
        <w:tc>
          <w:tcPr>
            <w:tcW w:w="1300" w:type="dxa"/>
            <w:vAlign w:val="bottom"/>
          </w:tcPr>
          <w:p>
            <w:pPr>
              <w:jc w:val="center"/>
              <w:spacing w:after="0"/>
              <w:rPr>
                <w:sz w:val="20"/>
                <w:szCs w:val="20"/>
                <w:color w:val="auto"/>
              </w:rPr>
            </w:pPr>
            <w:r>
              <w:rPr>
                <w:rFonts w:ascii="Calibri" w:cs="Calibri" w:eastAsia="Calibri" w:hAnsi="Calibri"/>
                <w:sz w:val="15"/>
                <w:szCs w:val="15"/>
                <w:color w:val="auto"/>
                <w:w w:val="96"/>
              </w:rPr>
              <w:t>2.50%</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2.44%</w:t>
            </w:r>
          </w:p>
        </w:tc>
        <w:tc>
          <w:tcPr>
            <w:tcW w:w="980" w:type="dxa"/>
            <w:vAlign w:val="bottom"/>
          </w:tcPr>
          <w:p>
            <w:pPr>
              <w:jc w:val="center"/>
              <w:spacing w:after="0"/>
              <w:rPr>
                <w:sz w:val="20"/>
                <w:szCs w:val="20"/>
                <w:color w:val="auto"/>
              </w:rPr>
            </w:pPr>
            <w:r>
              <w:rPr>
                <w:rFonts w:ascii="Calibri" w:cs="Calibri" w:eastAsia="Calibri" w:hAnsi="Calibri"/>
                <w:sz w:val="15"/>
                <w:szCs w:val="15"/>
                <w:color w:val="auto"/>
                <w:w w:val="96"/>
              </w:rPr>
              <w:t>-6 pbs</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9"/>
              </w:rPr>
              <w:t>52 pbs</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NPL rato</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5"/>
                <w:szCs w:val="15"/>
                <w:color w:val="auto"/>
                <w:w w:val="96"/>
              </w:rPr>
              <w:t>2.28%</w:t>
            </w:r>
          </w:p>
        </w:tc>
        <w:tc>
          <w:tcPr>
            <w:tcW w:w="1300" w:type="dxa"/>
            <w:vAlign w:val="bottom"/>
          </w:tcPr>
          <w:p>
            <w:pPr>
              <w:jc w:val="center"/>
              <w:spacing w:after="0"/>
              <w:rPr>
                <w:sz w:val="20"/>
                <w:szCs w:val="20"/>
                <w:color w:val="auto"/>
              </w:rPr>
            </w:pPr>
            <w:r>
              <w:rPr>
                <w:rFonts w:ascii="Calibri" w:cs="Calibri" w:eastAsia="Calibri" w:hAnsi="Calibri"/>
                <w:sz w:val="15"/>
                <w:szCs w:val="15"/>
                <w:color w:val="auto"/>
                <w:w w:val="96"/>
              </w:rPr>
              <w:t>2.77%</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2.71%</w:t>
            </w:r>
          </w:p>
        </w:tc>
        <w:tc>
          <w:tcPr>
            <w:tcW w:w="980" w:type="dxa"/>
            <w:vAlign w:val="bottom"/>
          </w:tcPr>
          <w:p>
            <w:pPr>
              <w:jc w:val="center"/>
              <w:spacing w:after="0"/>
              <w:rPr>
                <w:sz w:val="20"/>
                <w:szCs w:val="20"/>
                <w:color w:val="auto"/>
              </w:rPr>
            </w:pPr>
            <w:r>
              <w:rPr>
                <w:rFonts w:ascii="Calibri" w:cs="Calibri" w:eastAsia="Calibri" w:hAnsi="Calibri"/>
                <w:sz w:val="15"/>
                <w:szCs w:val="15"/>
                <w:color w:val="auto"/>
                <w:w w:val="96"/>
              </w:rPr>
              <w:t>-6 pbs</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9"/>
              </w:rPr>
              <w:t>43 pbs</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Coverage of IOLs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5"/>
                <w:szCs w:val="15"/>
                <w:color w:val="auto"/>
                <w:w w:val="97"/>
              </w:rPr>
              <w:t>236.4%</w:t>
            </w:r>
          </w:p>
        </w:tc>
        <w:tc>
          <w:tcPr>
            <w:tcW w:w="1300" w:type="dxa"/>
            <w:vAlign w:val="bottom"/>
          </w:tcPr>
          <w:p>
            <w:pPr>
              <w:jc w:val="center"/>
              <w:spacing w:after="0"/>
              <w:rPr>
                <w:sz w:val="20"/>
                <w:szCs w:val="20"/>
                <w:color w:val="auto"/>
              </w:rPr>
            </w:pPr>
            <w:r>
              <w:rPr>
                <w:rFonts w:ascii="Calibri" w:cs="Calibri" w:eastAsia="Calibri" w:hAnsi="Calibri"/>
                <w:sz w:val="15"/>
                <w:szCs w:val="15"/>
                <w:color w:val="auto"/>
                <w:w w:val="97"/>
              </w:rPr>
              <w:t>171.9%</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172.1%</w:t>
            </w:r>
          </w:p>
        </w:tc>
        <w:tc>
          <w:tcPr>
            <w:tcW w:w="980" w:type="dxa"/>
            <w:vAlign w:val="bottom"/>
          </w:tcPr>
          <w:p>
            <w:pPr>
              <w:jc w:val="center"/>
              <w:spacing w:after="0"/>
              <w:rPr>
                <w:sz w:val="20"/>
                <w:szCs w:val="20"/>
                <w:color w:val="auto"/>
              </w:rPr>
            </w:pPr>
            <w:r>
              <w:rPr>
                <w:rFonts w:ascii="Calibri" w:cs="Calibri" w:eastAsia="Calibri" w:hAnsi="Calibri"/>
                <w:sz w:val="15"/>
                <w:szCs w:val="15"/>
                <w:color w:val="auto"/>
                <w:w w:val="99"/>
              </w:rPr>
              <w:t>18 pbs</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9"/>
              </w:rPr>
              <w:t>-6427 pbs</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Coverage of NPLs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5"/>
                <w:szCs w:val="15"/>
                <w:color w:val="auto"/>
                <w:w w:val="97"/>
              </w:rPr>
              <w:t>199.3%</w:t>
            </w:r>
          </w:p>
        </w:tc>
        <w:tc>
          <w:tcPr>
            <w:tcW w:w="1300" w:type="dxa"/>
            <w:vAlign w:val="bottom"/>
          </w:tcPr>
          <w:p>
            <w:pPr>
              <w:jc w:val="center"/>
              <w:spacing w:after="0"/>
              <w:rPr>
                <w:sz w:val="20"/>
                <w:szCs w:val="20"/>
                <w:color w:val="auto"/>
              </w:rPr>
            </w:pPr>
            <w:r>
              <w:rPr>
                <w:rFonts w:ascii="Calibri" w:cs="Calibri" w:eastAsia="Calibri" w:hAnsi="Calibri"/>
                <w:sz w:val="15"/>
                <w:szCs w:val="15"/>
                <w:color w:val="auto"/>
                <w:w w:val="97"/>
              </w:rPr>
              <w:t>155.1%</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7"/>
              </w:rPr>
              <w:t>154.6%</w:t>
            </w:r>
          </w:p>
        </w:tc>
        <w:tc>
          <w:tcPr>
            <w:tcW w:w="980" w:type="dxa"/>
            <w:vAlign w:val="bottom"/>
          </w:tcPr>
          <w:p>
            <w:pPr>
              <w:jc w:val="center"/>
              <w:spacing w:after="0"/>
              <w:rPr>
                <w:sz w:val="20"/>
                <w:szCs w:val="20"/>
                <w:color w:val="auto"/>
              </w:rPr>
            </w:pPr>
            <w:r>
              <w:rPr>
                <w:rFonts w:ascii="Calibri" w:cs="Calibri" w:eastAsia="Calibri" w:hAnsi="Calibri"/>
                <w:sz w:val="15"/>
                <w:szCs w:val="15"/>
                <w:color w:val="auto"/>
                <w:w w:val="98"/>
              </w:rPr>
              <w:t>-54 pbs</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9"/>
              </w:rPr>
              <w:t>-4475 pbs</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Branches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5"/>
                <w:szCs w:val="15"/>
                <w:color w:val="auto"/>
              </w:rPr>
              <w:t>45</w:t>
            </w:r>
          </w:p>
        </w:tc>
        <w:tc>
          <w:tcPr>
            <w:tcW w:w="1300" w:type="dxa"/>
            <w:vAlign w:val="bottom"/>
          </w:tcPr>
          <w:p>
            <w:pPr>
              <w:jc w:val="center"/>
              <w:spacing w:after="0"/>
              <w:rPr>
                <w:sz w:val="20"/>
                <w:szCs w:val="20"/>
                <w:color w:val="auto"/>
              </w:rPr>
            </w:pPr>
            <w:r>
              <w:rPr>
                <w:rFonts w:ascii="Calibri" w:cs="Calibri" w:eastAsia="Calibri" w:hAnsi="Calibri"/>
                <w:sz w:val="15"/>
                <w:szCs w:val="15"/>
                <w:color w:val="auto"/>
              </w:rPr>
              <w:t>45</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1"/>
              </w:rPr>
              <w:t>46</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1</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Agentes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ind w:right="1"/>
              <w:spacing w:after="0"/>
              <w:rPr>
                <w:sz w:val="20"/>
                <w:szCs w:val="20"/>
                <w:color w:val="auto"/>
              </w:rPr>
            </w:pPr>
            <w:r>
              <w:rPr>
                <w:rFonts w:ascii="Calibri" w:cs="Calibri" w:eastAsia="Calibri" w:hAnsi="Calibri"/>
                <w:sz w:val="15"/>
                <w:szCs w:val="15"/>
                <w:color w:val="auto"/>
                <w:w w:val="98"/>
              </w:rPr>
              <w:t>1078</w:t>
            </w:r>
          </w:p>
        </w:tc>
        <w:tc>
          <w:tcPr>
            <w:tcW w:w="1300" w:type="dxa"/>
            <w:vAlign w:val="bottom"/>
          </w:tcPr>
          <w:p>
            <w:pPr>
              <w:jc w:val="center"/>
              <w:spacing w:after="0"/>
              <w:rPr>
                <w:sz w:val="20"/>
                <w:szCs w:val="20"/>
                <w:color w:val="auto"/>
              </w:rPr>
            </w:pPr>
            <w:r>
              <w:rPr>
                <w:rFonts w:ascii="Calibri" w:cs="Calibri" w:eastAsia="Calibri" w:hAnsi="Calibri"/>
                <w:sz w:val="15"/>
                <w:szCs w:val="15"/>
                <w:color w:val="auto"/>
                <w:w w:val="98"/>
              </w:rPr>
              <w:t>1355</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8"/>
              </w:rPr>
              <w:t>1355</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277</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ATMs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5"/>
                <w:szCs w:val="15"/>
                <w:color w:val="auto"/>
              </w:rPr>
              <w:t>310</w:t>
            </w:r>
          </w:p>
        </w:tc>
        <w:tc>
          <w:tcPr>
            <w:tcW w:w="1300" w:type="dxa"/>
            <w:vAlign w:val="bottom"/>
          </w:tcPr>
          <w:p>
            <w:pPr>
              <w:jc w:val="center"/>
              <w:spacing w:after="0"/>
              <w:rPr>
                <w:sz w:val="20"/>
                <w:szCs w:val="20"/>
                <w:color w:val="auto"/>
              </w:rPr>
            </w:pPr>
            <w:r>
              <w:rPr>
                <w:rFonts w:ascii="Calibri" w:cs="Calibri" w:eastAsia="Calibri" w:hAnsi="Calibri"/>
                <w:sz w:val="15"/>
                <w:szCs w:val="15"/>
                <w:color w:val="auto"/>
              </w:rPr>
              <w:t>312</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313</w:t>
            </w:r>
          </w:p>
        </w:tc>
        <w:tc>
          <w:tcPr>
            <w:tcW w:w="980" w:type="dxa"/>
            <w:vAlign w:val="bottom"/>
          </w:tcPr>
          <w:p>
            <w:pPr>
              <w:jc w:val="center"/>
              <w:spacing w:after="0"/>
              <w:rPr>
                <w:sz w:val="20"/>
                <w:szCs w:val="20"/>
                <w:color w:val="auto"/>
              </w:rPr>
            </w:pPr>
            <w:r>
              <w:rPr>
                <w:rFonts w:ascii="Calibri" w:cs="Calibri" w:eastAsia="Calibri" w:hAnsi="Calibri"/>
                <w:sz w:val="15"/>
                <w:szCs w:val="15"/>
                <w:color w:val="auto"/>
              </w:rPr>
              <w:t>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rPr>
              <w:t>3</w:t>
            </w:r>
          </w:p>
        </w:tc>
      </w:tr>
      <w:tr>
        <w:trPr>
          <w:trHeight w:val="227"/>
        </w:trPr>
        <w:tc>
          <w:tcPr>
            <w:tcW w:w="43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Employees</w:t>
            </w:r>
          </w:p>
        </w:tc>
        <w:tc>
          <w:tcPr>
            <w:tcW w:w="880" w:type="dxa"/>
            <w:vAlign w:val="bottom"/>
            <w:tcBorders>
              <w:right w:val="single" w:sz="8" w:color="auto"/>
            </w:tcBorders>
          </w:tcPr>
          <w:p>
            <w:pPr>
              <w:spacing w:after="0"/>
              <w:rPr>
                <w:sz w:val="19"/>
                <w:szCs w:val="19"/>
                <w:color w:val="auto"/>
              </w:rPr>
            </w:pPr>
          </w:p>
        </w:tc>
        <w:tc>
          <w:tcPr>
            <w:tcW w:w="1380" w:type="dxa"/>
            <w:vAlign w:val="bottom"/>
          </w:tcPr>
          <w:p>
            <w:pPr>
              <w:jc w:val="center"/>
              <w:ind w:right="1"/>
              <w:spacing w:after="0"/>
              <w:rPr>
                <w:sz w:val="20"/>
                <w:szCs w:val="20"/>
                <w:color w:val="auto"/>
              </w:rPr>
            </w:pPr>
            <w:r>
              <w:rPr>
                <w:rFonts w:ascii="Calibri" w:cs="Calibri" w:eastAsia="Calibri" w:hAnsi="Calibri"/>
                <w:sz w:val="15"/>
                <w:szCs w:val="15"/>
                <w:color w:val="auto"/>
                <w:w w:val="99"/>
              </w:rPr>
              <w:t>1,586</w:t>
            </w:r>
          </w:p>
        </w:tc>
        <w:tc>
          <w:tcPr>
            <w:tcW w:w="1300" w:type="dxa"/>
            <w:vAlign w:val="bottom"/>
          </w:tcPr>
          <w:p>
            <w:pPr>
              <w:jc w:val="center"/>
              <w:spacing w:after="0"/>
              <w:rPr>
                <w:sz w:val="20"/>
                <w:szCs w:val="20"/>
                <w:color w:val="auto"/>
              </w:rPr>
            </w:pPr>
            <w:r>
              <w:rPr>
                <w:rFonts w:ascii="Calibri" w:cs="Calibri" w:eastAsia="Calibri" w:hAnsi="Calibri"/>
                <w:sz w:val="15"/>
                <w:szCs w:val="15"/>
                <w:color w:val="auto"/>
                <w:w w:val="99"/>
              </w:rPr>
              <w:t>1,696</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9"/>
              </w:rPr>
              <w:t>1,690</w:t>
            </w:r>
          </w:p>
        </w:tc>
        <w:tc>
          <w:tcPr>
            <w:tcW w:w="980" w:type="dxa"/>
            <w:vAlign w:val="bottom"/>
          </w:tcPr>
          <w:p>
            <w:pPr>
              <w:jc w:val="center"/>
              <w:spacing w:after="0"/>
              <w:rPr>
                <w:sz w:val="20"/>
                <w:szCs w:val="20"/>
                <w:color w:val="auto"/>
              </w:rPr>
            </w:pPr>
            <w:r>
              <w:rPr>
                <w:rFonts w:ascii="Calibri" w:cs="Calibri" w:eastAsia="Calibri" w:hAnsi="Calibri"/>
                <w:sz w:val="15"/>
                <w:szCs w:val="15"/>
                <w:color w:val="auto"/>
                <w:w w:val="97"/>
              </w:rPr>
              <w:t>-6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5"/>
                <w:szCs w:val="15"/>
                <w:color w:val="auto"/>
                <w:w w:val="96"/>
              </w:rPr>
              <w:t>104</w:t>
            </w:r>
          </w:p>
        </w:tc>
      </w:tr>
      <w:tr>
        <w:trPr>
          <w:trHeight w:val="42"/>
        </w:trPr>
        <w:tc>
          <w:tcPr>
            <w:tcW w:w="4340" w:type="dxa"/>
            <w:vAlign w:val="bottom"/>
            <w:tcBorders>
              <w:left w:val="single" w:sz="8" w:color="auto"/>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bl>
    <w:p>
      <w:pPr>
        <w:spacing w:after="0" w:line="321"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3910" cy="146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80"/>
          </w:cols>
          <w:pgMar w:left="300" w:top="365" w:right="319" w:bottom="1440" w:gutter="0" w:footer="0" w:header="0"/>
        </w:sectPr>
      </w:pPr>
    </w:p>
    <w:bookmarkStart w:id="76" w:name="page77"/>
    <w:bookmarkEnd w:id="76"/>
    <w:tbl>
      <w:tblPr>
        <w:tblLayout w:type="fixed"/>
        <w:tblInd w:w="10" w:type="dxa"/>
        <w:tblCellMar>
          <w:top w:w="0" w:type="dxa"/>
          <w:left w:w="0" w:type="dxa"/>
          <w:bottom w:w="0" w:type="dxa"/>
          <w:right w:w="0" w:type="dxa"/>
        </w:tblCellMar>
      </w:tblPr>
      <w:tr>
        <w:trPr>
          <w:trHeight w:val="407"/>
        </w:trPr>
        <w:tc>
          <w:tcPr>
            <w:tcW w:w="4740" w:type="dxa"/>
            <w:vAlign w:val="bottom"/>
            <w:tcBorders>
              <w:left w:val="single" w:sz="8" w:color="auto"/>
            </w:tcBorders>
            <w:shd w:val="clear" w:color="auto" w:fill="000000"/>
          </w:tcPr>
          <w:p>
            <w:pPr>
              <w:ind w:left="2720"/>
              <w:spacing w:after="0"/>
              <w:rPr>
                <w:sz w:val="20"/>
                <w:szCs w:val="20"/>
                <w:color w:val="auto"/>
              </w:rPr>
            </w:pPr>
            <w:r>
              <w:rPr>
                <w:rFonts w:ascii="Arial" w:cs="Arial" w:eastAsia="Arial" w:hAnsi="Arial"/>
                <w:sz w:val="14"/>
                <w:szCs w:val="14"/>
                <w:color w:val="A6A6A6"/>
              </w:rPr>
              <w:t xml:space="preserve">|   </w:t>
            </w:r>
            <w:r>
              <w:rPr>
                <w:rFonts w:ascii="Calibri" w:cs="Calibri" w:eastAsia="Calibri" w:hAnsi="Calibri"/>
                <w:sz w:val="15"/>
                <w:szCs w:val="15"/>
                <w:b w:val="1"/>
                <w:bCs w:val="1"/>
                <w:color w:val="FFFFFF"/>
              </w:rPr>
              <w:t>Earnings Release 1Q / 2023</w:t>
            </w:r>
          </w:p>
        </w:tc>
        <w:tc>
          <w:tcPr>
            <w:tcW w:w="460" w:type="dxa"/>
            <w:vAlign w:val="bottom"/>
            <w:tcBorders>
              <w:right w:val="single" w:sz="8" w:color="auto"/>
            </w:tcBorders>
            <w:shd w:val="clear" w:color="auto" w:fill="000000"/>
          </w:tcPr>
          <w:p>
            <w:pPr>
              <w:spacing w:after="0"/>
              <w:rPr>
                <w:sz w:val="24"/>
                <w:szCs w:val="24"/>
                <w:color w:val="auto"/>
              </w:rPr>
            </w:pPr>
          </w:p>
        </w:tc>
        <w:tc>
          <w:tcPr>
            <w:tcW w:w="1440" w:type="dxa"/>
            <w:vAlign w:val="bottom"/>
            <w:shd w:val="clear" w:color="auto" w:fill="000000"/>
          </w:tcPr>
          <w:p>
            <w:pPr>
              <w:spacing w:after="0"/>
              <w:rPr>
                <w:sz w:val="24"/>
                <w:szCs w:val="24"/>
                <w:color w:val="auto"/>
              </w:rPr>
            </w:pPr>
          </w:p>
        </w:tc>
        <w:tc>
          <w:tcPr>
            <w:tcW w:w="1260" w:type="dxa"/>
            <w:vAlign w:val="bottom"/>
            <w:shd w:val="clear" w:color="auto" w:fill="000000"/>
          </w:tcPr>
          <w:p>
            <w:pPr>
              <w:spacing w:after="0"/>
              <w:rPr>
                <w:sz w:val="24"/>
                <w:szCs w:val="24"/>
                <w:color w:val="auto"/>
              </w:rPr>
            </w:pPr>
          </w:p>
        </w:tc>
        <w:tc>
          <w:tcPr>
            <w:tcW w:w="3380" w:type="dxa"/>
            <w:vAlign w:val="bottom"/>
            <w:tcBorders>
              <w:right w:val="single" w:sz="8" w:color="auto"/>
            </w:tcBorders>
            <w:gridSpan w:val="3"/>
            <w:shd w:val="clear" w:color="auto" w:fill="000000"/>
          </w:tcPr>
          <w:p>
            <w:pPr>
              <w:ind w:left="700"/>
              <w:spacing w:after="0"/>
              <w:rPr>
                <w:sz w:val="20"/>
                <w:szCs w:val="20"/>
                <w:color w:val="auto"/>
              </w:rPr>
            </w:pPr>
            <w:r>
              <w:rPr>
                <w:rFonts w:ascii="Calibri" w:cs="Calibri" w:eastAsia="Calibri" w:hAnsi="Calibri"/>
                <w:sz w:val="17"/>
                <w:szCs w:val="17"/>
                <w:b w:val="1"/>
                <w:bCs w:val="1"/>
                <w:color w:val="E93CAC"/>
                <w:w w:val="98"/>
              </w:rPr>
              <w:t>Analysis of 1Q23 Consolidated Results</w:t>
            </w:r>
          </w:p>
        </w:tc>
        <w:tc>
          <w:tcPr>
            <w:tcW w:w="0" w:type="dxa"/>
            <w:vAlign w:val="bottom"/>
          </w:tcPr>
          <w:p>
            <w:pPr>
              <w:spacing w:after="0"/>
              <w:rPr>
                <w:sz w:val="1"/>
                <w:szCs w:val="1"/>
                <w:color w:val="auto"/>
              </w:rPr>
            </w:pPr>
          </w:p>
        </w:tc>
      </w:tr>
      <w:tr>
        <w:trPr>
          <w:trHeight w:val="240"/>
        </w:trPr>
        <w:tc>
          <w:tcPr>
            <w:tcW w:w="4740" w:type="dxa"/>
            <w:vAlign w:val="bottom"/>
            <w:tcBorders>
              <w:left w:val="single" w:sz="8" w:color="auto"/>
            </w:tcBorders>
            <w:shd w:val="clear" w:color="auto" w:fill="000000"/>
          </w:tcPr>
          <w:p>
            <w:pPr>
              <w:spacing w:after="0"/>
              <w:rPr>
                <w:sz w:val="20"/>
                <w:szCs w:val="20"/>
                <w:color w:val="auto"/>
              </w:rPr>
            </w:pPr>
          </w:p>
        </w:tc>
        <w:tc>
          <w:tcPr>
            <w:tcW w:w="460" w:type="dxa"/>
            <w:vAlign w:val="bottom"/>
            <w:tcBorders>
              <w:right w:val="single" w:sz="8" w:color="auto"/>
            </w:tcBorders>
            <w:shd w:val="clear" w:color="auto" w:fill="000000"/>
          </w:tcPr>
          <w:p>
            <w:pPr>
              <w:spacing w:after="0"/>
              <w:rPr>
                <w:sz w:val="20"/>
                <w:szCs w:val="20"/>
                <w:color w:val="auto"/>
              </w:rPr>
            </w:pPr>
          </w:p>
        </w:tc>
        <w:tc>
          <w:tcPr>
            <w:tcW w:w="1440" w:type="dxa"/>
            <w:vAlign w:val="bottom"/>
            <w:shd w:val="clear" w:color="auto" w:fill="000000"/>
          </w:tcPr>
          <w:p>
            <w:pPr>
              <w:spacing w:after="0"/>
              <w:rPr>
                <w:sz w:val="20"/>
                <w:szCs w:val="20"/>
                <w:color w:val="auto"/>
              </w:rPr>
            </w:pPr>
          </w:p>
        </w:tc>
        <w:tc>
          <w:tcPr>
            <w:tcW w:w="1260" w:type="dxa"/>
            <w:vAlign w:val="bottom"/>
            <w:shd w:val="clear" w:color="auto" w:fill="000000"/>
          </w:tcPr>
          <w:p>
            <w:pPr>
              <w:spacing w:after="0"/>
              <w:rPr>
                <w:sz w:val="20"/>
                <w:szCs w:val="20"/>
                <w:color w:val="auto"/>
              </w:rPr>
            </w:pPr>
          </w:p>
        </w:tc>
        <w:tc>
          <w:tcPr>
            <w:tcW w:w="1360" w:type="dxa"/>
            <w:vAlign w:val="bottom"/>
            <w:tcBorders>
              <w:right w:val="single" w:sz="8" w:color="auto"/>
            </w:tcBorders>
            <w:shd w:val="clear" w:color="auto" w:fill="000000"/>
          </w:tcPr>
          <w:p>
            <w:pPr>
              <w:spacing w:after="0"/>
              <w:rPr>
                <w:sz w:val="20"/>
                <w:szCs w:val="20"/>
                <w:color w:val="auto"/>
              </w:rPr>
            </w:pPr>
          </w:p>
        </w:tc>
        <w:tc>
          <w:tcPr>
            <w:tcW w:w="980" w:type="dxa"/>
            <w:vAlign w:val="bottom"/>
            <w:shd w:val="clear" w:color="auto" w:fill="000000"/>
          </w:tcPr>
          <w:p>
            <w:pPr>
              <w:spacing w:after="0"/>
              <w:rPr>
                <w:sz w:val="20"/>
                <w:szCs w:val="20"/>
                <w:color w:val="auto"/>
              </w:rPr>
            </w:pPr>
          </w:p>
        </w:tc>
        <w:tc>
          <w:tcPr>
            <w:tcW w:w="1040" w:type="dxa"/>
            <w:vAlign w:val="bottom"/>
            <w:tcBorders>
              <w:right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4740" w:type="dxa"/>
            <w:vAlign w:val="bottom"/>
            <w:tcBorders>
              <w:left w:val="single" w:sz="8" w:color="E93CAC"/>
            </w:tcBorders>
            <w:shd w:val="clear" w:color="auto" w:fill="E93CAC"/>
          </w:tcPr>
          <w:p>
            <w:pPr>
              <w:ind w:left="20"/>
              <w:spacing w:after="0"/>
              <w:rPr>
                <w:sz w:val="20"/>
                <w:szCs w:val="20"/>
                <w:color w:val="auto"/>
              </w:rPr>
            </w:pPr>
            <w:r>
              <w:rPr>
                <w:rFonts w:ascii="Calibri" w:cs="Calibri" w:eastAsia="Calibri" w:hAnsi="Calibri"/>
                <w:sz w:val="18"/>
                <w:szCs w:val="18"/>
                <w:b w:val="1"/>
                <w:bCs w:val="1"/>
                <w:color w:val="FFFFFF"/>
              </w:rPr>
              <w:t>12. Appendix</w:t>
            </w:r>
          </w:p>
        </w:tc>
        <w:tc>
          <w:tcPr>
            <w:tcW w:w="460" w:type="dxa"/>
            <w:vAlign w:val="bottom"/>
            <w:tcBorders>
              <w:right w:val="single" w:sz="8" w:color="E93CAC"/>
            </w:tcBorders>
            <w:shd w:val="clear" w:color="auto" w:fill="E93CAC"/>
          </w:tcPr>
          <w:p>
            <w:pPr>
              <w:spacing w:after="0"/>
              <w:rPr>
                <w:sz w:val="23"/>
                <w:szCs w:val="23"/>
                <w:color w:val="auto"/>
              </w:rPr>
            </w:pPr>
          </w:p>
        </w:tc>
        <w:tc>
          <w:tcPr>
            <w:tcW w:w="1440" w:type="dxa"/>
            <w:vAlign w:val="bottom"/>
            <w:shd w:val="clear" w:color="auto" w:fill="E93CAC"/>
          </w:tcPr>
          <w:p>
            <w:pPr>
              <w:spacing w:after="0"/>
              <w:rPr>
                <w:sz w:val="23"/>
                <w:szCs w:val="23"/>
                <w:color w:val="auto"/>
              </w:rPr>
            </w:pPr>
          </w:p>
        </w:tc>
        <w:tc>
          <w:tcPr>
            <w:tcW w:w="1260" w:type="dxa"/>
            <w:vAlign w:val="bottom"/>
            <w:shd w:val="clear" w:color="auto" w:fill="E93CAC"/>
          </w:tcPr>
          <w:p>
            <w:pPr>
              <w:spacing w:after="0"/>
              <w:rPr>
                <w:sz w:val="23"/>
                <w:szCs w:val="23"/>
                <w:color w:val="auto"/>
              </w:rPr>
            </w:pPr>
          </w:p>
        </w:tc>
        <w:tc>
          <w:tcPr>
            <w:tcW w:w="1360" w:type="dxa"/>
            <w:vAlign w:val="bottom"/>
            <w:tcBorders>
              <w:right w:val="single" w:sz="8" w:color="E93CAC"/>
            </w:tcBorders>
            <w:shd w:val="clear" w:color="auto" w:fill="E93CAC"/>
          </w:tcPr>
          <w:p>
            <w:pPr>
              <w:spacing w:after="0"/>
              <w:rPr>
                <w:sz w:val="23"/>
                <w:szCs w:val="23"/>
                <w:color w:val="auto"/>
              </w:rPr>
            </w:pPr>
          </w:p>
        </w:tc>
        <w:tc>
          <w:tcPr>
            <w:tcW w:w="980" w:type="dxa"/>
            <w:vAlign w:val="bottom"/>
            <w:shd w:val="clear" w:color="auto" w:fill="E93CAC"/>
          </w:tcPr>
          <w:p>
            <w:pPr>
              <w:spacing w:after="0"/>
              <w:rPr>
                <w:sz w:val="23"/>
                <w:szCs w:val="23"/>
                <w:color w:val="auto"/>
              </w:rPr>
            </w:pPr>
          </w:p>
        </w:tc>
        <w:tc>
          <w:tcPr>
            <w:tcW w:w="1040" w:type="dxa"/>
            <w:vAlign w:val="bottom"/>
            <w:tcBorders>
              <w:right w:val="single" w:sz="8" w:color="E93CAC"/>
            </w:tcBorders>
            <w:shd w:val="clear" w:color="auto" w:fill="E93CAC"/>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4740" w:type="dxa"/>
            <w:vAlign w:val="bottom"/>
            <w:tcBorders>
              <w:left w:val="single" w:sz="8" w:color="E93CAC"/>
            </w:tcBorders>
            <w:shd w:val="clear" w:color="auto" w:fill="E93CAC"/>
          </w:tcPr>
          <w:p>
            <w:pPr>
              <w:spacing w:after="0"/>
              <w:rPr>
                <w:sz w:val="8"/>
                <w:szCs w:val="8"/>
                <w:color w:val="auto"/>
              </w:rPr>
            </w:pPr>
          </w:p>
        </w:tc>
        <w:tc>
          <w:tcPr>
            <w:tcW w:w="460" w:type="dxa"/>
            <w:vAlign w:val="bottom"/>
            <w:tcBorders>
              <w:right w:val="single" w:sz="8" w:color="E93CAC"/>
            </w:tcBorders>
            <w:shd w:val="clear" w:color="auto" w:fill="E93CAC"/>
          </w:tcPr>
          <w:p>
            <w:pPr>
              <w:spacing w:after="0"/>
              <w:rPr>
                <w:sz w:val="8"/>
                <w:szCs w:val="8"/>
                <w:color w:val="auto"/>
              </w:rPr>
            </w:pPr>
          </w:p>
        </w:tc>
        <w:tc>
          <w:tcPr>
            <w:tcW w:w="1440" w:type="dxa"/>
            <w:vAlign w:val="bottom"/>
            <w:shd w:val="clear" w:color="auto" w:fill="E93CAC"/>
          </w:tcPr>
          <w:p>
            <w:pPr>
              <w:spacing w:after="0"/>
              <w:rPr>
                <w:sz w:val="8"/>
                <w:szCs w:val="8"/>
                <w:color w:val="auto"/>
              </w:rPr>
            </w:pPr>
          </w:p>
        </w:tc>
        <w:tc>
          <w:tcPr>
            <w:tcW w:w="1260" w:type="dxa"/>
            <w:vAlign w:val="bottom"/>
            <w:shd w:val="clear" w:color="auto" w:fill="E93CAC"/>
          </w:tcPr>
          <w:p>
            <w:pPr>
              <w:spacing w:after="0"/>
              <w:rPr>
                <w:sz w:val="8"/>
                <w:szCs w:val="8"/>
                <w:color w:val="auto"/>
              </w:rPr>
            </w:pPr>
          </w:p>
        </w:tc>
        <w:tc>
          <w:tcPr>
            <w:tcW w:w="1360" w:type="dxa"/>
            <w:vAlign w:val="bottom"/>
            <w:tcBorders>
              <w:right w:val="single" w:sz="8" w:color="E93CAC"/>
            </w:tcBorders>
            <w:shd w:val="clear" w:color="auto" w:fill="E93CAC"/>
          </w:tcPr>
          <w:p>
            <w:pPr>
              <w:spacing w:after="0"/>
              <w:rPr>
                <w:sz w:val="8"/>
                <w:szCs w:val="8"/>
                <w:color w:val="auto"/>
              </w:rPr>
            </w:pPr>
          </w:p>
        </w:tc>
        <w:tc>
          <w:tcPr>
            <w:tcW w:w="980" w:type="dxa"/>
            <w:vAlign w:val="bottom"/>
            <w:shd w:val="clear" w:color="auto" w:fill="E93CAC"/>
          </w:tcPr>
          <w:p>
            <w:pPr>
              <w:spacing w:after="0"/>
              <w:rPr>
                <w:sz w:val="8"/>
                <w:szCs w:val="8"/>
                <w:color w:val="auto"/>
              </w:rPr>
            </w:pPr>
          </w:p>
        </w:tc>
        <w:tc>
          <w:tcPr>
            <w:tcW w:w="1040" w:type="dxa"/>
            <w:vAlign w:val="bottom"/>
            <w:tcBorders>
              <w:right w:val="single" w:sz="8" w:color="E93CAC"/>
            </w:tcBorders>
            <w:shd w:val="clear" w:color="auto" w:fill="E93CAC"/>
          </w:tcPr>
          <w:p>
            <w:pPr>
              <w:spacing w:after="0"/>
              <w:rPr>
                <w:sz w:val="8"/>
                <w:szCs w:val="8"/>
                <w:color w:val="auto"/>
              </w:rPr>
            </w:pPr>
          </w:p>
        </w:tc>
        <w:tc>
          <w:tcPr>
            <w:tcW w:w="0" w:type="dxa"/>
            <w:vAlign w:val="bottom"/>
          </w:tcPr>
          <w:p>
            <w:pPr>
              <w:spacing w:after="0"/>
              <w:rPr>
                <w:sz w:val="1"/>
                <w:szCs w:val="1"/>
                <w:color w:val="auto"/>
              </w:rPr>
            </w:pPr>
          </w:p>
        </w:tc>
      </w:tr>
      <w:tr>
        <w:trPr>
          <w:trHeight w:val="524"/>
        </w:trPr>
        <w:tc>
          <w:tcPr>
            <w:tcW w:w="4740" w:type="dxa"/>
            <w:vAlign w:val="bottom"/>
          </w:tcPr>
          <w:p>
            <w:pPr>
              <w:ind w:left="20"/>
              <w:spacing w:after="0"/>
              <w:rPr>
                <w:sz w:val="20"/>
                <w:szCs w:val="20"/>
                <w:color w:val="auto"/>
              </w:rPr>
            </w:pPr>
            <w:r>
              <w:rPr>
                <w:rFonts w:ascii="Calibri" w:cs="Calibri" w:eastAsia="Calibri" w:hAnsi="Calibri"/>
                <w:sz w:val="15"/>
                <w:szCs w:val="15"/>
                <w:b w:val="1"/>
                <w:bCs w:val="1"/>
                <w:color w:val="auto"/>
              </w:rPr>
              <w:t>12.6.6. Mibanco</w:t>
            </w: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center"/>
              <w:ind w:right="457"/>
              <w:spacing w:after="0" w:line="197" w:lineRule="exact"/>
              <w:rPr>
                <w:sz w:val="20"/>
                <w:szCs w:val="20"/>
                <w:color w:val="auto"/>
              </w:rPr>
            </w:pPr>
            <w:r>
              <w:rPr>
                <w:rFonts w:ascii="Calibri" w:cs="Calibri" w:eastAsia="Calibri" w:hAnsi="Calibri"/>
                <w:sz w:val="17"/>
                <w:szCs w:val="17"/>
                <w:b w:val="1"/>
                <w:bCs w:val="1"/>
                <w:color w:val="auto"/>
                <w:w w:val="98"/>
              </w:rPr>
              <w:t>MIBANCO</w:t>
            </w: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tcPr>
          <w:p>
            <w:pPr>
              <w:spacing w:after="0"/>
              <w:rPr>
                <w:sz w:val="17"/>
                <w:szCs w:val="17"/>
                <w:color w:val="auto"/>
              </w:rPr>
            </w:pPr>
          </w:p>
        </w:tc>
        <w:tc>
          <w:tcPr>
            <w:tcW w:w="1900" w:type="dxa"/>
            <w:vAlign w:val="bottom"/>
            <w:gridSpan w:val="2"/>
          </w:tcPr>
          <w:p>
            <w:pPr>
              <w:jc w:val="center"/>
              <w:ind w:right="17"/>
              <w:spacing w:after="0" w:line="205" w:lineRule="exact"/>
              <w:rPr>
                <w:sz w:val="20"/>
                <w:szCs w:val="20"/>
                <w:color w:val="auto"/>
              </w:rPr>
            </w:pPr>
            <w:r>
              <w:rPr>
                <w:rFonts w:ascii="Calibri" w:cs="Calibri" w:eastAsia="Calibri" w:hAnsi="Calibri"/>
                <w:sz w:val="17"/>
                <w:szCs w:val="17"/>
                <w:b w:val="1"/>
                <w:bCs w:val="1"/>
                <w:color w:val="auto"/>
              </w:rPr>
              <w:t>(In S/ thousands, IFRS)</w:t>
            </w: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4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440" w:type="dxa"/>
            <w:vAlign w:val="bottom"/>
            <w:shd w:val="clear" w:color="auto" w:fill="33CCCC"/>
          </w:tcPr>
          <w:p>
            <w:pPr>
              <w:spacing w:after="0"/>
              <w:rPr>
                <w:sz w:val="17"/>
                <w:szCs w:val="17"/>
                <w:color w:val="auto"/>
              </w:rPr>
            </w:pPr>
          </w:p>
        </w:tc>
        <w:tc>
          <w:tcPr>
            <w:tcW w:w="1260" w:type="dxa"/>
            <w:vAlign w:val="bottom"/>
            <w:shd w:val="clear" w:color="auto" w:fill="33CCCC"/>
          </w:tcPr>
          <w:p>
            <w:pPr>
              <w:jc w:val="center"/>
              <w:ind w:right="17"/>
              <w:spacing w:after="0" w:line="197" w:lineRule="exact"/>
              <w:rPr>
                <w:sz w:val="20"/>
                <w:szCs w:val="20"/>
                <w:color w:val="auto"/>
              </w:rPr>
            </w:pPr>
            <w:r>
              <w:rPr>
                <w:rFonts w:ascii="Calibri" w:cs="Calibri" w:eastAsia="Calibri" w:hAnsi="Calibri"/>
                <w:sz w:val="17"/>
                <w:szCs w:val="17"/>
                <w:b w:val="1"/>
                <w:bCs w:val="1"/>
                <w:color w:val="FFFFFF"/>
              </w:rPr>
              <w:t>As of</w:t>
            </w:r>
          </w:p>
        </w:tc>
        <w:tc>
          <w:tcPr>
            <w:tcW w:w="1360" w:type="dxa"/>
            <w:vAlign w:val="bottom"/>
            <w:tcBorders>
              <w:right w:val="single" w:sz="8" w:color="auto"/>
            </w:tcBorders>
            <w:shd w:val="clear" w:color="auto" w:fill="33CCCC"/>
          </w:tcPr>
          <w:p>
            <w:pPr>
              <w:spacing w:after="0"/>
              <w:rPr>
                <w:sz w:val="17"/>
                <w:szCs w:val="17"/>
                <w:color w:val="auto"/>
              </w:rPr>
            </w:pPr>
          </w:p>
        </w:tc>
        <w:tc>
          <w:tcPr>
            <w:tcW w:w="2020" w:type="dxa"/>
            <w:vAlign w:val="bottom"/>
            <w:tcBorders>
              <w:right w:val="single" w:sz="8" w:color="auto"/>
            </w:tcBorders>
            <w:gridSpan w:val="2"/>
            <w:shd w:val="clear" w:color="auto" w:fill="33CCCC"/>
          </w:tcPr>
          <w:p>
            <w:pPr>
              <w:jc w:val="center"/>
              <w:spacing w:after="0" w:line="197" w:lineRule="exact"/>
              <w:rPr>
                <w:sz w:val="20"/>
                <w:szCs w:val="20"/>
                <w:color w:val="auto"/>
              </w:rPr>
            </w:pPr>
            <w:r>
              <w:rPr>
                <w:rFonts w:ascii="Calibri" w:cs="Calibri" w:eastAsia="Calibri" w:hAnsi="Calibri"/>
                <w:sz w:val="17"/>
                <w:szCs w:val="17"/>
                <w:b w:val="1"/>
                <w:bCs w:val="1"/>
                <w:color w:val="FFFFFF"/>
                <w:w w:val="99"/>
              </w:rPr>
              <w:t>% change</w:t>
            </w:r>
          </w:p>
        </w:tc>
        <w:tc>
          <w:tcPr>
            <w:tcW w:w="0" w:type="dxa"/>
            <w:vAlign w:val="bottom"/>
          </w:tcPr>
          <w:p>
            <w:pPr>
              <w:spacing w:after="0"/>
              <w:rPr>
                <w:sz w:val="1"/>
                <w:szCs w:val="1"/>
                <w:color w:val="auto"/>
              </w:rPr>
            </w:pPr>
          </w:p>
        </w:tc>
      </w:tr>
      <w:tr>
        <w:trPr>
          <w:trHeight w:val="260"/>
        </w:trPr>
        <w:tc>
          <w:tcPr>
            <w:tcW w:w="474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1440" w:type="dxa"/>
            <w:vAlign w:val="bottom"/>
            <w:tcBorders>
              <w:bottom w:val="single" w:sz="8" w:color="33CCCC"/>
            </w:tcBorders>
            <w:shd w:val="clear" w:color="auto" w:fill="33CCCC"/>
          </w:tcPr>
          <w:p>
            <w:pPr>
              <w:ind w:left="420"/>
              <w:spacing w:after="0"/>
              <w:rPr>
                <w:sz w:val="20"/>
                <w:szCs w:val="20"/>
                <w:color w:val="auto"/>
              </w:rPr>
            </w:pPr>
            <w:r>
              <w:rPr>
                <w:rFonts w:ascii="Calibri" w:cs="Calibri" w:eastAsia="Calibri" w:hAnsi="Calibri"/>
                <w:sz w:val="17"/>
                <w:szCs w:val="17"/>
                <w:b w:val="1"/>
                <w:bCs w:val="1"/>
                <w:color w:val="FFFFFF"/>
              </w:rPr>
              <w:t>Mar 22</w:t>
            </w:r>
          </w:p>
        </w:tc>
        <w:tc>
          <w:tcPr>
            <w:tcW w:w="1260" w:type="dxa"/>
            <w:vAlign w:val="bottom"/>
            <w:tcBorders>
              <w:bottom w:val="single" w:sz="8" w:color="33CCCC"/>
            </w:tcBorders>
            <w:shd w:val="clear" w:color="auto" w:fill="33CCCC"/>
          </w:tcPr>
          <w:p>
            <w:pPr>
              <w:jc w:val="center"/>
              <w:ind w:right="17"/>
              <w:spacing w:after="0"/>
              <w:rPr>
                <w:sz w:val="20"/>
                <w:szCs w:val="20"/>
                <w:color w:val="auto"/>
              </w:rPr>
            </w:pPr>
            <w:r>
              <w:rPr>
                <w:rFonts w:ascii="Calibri" w:cs="Calibri" w:eastAsia="Calibri" w:hAnsi="Calibri"/>
                <w:sz w:val="17"/>
                <w:szCs w:val="17"/>
                <w:b w:val="1"/>
                <w:bCs w:val="1"/>
                <w:color w:val="FFFFFF"/>
              </w:rPr>
              <w:t>Dec 22</w:t>
            </w:r>
          </w:p>
        </w:tc>
        <w:tc>
          <w:tcPr>
            <w:tcW w:w="1360" w:type="dxa"/>
            <w:vAlign w:val="bottom"/>
            <w:tcBorders>
              <w:bottom w:val="single" w:sz="8" w:color="33CCCC"/>
              <w:right w:val="single" w:sz="8" w:color="auto"/>
            </w:tcBorders>
            <w:shd w:val="clear" w:color="auto" w:fill="33CCCC"/>
          </w:tcPr>
          <w:p>
            <w:pPr>
              <w:ind w:left="420"/>
              <w:spacing w:after="0"/>
              <w:rPr>
                <w:sz w:val="20"/>
                <w:szCs w:val="20"/>
                <w:color w:val="auto"/>
              </w:rPr>
            </w:pPr>
            <w:r>
              <w:rPr>
                <w:rFonts w:ascii="Calibri" w:cs="Calibri" w:eastAsia="Calibri" w:hAnsi="Calibri"/>
                <w:sz w:val="17"/>
                <w:szCs w:val="17"/>
                <w:b w:val="1"/>
                <w:bCs w:val="1"/>
                <w:color w:val="FFFFFF"/>
              </w:rPr>
              <w:t>Mar 23</w:t>
            </w:r>
          </w:p>
        </w:tc>
        <w:tc>
          <w:tcPr>
            <w:tcW w:w="98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8"/>
              </w:rPr>
              <w:t>QoQ</w:t>
            </w:r>
          </w:p>
        </w:tc>
        <w:tc>
          <w:tcPr>
            <w:tcW w:w="104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6"/>
              </w:rPr>
              <w:t>YoY</w:t>
            </w:r>
          </w:p>
        </w:tc>
        <w:tc>
          <w:tcPr>
            <w:tcW w:w="0" w:type="dxa"/>
            <w:vAlign w:val="bottom"/>
          </w:tcPr>
          <w:p>
            <w:pPr>
              <w:spacing w:after="0"/>
              <w:rPr>
                <w:sz w:val="1"/>
                <w:szCs w:val="1"/>
                <w:color w:val="auto"/>
              </w:rPr>
            </w:pPr>
          </w:p>
        </w:tc>
      </w:tr>
      <w:tr>
        <w:trPr>
          <w:trHeight w:val="197"/>
        </w:trPr>
        <w:tc>
          <w:tcPr>
            <w:tcW w:w="4740" w:type="dxa"/>
            <w:vAlign w:val="bottom"/>
            <w:tcBorders>
              <w:top w:val="single" w:sz="8" w:color="auto"/>
              <w:left w:val="single" w:sz="8" w:color="auto"/>
            </w:tcBorders>
          </w:tcPr>
          <w:p>
            <w:pPr>
              <w:ind w:left="40"/>
              <w:spacing w:after="0" w:line="197" w:lineRule="exact"/>
              <w:rPr>
                <w:sz w:val="20"/>
                <w:szCs w:val="20"/>
                <w:color w:val="auto"/>
              </w:rPr>
            </w:pPr>
            <w:r>
              <w:rPr>
                <w:rFonts w:ascii="Calibri" w:cs="Calibri" w:eastAsia="Calibri" w:hAnsi="Calibri"/>
                <w:sz w:val="17"/>
                <w:szCs w:val="17"/>
                <w:b w:val="1"/>
                <w:bCs w:val="1"/>
                <w:color w:val="auto"/>
              </w:rPr>
              <w:t>ASSETS</w:t>
            </w:r>
          </w:p>
        </w:tc>
        <w:tc>
          <w:tcPr>
            <w:tcW w:w="460" w:type="dxa"/>
            <w:vAlign w:val="bottom"/>
            <w:tcBorders>
              <w:top w:val="single" w:sz="8" w:color="auto"/>
              <w:right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360" w:type="dxa"/>
            <w:vAlign w:val="bottom"/>
            <w:tcBorders>
              <w:top w:val="single" w:sz="8" w:color="auto"/>
              <w:right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Cash and due from banks</w:t>
            </w:r>
          </w:p>
        </w:tc>
        <w:tc>
          <w:tcPr>
            <w:tcW w:w="460" w:type="dxa"/>
            <w:vAlign w:val="bottom"/>
            <w:tcBorders>
              <w:right w:val="single" w:sz="8" w:color="auto"/>
            </w:tcBorders>
          </w:tcPr>
          <w:p>
            <w:pPr>
              <w:spacing w:after="0"/>
              <w:rPr>
                <w:sz w:val="18"/>
                <w:szCs w:val="18"/>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color w:val="auto"/>
                <w:w w:val="98"/>
              </w:rPr>
              <w:t>1,400,085</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8"/>
              </w:rPr>
              <w:t>1,850,881</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1,733,556</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7"/>
              </w:rPr>
              <w:t>-6.3%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23.8%</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Investments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color w:val="auto"/>
                <w:w w:val="98"/>
              </w:rPr>
              <w:t>1,746,228</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8"/>
              </w:rPr>
              <w:t>1,459,434</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1,412,863</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7"/>
              </w:rPr>
              <w:t>-3.2%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-19.1%</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b w:val="1"/>
                <w:bCs w:val="1"/>
                <w:color w:val="auto"/>
              </w:rPr>
              <w:t>Total loans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ind w:right="17"/>
              <w:spacing w:after="0"/>
              <w:rPr>
                <w:sz w:val="20"/>
                <w:szCs w:val="20"/>
                <w:color w:val="auto"/>
              </w:rPr>
            </w:pPr>
            <w:r>
              <w:rPr>
                <w:rFonts w:ascii="Calibri" w:cs="Calibri" w:eastAsia="Calibri" w:hAnsi="Calibri"/>
                <w:sz w:val="17"/>
                <w:szCs w:val="17"/>
                <w:b w:val="1"/>
                <w:bCs w:val="1"/>
                <w:color w:val="auto"/>
              </w:rPr>
              <w:t>13,983,905</w:t>
            </w:r>
          </w:p>
        </w:tc>
        <w:tc>
          <w:tcPr>
            <w:tcW w:w="1260" w:type="dxa"/>
            <w:vAlign w:val="bottom"/>
          </w:tcPr>
          <w:p>
            <w:pPr>
              <w:jc w:val="center"/>
              <w:ind w:right="17"/>
              <w:spacing w:after="0"/>
              <w:rPr>
                <w:sz w:val="20"/>
                <w:szCs w:val="20"/>
                <w:color w:val="auto"/>
              </w:rPr>
            </w:pPr>
            <w:r>
              <w:rPr>
                <w:rFonts w:ascii="Calibri" w:cs="Calibri" w:eastAsia="Calibri" w:hAnsi="Calibri"/>
                <w:sz w:val="17"/>
                <w:szCs w:val="17"/>
                <w:b w:val="1"/>
                <w:bCs w:val="1"/>
                <w:color w:val="auto"/>
                <w:w w:val="97"/>
              </w:rPr>
              <w:t>14,089,071</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14,006,154</w:t>
            </w:r>
          </w:p>
        </w:tc>
        <w:tc>
          <w:tcPr>
            <w:tcW w:w="980" w:type="dxa"/>
            <w:vAlign w:val="bottom"/>
          </w:tcPr>
          <w:p>
            <w:pPr>
              <w:jc w:val="center"/>
              <w:spacing w:after="0"/>
              <w:rPr>
                <w:sz w:val="20"/>
                <w:szCs w:val="20"/>
                <w:color w:val="auto"/>
              </w:rPr>
            </w:pPr>
            <w:r>
              <w:rPr>
                <w:rFonts w:ascii="Calibri" w:cs="Calibri" w:eastAsia="Calibri" w:hAnsi="Calibri"/>
                <w:sz w:val="17"/>
                <w:szCs w:val="17"/>
                <w:b w:val="1"/>
                <w:bCs w:val="1"/>
                <w:color w:val="auto"/>
              </w:rPr>
              <w:t>-0.6%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0.2%</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160"/>
              <w:spacing w:after="0"/>
              <w:rPr>
                <w:sz w:val="20"/>
                <w:szCs w:val="20"/>
                <w:color w:val="auto"/>
              </w:rPr>
            </w:pPr>
            <w:r>
              <w:rPr>
                <w:rFonts w:ascii="Calibri" w:cs="Calibri" w:eastAsia="Calibri" w:hAnsi="Calibri"/>
                <w:sz w:val="17"/>
                <w:szCs w:val="17"/>
                <w:color w:val="auto"/>
              </w:rPr>
              <w:t>Current</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ind w:right="17"/>
              <w:spacing w:after="0"/>
              <w:rPr>
                <w:sz w:val="20"/>
                <w:szCs w:val="20"/>
                <w:color w:val="auto"/>
              </w:rPr>
            </w:pPr>
            <w:r>
              <w:rPr>
                <w:rFonts w:ascii="Calibri" w:cs="Calibri" w:eastAsia="Calibri" w:hAnsi="Calibri"/>
                <w:sz w:val="17"/>
                <w:szCs w:val="17"/>
                <w:color w:val="auto"/>
              </w:rPr>
              <w:t>12,965,841</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8"/>
              </w:rPr>
              <w:t>13,228,543</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13,204,563</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7"/>
              </w:rPr>
              <w:t>-0.2%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1.8%</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160"/>
              <w:spacing w:after="0"/>
              <w:rPr>
                <w:sz w:val="20"/>
                <w:szCs w:val="20"/>
                <w:color w:val="auto"/>
              </w:rPr>
            </w:pPr>
            <w:r>
              <w:rPr>
                <w:rFonts w:ascii="Calibri" w:cs="Calibri" w:eastAsia="Calibri" w:hAnsi="Calibri"/>
                <w:sz w:val="17"/>
                <w:szCs w:val="17"/>
                <w:color w:val="auto"/>
              </w:rPr>
              <w:t>Internal overdue loans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color w:val="auto"/>
                <w:w w:val="99"/>
              </w:rPr>
              <w:t>951,029</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9"/>
              </w:rPr>
              <w:t>776,023</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696,787</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-10.2%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-26.7%</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160"/>
              <w:spacing w:after="0"/>
              <w:rPr>
                <w:sz w:val="20"/>
                <w:szCs w:val="20"/>
                <w:color w:val="auto"/>
              </w:rPr>
            </w:pPr>
            <w:r>
              <w:rPr>
                <w:rFonts w:ascii="Calibri" w:cs="Calibri" w:eastAsia="Calibri" w:hAnsi="Calibri"/>
                <w:sz w:val="17"/>
                <w:szCs w:val="17"/>
                <w:color w:val="auto"/>
              </w:rPr>
              <w:t>Refnanced</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color w:val="auto"/>
              </w:rPr>
              <w:t>67,035</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rPr>
              <w:t>84,505</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104,805</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9"/>
              </w:rPr>
              <w:t>24.0%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56.3%</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160"/>
              <w:spacing w:after="0"/>
              <w:rPr>
                <w:sz w:val="20"/>
                <w:szCs w:val="20"/>
                <w:color w:val="auto"/>
              </w:rPr>
            </w:pPr>
            <w:r>
              <w:rPr>
                <w:rFonts w:ascii="Calibri" w:cs="Calibri" w:eastAsia="Calibri" w:hAnsi="Calibri"/>
                <w:sz w:val="17"/>
                <w:szCs w:val="17"/>
                <w:color w:val="auto"/>
              </w:rPr>
              <w:t>Allowance for loan losses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ind w:right="17"/>
              <w:spacing w:after="0"/>
              <w:rPr>
                <w:sz w:val="20"/>
                <w:szCs w:val="20"/>
                <w:color w:val="auto"/>
              </w:rPr>
            </w:pPr>
            <w:r>
              <w:rPr>
                <w:rFonts w:ascii="Calibri" w:cs="Calibri" w:eastAsia="Calibri" w:hAnsi="Calibri"/>
                <w:sz w:val="17"/>
                <w:szCs w:val="17"/>
                <w:color w:val="auto"/>
                <w:w w:val="99"/>
              </w:rPr>
              <w:t>-1,146,067</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8"/>
              </w:rPr>
              <w:t>-998,261</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-1,040,487</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4.2%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-9.2%</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b w:val="1"/>
                <w:bCs w:val="1"/>
                <w:color w:val="auto"/>
              </w:rPr>
              <w:t>Net loans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ind w:right="17"/>
              <w:spacing w:after="0"/>
              <w:rPr>
                <w:sz w:val="20"/>
                <w:szCs w:val="20"/>
                <w:color w:val="auto"/>
              </w:rPr>
            </w:pPr>
            <w:r>
              <w:rPr>
                <w:rFonts w:ascii="Calibri" w:cs="Calibri" w:eastAsia="Calibri" w:hAnsi="Calibri"/>
                <w:sz w:val="17"/>
                <w:szCs w:val="17"/>
                <w:b w:val="1"/>
                <w:bCs w:val="1"/>
                <w:color w:val="auto"/>
              </w:rPr>
              <w:t>12,837,838</w:t>
            </w:r>
          </w:p>
        </w:tc>
        <w:tc>
          <w:tcPr>
            <w:tcW w:w="1260" w:type="dxa"/>
            <w:vAlign w:val="bottom"/>
          </w:tcPr>
          <w:p>
            <w:pPr>
              <w:jc w:val="center"/>
              <w:ind w:right="17"/>
              <w:spacing w:after="0"/>
              <w:rPr>
                <w:sz w:val="20"/>
                <w:szCs w:val="20"/>
                <w:color w:val="auto"/>
              </w:rPr>
            </w:pPr>
            <w:r>
              <w:rPr>
                <w:rFonts w:ascii="Calibri" w:cs="Calibri" w:eastAsia="Calibri" w:hAnsi="Calibri"/>
                <w:sz w:val="17"/>
                <w:szCs w:val="17"/>
                <w:b w:val="1"/>
                <w:bCs w:val="1"/>
                <w:color w:val="auto"/>
                <w:w w:val="97"/>
              </w:rPr>
              <w:t>13,090,810</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12,965,667</w:t>
            </w:r>
          </w:p>
        </w:tc>
        <w:tc>
          <w:tcPr>
            <w:tcW w:w="980" w:type="dxa"/>
            <w:vAlign w:val="bottom"/>
          </w:tcPr>
          <w:p>
            <w:pPr>
              <w:jc w:val="center"/>
              <w:spacing w:after="0"/>
              <w:rPr>
                <w:sz w:val="20"/>
                <w:szCs w:val="20"/>
                <w:color w:val="auto"/>
              </w:rPr>
            </w:pPr>
            <w:r>
              <w:rPr>
                <w:rFonts w:ascii="Calibri" w:cs="Calibri" w:eastAsia="Calibri" w:hAnsi="Calibri"/>
                <w:sz w:val="17"/>
                <w:szCs w:val="17"/>
                <w:b w:val="1"/>
                <w:bCs w:val="1"/>
                <w:color w:val="auto"/>
              </w:rPr>
              <w:t>-1.0%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1.0%</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Property, plant and equipment, net</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color w:val="auto"/>
                <w:w w:val="99"/>
              </w:rPr>
              <w:t>139,875</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9"/>
              </w:rPr>
              <w:t>133,756</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131,164</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7"/>
              </w:rPr>
              <w:t>-1.9%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-6.2%</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Other assets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color w:val="auto"/>
                <w:w w:val="99"/>
              </w:rPr>
              <w:t>854,944</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9"/>
              </w:rPr>
              <w:t>691,093</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753,989</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9.1%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-11.8%</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2200"/>
              <w:spacing w:after="0"/>
              <w:rPr>
                <w:sz w:val="20"/>
                <w:szCs w:val="20"/>
                <w:color w:val="auto"/>
              </w:rPr>
            </w:pPr>
            <w:r>
              <w:rPr>
                <w:rFonts w:ascii="Calibri" w:cs="Calibri" w:eastAsia="Calibri" w:hAnsi="Calibri"/>
                <w:sz w:val="17"/>
                <w:szCs w:val="17"/>
                <w:b w:val="1"/>
                <w:bCs w:val="1"/>
                <w:color w:val="auto"/>
              </w:rPr>
              <w:t>Total assets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ind w:right="17"/>
              <w:spacing w:after="0"/>
              <w:rPr>
                <w:sz w:val="20"/>
                <w:szCs w:val="20"/>
                <w:color w:val="auto"/>
              </w:rPr>
            </w:pPr>
            <w:r>
              <w:rPr>
                <w:rFonts w:ascii="Calibri" w:cs="Calibri" w:eastAsia="Calibri" w:hAnsi="Calibri"/>
                <w:sz w:val="17"/>
                <w:szCs w:val="17"/>
                <w:b w:val="1"/>
                <w:bCs w:val="1"/>
                <w:color w:val="auto"/>
              </w:rPr>
              <w:t>16,978,970</w:t>
            </w:r>
          </w:p>
        </w:tc>
        <w:tc>
          <w:tcPr>
            <w:tcW w:w="1260" w:type="dxa"/>
            <w:vAlign w:val="bottom"/>
          </w:tcPr>
          <w:p>
            <w:pPr>
              <w:jc w:val="center"/>
              <w:ind w:right="17"/>
              <w:spacing w:after="0"/>
              <w:rPr>
                <w:sz w:val="20"/>
                <w:szCs w:val="20"/>
                <w:color w:val="auto"/>
              </w:rPr>
            </w:pPr>
            <w:r>
              <w:rPr>
                <w:rFonts w:ascii="Calibri" w:cs="Calibri" w:eastAsia="Calibri" w:hAnsi="Calibri"/>
                <w:sz w:val="17"/>
                <w:szCs w:val="17"/>
                <w:b w:val="1"/>
                <w:bCs w:val="1"/>
                <w:color w:val="auto"/>
                <w:w w:val="97"/>
              </w:rPr>
              <w:t>17,225,973</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16,997,238</w:t>
            </w:r>
          </w:p>
        </w:tc>
        <w:tc>
          <w:tcPr>
            <w:tcW w:w="980" w:type="dxa"/>
            <w:vAlign w:val="bottom"/>
          </w:tcPr>
          <w:p>
            <w:pPr>
              <w:jc w:val="center"/>
              <w:spacing w:after="0"/>
              <w:rPr>
                <w:sz w:val="20"/>
                <w:szCs w:val="20"/>
                <w:color w:val="auto"/>
              </w:rPr>
            </w:pPr>
            <w:r>
              <w:rPr>
                <w:rFonts w:ascii="Calibri" w:cs="Calibri" w:eastAsia="Calibri" w:hAnsi="Calibri"/>
                <w:sz w:val="17"/>
                <w:szCs w:val="17"/>
                <w:b w:val="1"/>
                <w:bCs w:val="1"/>
                <w:color w:val="auto"/>
              </w:rPr>
              <w:t>-1.3%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0.1%</w:t>
            </w:r>
          </w:p>
        </w:tc>
        <w:tc>
          <w:tcPr>
            <w:tcW w:w="0" w:type="dxa"/>
            <w:vAlign w:val="bottom"/>
          </w:tcPr>
          <w:p>
            <w:pPr>
              <w:spacing w:after="0"/>
              <w:rPr>
                <w:sz w:val="1"/>
                <w:szCs w:val="1"/>
                <w:color w:val="auto"/>
              </w:rPr>
            </w:pPr>
          </w:p>
        </w:tc>
      </w:tr>
      <w:tr>
        <w:trPr>
          <w:trHeight w:val="408"/>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b w:val="1"/>
                <w:bCs w:val="1"/>
                <w:color w:val="auto"/>
              </w:rPr>
              <w:t>LIABILITIES AND NET SHAREHOLDERS’ EQUITY</w:t>
            </w:r>
          </w:p>
        </w:tc>
        <w:tc>
          <w:tcPr>
            <w:tcW w:w="460" w:type="dxa"/>
            <w:vAlign w:val="bottom"/>
            <w:tcBorders>
              <w:right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Deposits and obligatons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color w:val="auto"/>
                <w:w w:val="98"/>
              </w:rPr>
              <w:t>8,782,960</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8"/>
              </w:rPr>
              <w:t>9,315,188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9,577,206</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2.8%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9.0%</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Due to banks and correspondents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color w:val="auto"/>
                <w:w w:val="98"/>
              </w:rPr>
              <w:t>2,952,092</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8"/>
              </w:rPr>
              <w:t>3,074,234</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2,759,826</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-10.2%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-6.5%</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Bonds and subordinated debt</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color w:val="auto"/>
                <w:w w:val="99"/>
              </w:rPr>
              <w:t>256,701</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9"/>
              </w:rPr>
              <w:t>552,728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576,360</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4.3%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124.5%</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Other liabilites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color w:val="auto"/>
                <w:w w:val="98"/>
              </w:rPr>
              <w:t>2,523,136</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8"/>
              </w:rPr>
              <w:t>1,502,258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1,282,571</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-14.6%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-49.2%</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2100"/>
              <w:spacing w:after="0"/>
              <w:rPr>
                <w:sz w:val="20"/>
                <w:szCs w:val="20"/>
                <w:color w:val="auto"/>
              </w:rPr>
            </w:pPr>
            <w:r>
              <w:rPr>
                <w:rFonts w:ascii="Calibri" w:cs="Calibri" w:eastAsia="Calibri" w:hAnsi="Calibri"/>
                <w:sz w:val="17"/>
                <w:szCs w:val="17"/>
                <w:b w:val="1"/>
                <w:bCs w:val="1"/>
                <w:color w:val="auto"/>
              </w:rPr>
              <w:t>Total liabilites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ind w:right="17"/>
              <w:spacing w:after="0"/>
              <w:rPr>
                <w:sz w:val="20"/>
                <w:szCs w:val="20"/>
                <w:color w:val="auto"/>
              </w:rPr>
            </w:pPr>
            <w:r>
              <w:rPr>
                <w:rFonts w:ascii="Calibri" w:cs="Calibri" w:eastAsia="Calibri" w:hAnsi="Calibri"/>
                <w:sz w:val="17"/>
                <w:szCs w:val="17"/>
                <w:b w:val="1"/>
                <w:bCs w:val="1"/>
                <w:color w:val="auto"/>
              </w:rPr>
              <w:t>14,514,889</w:t>
            </w:r>
          </w:p>
        </w:tc>
        <w:tc>
          <w:tcPr>
            <w:tcW w:w="1260" w:type="dxa"/>
            <w:vAlign w:val="bottom"/>
          </w:tcPr>
          <w:p>
            <w:pPr>
              <w:jc w:val="center"/>
              <w:ind w:right="17"/>
              <w:spacing w:after="0"/>
              <w:rPr>
                <w:sz w:val="20"/>
                <w:szCs w:val="20"/>
                <w:color w:val="auto"/>
              </w:rPr>
            </w:pPr>
            <w:r>
              <w:rPr>
                <w:rFonts w:ascii="Calibri" w:cs="Calibri" w:eastAsia="Calibri" w:hAnsi="Calibri"/>
                <w:sz w:val="17"/>
                <w:szCs w:val="17"/>
                <w:b w:val="1"/>
                <w:bCs w:val="1"/>
                <w:color w:val="auto"/>
                <w:w w:val="97"/>
              </w:rPr>
              <w:t>14,444,408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14,195,963</w:t>
            </w:r>
          </w:p>
        </w:tc>
        <w:tc>
          <w:tcPr>
            <w:tcW w:w="980" w:type="dxa"/>
            <w:vAlign w:val="bottom"/>
          </w:tcPr>
          <w:p>
            <w:pPr>
              <w:jc w:val="center"/>
              <w:spacing w:after="0"/>
              <w:rPr>
                <w:sz w:val="20"/>
                <w:szCs w:val="20"/>
                <w:color w:val="auto"/>
              </w:rPr>
            </w:pPr>
            <w:r>
              <w:rPr>
                <w:rFonts w:ascii="Calibri" w:cs="Calibri" w:eastAsia="Calibri" w:hAnsi="Calibri"/>
                <w:sz w:val="17"/>
                <w:szCs w:val="17"/>
                <w:b w:val="1"/>
                <w:bCs w:val="1"/>
                <w:color w:val="auto"/>
              </w:rPr>
              <w:t>-1.7%</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6"/>
              </w:rPr>
              <w:t>-2.2%</w:t>
            </w:r>
          </w:p>
        </w:tc>
        <w:tc>
          <w:tcPr>
            <w:tcW w:w="0" w:type="dxa"/>
            <w:vAlign w:val="bottom"/>
          </w:tcPr>
          <w:p>
            <w:pPr>
              <w:spacing w:after="0"/>
              <w:rPr>
                <w:sz w:val="1"/>
                <w:szCs w:val="1"/>
                <w:color w:val="auto"/>
              </w:rPr>
            </w:pPr>
          </w:p>
        </w:tc>
      </w:tr>
      <w:tr>
        <w:trPr>
          <w:trHeight w:val="408"/>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b w:val="1"/>
                <w:bCs w:val="1"/>
                <w:color w:val="auto"/>
              </w:rPr>
              <w:t>Net equity</w:t>
            </w:r>
          </w:p>
        </w:tc>
        <w:tc>
          <w:tcPr>
            <w:tcW w:w="460" w:type="dxa"/>
            <w:vAlign w:val="bottom"/>
            <w:tcBorders>
              <w:right w:val="single" w:sz="8" w:color="auto"/>
            </w:tcBorders>
          </w:tcPr>
          <w:p>
            <w:pPr>
              <w:spacing w:after="0"/>
              <w:rPr>
                <w:sz w:val="24"/>
                <w:szCs w:val="24"/>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b w:val="1"/>
                <w:bCs w:val="1"/>
                <w:color w:val="auto"/>
                <w:w w:val="98"/>
              </w:rPr>
              <w:t>2,464,082</w:t>
            </w:r>
          </w:p>
        </w:tc>
        <w:tc>
          <w:tcPr>
            <w:tcW w:w="1260" w:type="dxa"/>
            <w:vAlign w:val="bottom"/>
          </w:tcPr>
          <w:p>
            <w:pPr>
              <w:jc w:val="center"/>
              <w:ind w:right="17"/>
              <w:spacing w:after="0"/>
              <w:rPr>
                <w:sz w:val="20"/>
                <w:szCs w:val="20"/>
                <w:color w:val="auto"/>
              </w:rPr>
            </w:pPr>
            <w:r>
              <w:rPr>
                <w:rFonts w:ascii="Calibri" w:cs="Calibri" w:eastAsia="Calibri" w:hAnsi="Calibri"/>
                <w:sz w:val="17"/>
                <w:szCs w:val="17"/>
                <w:b w:val="1"/>
                <w:bCs w:val="1"/>
                <w:color w:val="auto"/>
                <w:w w:val="98"/>
              </w:rPr>
              <w:t>2,781,565</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2,801,275</w:t>
            </w:r>
          </w:p>
        </w:tc>
        <w:tc>
          <w:tcPr>
            <w:tcW w:w="98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0.7%</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13.7%</w:t>
            </w:r>
          </w:p>
        </w:tc>
        <w:tc>
          <w:tcPr>
            <w:tcW w:w="0" w:type="dxa"/>
            <w:vAlign w:val="bottom"/>
          </w:tcPr>
          <w:p>
            <w:pPr>
              <w:spacing w:after="0"/>
              <w:rPr>
                <w:sz w:val="1"/>
                <w:szCs w:val="1"/>
                <w:color w:val="auto"/>
              </w:rPr>
            </w:pPr>
          </w:p>
        </w:tc>
      </w:tr>
      <w:tr>
        <w:trPr>
          <w:trHeight w:val="408"/>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b w:val="1"/>
                <w:bCs w:val="1"/>
                <w:color w:val="auto"/>
              </w:rPr>
              <w:t>TOTAL LIABILITIES AND NET SHAREHOLDERS’ EQUITY</w:t>
            </w:r>
          </w:p>
        </w:tc>
        <w:tc>
          <w:tcPr>
            <w:tcW w:w="460" w:type="dxa"/>
            <w:vAlign w:val="bottom"/>
            <w:tcBorders>
              <w:right w:val="single" w:sz="8" w:color="auto"/>
            </w:tcBorders>
          </w:tcPr>
          <w:p>
            <w:pPr>
              <w:spacing w:after="0"/>
              <w:rPr>
                <w:sz w:val="24"/>
                <w:szCs w:val="24"/>
                <w:color w:val="auto"/>
              </w:rPr>
            </w:pPr>
          </w:p>
        </w:tc>
        <w:tc>
          <w:tcPr>
            <w:tcW w:w="1440" w:type="dxa"/>
            <w:vAlign w:val="bottom"/>
          </w:tcPr>
          <w:p>
            <w:pPr>
              <w:jc w:val="center"/>
              <w:ind w:right="17"/>
              <w:spacing w:after="0"/>
              <w:rPr>
                <w:sz w:val="20"/>
                <w:szCs w:val="20"/>
                <w:color w:val="auto"/>
              </w:rPr>
            </w:pPr>
            <w:r>
              <w:rPr>
                <w:rFonts w:ascii="Calibri" w:cs="Calibri" w:eastAsia="Calibri" w:hAnsi="Calibri"/>
                <w:sz w:val="17"/>
                <w:szCs w:val="17"/>
                <w:b w:val="1"/>
                <w:bCs w:val="1"/>
                <w:color w:val="auto"/>
              </w:rPr>
              <w:t>16,978,970</w:t>
            </w:r>
          </w:p>
        </w:tc>
        <w:tc>
          <w:tcPr>
            <w:tcW w:w="1260" w:type="dxa"/>
            <w:vAlign w:val="bottom"/>
          </w:tcPr>
          <w:p>
            <w:pPr>
              <w:jc w:val="center"/>
              <w:ind w:right="17"/>
              <w:spacing w:after="0"/>
              <w:rPr>
                <w:sz w:val="20"/>
                <w:szCs w:val="20"/>
                <w:color w:val="auto"/>
              </w:rPr>
            </w:pPr>
            <w:r>
              <w:rPr>
                <w:rFonts w:ascii="Calibri" w:cs="Calibri" w:eastAsia="Calibri" w:hAnsi="Calibri"/>
                <w:sz w:val="17"/>
                <w:szCs w:val="17"/>
                <w:b w:val="1"/>
                <w:bCs w:val="1"/>
                <w:color w:val="auto"/>
                <w:w w:val="97"/>
              </w:rPr>
              <w:t>17,225,973</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16,997,238</w:t>
            </w:r>
          </w:p>
        </w:tc>
        <w:tc>
          <w:tcPr>
            <w:tcW w:w="980" w:type="dxa"/>
            <w:vAlign w:val="bottom"/>
          </w:tcPr>
          <w:p>
            <w:pPr>
              <w:jc w:val="center"/>
              <w:spacing w:after="0"/>
              <w:rPr>
                <w:sz w:val="20"/>
                <w:szCs w:val="20"/>
                <w:color w:val="auto"/>
              </w:rPr>
            </w:pPr>
            <w:r>
              <w:rPr>
                <w:rFonts w:ascii="Calibri" w:cs="Calibri" w:eastAsia="Calibri" w:hAnsi="Calibri"/>
                <w:sz w:val="17"/>
                <w:szCs w:val="17"/>
                <w:b w:val="1"/>
                <w:bCs w:val="1"/>
                <w:color w:val="auto"/>
              </w:rPr>
              <w:t>-1.3%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0.1%</w:t>
            </w:r>
          </w:p>
        </w:tc>
        <w:tc>
          <w:tcPr>
            <w:tcW w:w="0" w:type="dxa"/>
            <w:vAlign w:val="bottom"/>
          </w:tcPr>
          <w:p>
            <w:pPr>
              <w:spacing w:after="0"/>
              <w:rPr>
                <w:sz w:val="1"/>
                <w:szCs w:val="1"/>
                <w:color w:val="auto"/>
              </w:rPr>
            </w:pPr>
          </w:p>
        </w:tc>
      </w:tr>
      <w:tr>
        <w:trPr>
          <w:trHeight w:val="42"/>
        </w:trPr>
        <w:tc>
          <w:tcPr>
            <w:tcW w:w="4740" w:type="dxa"/>
            <w:vAlign w:val="bottom"/>
            <w:tcBorders>
              <w:left w:val="single" w:sz="8" w:color="auto"/>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4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7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440" w:type="dxa"/>
            <w:vAlign w:val="bottom"/>
            <w:shd w:val="clear" w:color="auto" w:fill="33CCCC"/>
          </w:tcPr>
          <w:p>
            <w:pPr>
              <w:spacing w:after="0"/>
              <w:rPr>
                <w:sz w:val="15"/>
                <w:szCs w:val="15"/>
                <w:color w:val="auto"/>
              </w:rPr>
            </w:pPr>
          </w:p>
        </w:tc>
        <w:tc>
          <w:tcPr>
            <w:tcW w:w="1260" w:type="dxa"/>
            <w:vAlign w:val="bottom"/>
            <w:shd w:val="clear" w:color="auto" w:fill="33CCCC"/>
          </w:tcPr>
          <w:p>
            <w:pPr>
              <w:jc w:val="center"/>
              <w:ind w:right="17"/>
              <w:spacing w:after="0" w:line="180" w:lineRule="exact"/>
              <w:rPr>
                <w:sz w:val="20"/>
                <w:szCs w:val="20"/>
                <w:color w:val="auto"/>
              </w:rPr>
            </w:pPr>
            <w:r>
              <w:rPr>
                <w:rFonts w:ascii="Calibri" w:cs="Calibri" w:eastAsia="Calibri" w:hAnsi="Calibri"/>
                <w:sz w:val="15"/>
                <w:szCs w:val="15"/>
                <w:b w:val="1"/>
                <w:bCs w:val="1"/>
                <w:color w:val="FFFFFF"/>
                <w:w w:val="97"/>
              </w:rPr>
              <w:t>Quarter</w:t>
            </w:r>
          </w:p>
        </w:tc>
        <w:tc>
          <w:tcPr>
            <w:tcW w:w="1360" w:type="dxa"/>
            <w:vAlign w:val="bottom"/>
            <w:tcBorders>
              <w:right w:val="single" w:sz="8" w:color="auto"/>
            </w:tcBorders>
            <w:shd w:val="clear" w:color="auto" w:fill="33CCCC"/>
          </w:tcPr>
          <w:p>
            <w:pPr>
              <w:spacing w:after="0"/>
              <w:rPr>
                <w:sz w:val="15"/>
                <w:szCs w:val="15"/>
                <w:color w:val="auto"/>
              </w:rPr>
            </w:pPr>
          </w:p>
        </w:tc>
        <w:tc>
          <w:tcPr>
            <w:tcW w:w="2020" w:type="dxa"/>
            <w:vAlign w:val="bottom"/>
            <w:tcBorders>
              <w:right w:val="single" w:sz="8" w:color="auto"/>
            </w:tcBorders>
            <w:gridSpan w:val="2"/>
            <w:shd w:val="clear" w:color="auto" w:fill="33CCCC"/>
          </w:tcPr>
          <w:p>
            <w:pPr>
              <w:jc w:val="center"/>
              <w:spacing w:after="0" w:line="180" w:lineRule="exact"/>
              <w:rPr>
                <w:sz w:val="20"/>
                <w:szCs w:val="20"/>
                <w:color w:val="auto"/>
              </w:rPr>
            </w:pPr>
            <w:r>
              <w:rPr>
                <w:rFonts w:ascii="Calibri" w:cs="Calibri" w:eastAsia="Calibri" w:hAnsi="Calibri"/>
                <w:sz w:val="15"/>
                <w:szCs w:val="15"/>
                <w:b w:val="1"/>
                <w:bCs w:val="1"/>
                <w:color w:val="FFFFFF"/>
                <w:w w:val="98"/>
              </w:rPr>
              <w:t>% change</w:t>
            </w:r>
          </w:p>
        </w:tc>
        <w:tc>
          <w:tcPr>
            <w:tcW w:w="0" w:type="dxa"/>
            <w:vAlign w:val="bottom"/>
          </w:tcPr>
          <w:p>
            <w:pPr>
              <w:spacing w:after="0"/>
              <w:rPr>
                <w:sz w:val="1"/>
                <w:szCs w:val="1"/>
                <w:color w:val="auto"/>
              </w:rPr>
            </w:pPr>
          </w:p>
        </w:tc>
      </w:tr>
      <w:tr>
        <w:trPr>
          <w:trHeight w:val="232"/>
        </w:trPr>
        <w:tc>
          <w:tcPr>
            <w:tcW w:w="474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44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6"/>
              </w:rPr>
              <w:t>1Q22</w:t>
            </w:r>
          </w:p>
        </w:tc>
        <w:tc>
          <w:tcPr>
            <w:tcW w:w="1260" w:type="dxa"/>
            <w:vAlign w:val="bottom"/>
            <w:tcBorders>
              <w:bottom w:val="single" w:sz="8" w:color="33CCCC"/>
            </w:tcBorders>
            <w:shd w:val="clear" w:color="auto" w:fill="33CCCC"/>
          </w:tcPr>
          <w:p>
            <w:pPr>
              <w:jc w:val="center"/>
              <w:ind w:right="17"/>
              <w:spacing w:after="0"/>
              <w:rPr>
                <w:sz w:val="20"/>
                <w:szCs w:val="20"/>
                <w:color w:val="auto"/>
              </w:rPr>
            </w:pPr>
            <w:r>
              <w:rPr>
                <w:rFonts w:ascii="Calibri" w:cs="Calibri" w:eastAsia="Calibri" w:hAnsi="Calibri"/>
                <w:sz w:val="15"/>
                <w:szCs w:val="15"/>
                <w:b w:val="1"/>
                <w:bCs w:val="1"/>
                <w:color w:val="FFFFFF"/>
                <w:w w:val="96"/>
              </w:rPr>
              <w:t>4Q22</w:t>
            </w:r>
          </w:p>
        </w:tc>
        <w:tc>
          <w:tcPr>
            <w:tcW w:w="136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rPr>
              <w:t>1Q23</w:t>
            </w:r>
          </w:p>
        </w:tc>
        <w:tc>
          <w:tcPr>
            <w:tcW w:w="98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7"/>
              </w:rPr>
              <w:t>QoQ</w:t>
            </w:r>
          </w:p>
        </w:tc>
        <w:tc>
          <w:tcPr>
            <w:tcW w:w="104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5"/>
                <w:szCs w:val="15"/>
                <w:b w:val="1"/>
                <w:bCs w:val="1"/>
                <w:color w:val="FFFFFF"/>
                <w:w w:val="92"/>
              </w:rPr>
              <w:t>YoY</w:t>
            </w:r>
          </w:p>
        </w:tc>
        <w:tc>
          <w:tcPr>
            <w:tcW w:w="0" w:type="dxa"/>
            <w:vAlign w:val="bottom"/>
          </w:tcPr>
          <w:p>
            <w:pPr>
              <w:spacing w:after="0"/>
              <w:rPr>
                <w:sz w:val="1"/>
                <w:szCs w:val="1"/>
                <w:color w:val="auto"/>
              </w:rPr>
            </w:pPr>
          </w:p>
        </w:tc>
      </w:tr>
      <w:tr>
        <w:trPr>
          <w:trHeight w:val="197"/>
        </w:trPr>
        <w:tc>
          <w:tcPr>
            <w:tcW w:w="4740" w:type="dxa"/>
            <w:vAlign w:val="bottom"/>
            <w:tcBorders>
              <w:top w:val="single" w:sz="8" w:color="auto"/>
              <w:left w:val="single" w:sz="8" w:color="auto"/>
            </w:tcBorders>
          </w:tcPr>
          <w:p>
            <w:pPr>
              <w:ind w:left="40"/>
              <w:spacing w:after="0" w:line="197" w:lineRule="exact"/>
              <w:rPr>
                <w:sz w:val="20"/>
                <w:szCs w:val="20"/>
                <w:color w:val="auto"/>
              </w:rPr>
            </w:pPr>
            <w:r>
              <w:rPr>
                <w:rFonts w:ascii="Calibri" w:cs="Calibri" w:eastAsia="Calibri" w:hAnsi="Calibri"/>
                <w:sz w:val="17"/>
                <w:szCs w:val="17"/>
                <w:color w:val="auto"/>
              </w:rPr>
              <w:t>Net interest income</w:t>
            </w:r>
          </w:p>
        </w:tc>
        <w:tc>
          <w:tcPr>
            <w:tcW w:w="460" w:type="dxa"/>
            <w:vAlign w:val="bottom"/>
            <w:tcBorders>
              <w:top w:val="single" w:sz="8" w:color="auto"/>
              <w:right w:val="single" w:sz="8" w:color="auto"/>
            </w:tcBorders>
          </w:tcPr>
          <w:p>
            <w:pPr>
              <w:spacing w:after="0"/>
              <w:rPr>
                <w:sz w:val="17"/>
                <w:szCs w:val="17"/>
                <w:color w:val="auto"/>
              </w:rPr>
            </w:pPr>
          </w:p>
        </w:tc>
        <w:tc>
          <w:tcPr>
            <w:tcW w:w="1440" w:type="dxa"/>
            <w:vAlign w:val="bottom"/>
            <w:tcBorders>
              <w:top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9"/>
              </w:rPr>
              <w:t>512,222</w:t>
            </w:r>
          </w:p>
        </w:tc>
        <w:tc>
          <w:tcPr>
            <w:tcW w:w="1260" w:type="dxa"/>
            <w:vAlign w:val="bottom"/>
            <w:tcBorders>
              <w:top w:val="single" w:sz="8" w:color="auto"/>
            </w:tcBorders>
          </w:tcPr>
          <w:p>
            <w:pPr>
              <w:jc w:val="center"/>
              <w:ind w:right="17"/>
              <w:spacing w:after="0" w:line="197" w:lineRule="exact"/>
              <w:rPr>
                <w:sz w:val="20"/>
                <w:szCs w:val="20"/>
                <w:color w:val="auto"/>
              </w:rPr>
            </w:pPr>
            <w:r>
              <w:rPr>
                <w:rFonts w:ascii="Calibri" w:cs="Calibri" w:eastAsia="Calibri" w:hAnsi="Calibri"/>
                <w:sz w:val="17"/>
                <w:szCs w:val="17"/>
                <w:color w:val="auto"/>
                <w:w w:val="99"/>
              </w:rPr>
              <w:t>539,510</w:t>
            </w:r>
          </w:p>
        </w:tc>
        <w:tc>
          <w:tcPr>
            <w:tcW w:w="1360" w:type="dxa"/>
            <w:vAlign w:val="bottom"/>
            <w:tcBorders>
              <w:top w:val="single" w:sz="8" w:color="auto"/>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9"/>
              </w:rPr>
              <w:t>518,763</w:t>
            </w:r>
          </w:p>
        </w:tc>
        <w:tc>
          <w:tcPr>
            <w:tcW w:w="980" w:type="dxa"/>
            <w:vAlign w:val="bottom"/>
            <w:tcBorders>
              <w:top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7"/>
              </w:rPr>
              <w:t>-3.8%</w:t>
            </w:r>
          </w:p>
        </w:tc>
        <w:tc>
          <w:tcPr>
            <w:tcW w:w="1040" w:type="dxa"/>
            <w:vAlign w:val="bottom"/>
            <w:tcBorders>
              <w:top w:val="single" w:sz="8" w:color="auto"/>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1.3%</w:t>
            </w:r>
          </w:p>
        </w:tc>
        <w:tc>
          <w:tcPr>
            <w:tcW w:w="0" w:type="dxa"/>
            <w:vAlign w:val="bottom"/>
          </w:tcPr>
          <w:p>
            <w:pPr>
              <w:spacing w:after="0"/>
              <w:rPr>
                <w:sz w:val="1"/>
                <w:szCs w:val="1"/>
                <w:color w:val="auto"/>
              </w:rPr>
            </w:pPr>
          </w:p>
        </w:tc>
      </w:tr>
      <w:tr>
        <w:trPr>
          <w:trHeight w:val="218"/>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Provision for loan losses, net of recoveries</w:t>
            </w:r>
          </w:p>
        </w:tc>
        <w:tc>
          <w:tcPr>
            <w:tcW w:w="460" w:type="dxa"/>
            <w:vAlign w:val="bottom"/>
            <w:tcBorders>
              <w:right w:val="single" w:sz="8" w:color="auto"/>
            </w:tcBorders>
          </w:tcPr>
          <w:p>
            <w:pPr>
              <w:spacing w:after="0"/>
              <w:rPr>
                <w:sz w:val="18"/>
                <w:szCs w:val="18"/>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color w:val="auto"/>
                <w:w w:val="98"/>
              </w:rPr>
              <w:t>-105,337</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8"/>
              </w:rPr>
              <w:t>-194,245</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-227,369</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9"/>
              </w:rPr>
              <w:t>17.1%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115.8%</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b w:val="1"/>
                <w:bCs w:val="1"/>
                <w:color w:val="auto"/>
              </w:rPr>
              <w:t>Net interest income afer provisions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406,885</w:t>
            </w:r>
          </w:p>
        </w:tc>
        <w:tc>
          <w:tcPr>
            <w:tcW w:w="1260" w:type="dxa"/>
            <w:vAlign w:val="bottom"/>
          </w:tcPr>
          <w:p>
            <w:pPr>
              <w:jc w:val="center"/>
              <w:ind w:right="17"/>
              <w:spacing w:after="0"/>
              <w:rPr>
                <w:sz w:val="20"/>
                <w:szCs w:val="20"/>
                <w:color w:val="auto"/>
              </w:rPr>
            </w:pPr>
            <w:r>
              <w:rPr>
                <w:rFonts w:ascii="Calibri" w:cs="Calibri" w:eastAsia="Calibri" w:hAnsi="Calibri"/>
                <w:sz w:val="17"/>
                <w:szCs w:val="17"/>
                <w:b w:val="1"/>
                <w:bCs w:val="1"/>
                <w:color w:val="auto"/>
                <w:w w:val="99"/>
              </w:rPr>
              <w:t>345,266</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291,394</w:t>
            </w:r>
          </w:p>
        </w:tc>
        <w:tc>
          <w:tcPr>
            <w:tcW w:w="98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-15.6%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-28.4%</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Non-fnancial income</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color w:val="auto"/>
              </w:rPr>
              <w:t>30,620</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rPr>
              <w:t>35,755</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36,337</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1.6%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18.7%</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Total expenses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color w:val="auto"/>
                <w:w w:val="98"/>
              </w:rPr>
              <w:t>-288,029</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8"/>
              </w:rPr>
              <w:t>-316,253</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-302,982</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7"/>
              </w:rPr>
              <w:t>-4.2%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5.2%</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Translaton result</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color w:val="auto"/>
                <w:w w:val="92"/>
              </w:rPr>
              <w:t>0</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2"/>
              </w:rPr>
              <w:t>0</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2"/>
              </w:rPr>
              <w:t>0</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0.0%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0.0%</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Income taxes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color w:val="auto"/>
                <w:w w:val="98"/>
              </w:rPr>
              <w:t>-46,540</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8"/>
              </w:rPr>
              <w:t>-17,814</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-1,607</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-91.0%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-96.5%</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b w:val="1"/>
                <w:bCs w:val="1"/>
                <w:color w:val="auto"/>
              </w:rPr>
              <w:t>Net income</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102,935</w:t>
            </w:r>
          </w:p>
        </w:tc>
        <w:tc>
          <w:tcPr>
            <w:tcW w:w="1260" w:type="dxa"/>
            <w:vAlign w:val="bottom"/>
          </w:tcPr>
          <w:p>
            <w:pPr>
              <w:jc w:val="center"/>
              <w:ind w:right="17"/>
              <w:spacing w:after="0"/>
              <w:rPr>
                <w:sz w:val="20"/>
                <w:szCs w:val="20"/>
                <w:color w:val="auto"/>
              </w:rPr>
            </w:pPr>
            <w:r>
              <w:rPr>
                <w:rFonts w:ascii="Calibri" w:cs="Calibri" w:eastAsia="Calibri" w:hAnsi="Calibri"/>
                <w:sz w:val="17"/>
                <w:szCs w:val="17"/>
                <w:b w:val="1"/>
                <w:bCs w:val="1"/>
                <w:color w:val="auto"/>
              </w:rPr>
              <w:t>46,954</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23,142</w:t>
            </w:r>
          </w:p>
        </w:tc>
        <w:tc>
          <w:tcPr>
            <w:tcW w:w="98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-50.7%</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-77.5%</w:t>
            </w:r>
          </w:p>
        </w:tc>
        <w:tc>
          <w:tcPr>
            <w:tcW w:w="0" w:type="dxa"/>
            <w:vAlign w:val="bottom"/>
          </w:tcPr>
          <w:p>
            <w:pPr>
              <w:spacing w:after="0"/>
              <w:rPr>
                <w:sz w:val="1"/>
                <w:szCs w:val="1"/>
                <w:color w:val="auto"/>
              </w:rPr>
            </w:pPr>
          </w:p>
        </w:tc>
      </w:tr>
      <w:tr>
        <w:trPr>
          <w:trHeight w:val="42"/>
        </w:trPr>
        <w:tc>
          <w:tcPr>
            <w:tcW w:w="4740" w:type="dxa"/>
            <w:vAlign w:val="bottom"/>
            <w:tcBorders>
              <w:left w:val="single" w:sz="8" w:color="auto"/>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40" w:type="dxa"/>
            <w:vAlign w:val="bottom"/>
            <w:tcBorders>
              <w:left w:val="single" w:sz="8" w:color="auto"/>
            </w:tcBorders>
          </w:tcPr>
          <w:p>
            <w:pPr>
              <w:ind w:left="40"/>
              <w:spacing w:after="0" w:line="197" w:lineRule="exact"/>
              <w:rPr>
                <w:sz w:val="20"/>
                <w:szCs w:val="20"/>
                <w:color w:val="auto"/>
              </w:rPr>
            </w:pPr>
            <w:r>
              <w:rPr>
                <w:rFonts w:ascii="Calibri" w:cs="Calibri" w:eastAsia="Calibri" w:hAnsi="Calibri"/>
                <w:sz w:val="17"/>
                <w:szCs w:val="17"/>
                <w:color w:val="auto"/>
              </w:rPr>
              <w:t>Efciency rato</w:t>
            </w:r>
          </w:p>
        </w:tc>
        <w:tc>
          <w:tcPr>
            <w:tcW w:w="460" w:type="dxa"/>
            <w:vAlign w:val="bottom"/>
            <w:tcBorders>
              <w:right w:val="single" w:sz="8" w:color="auto"/>
            </w:tcBorders>
          </w:tcPr>
          <w:p>
            <w:pPr>
              <w:spacing w:after="0"/>
              <w:rPr>
                <w:sz w:val="17"/>
                <w:szCs w:val="17"/>
                <w:color w:val="auto"/>
              </w:rPr>
            </w:pPr>
          </w:p>
        </w:tc>
        <w:tc>
          <w:tcPr>
            <w:tcW w:w="1440" w:type="dxa"/>
            <w:vAlign w:val="bottom"/>
          </w:tcPr>
          <w:p>
            <w:pPr>
              <w:jc w:val="center"/>
              <w:ind w:right="17"/>
              <w:spacing w:after="0" w:line="197" w:lineRule="exact"/>
              <w:rPr>
                <w:sz w:val="20"/>
                <w:szCs w:val="20"/>
                <w:color w:val="auto"/>
              </w:rPr>
            </w:pPr>
            <w:r>
              <w:rPr>
                <w:rFonts w:ascii="Calibri" w:cs="Calibri" w:eastAsia="Calibri" w:hAnsi="Calibri"/>
                <w:sz w:val="17"/>
                <w:szCs w:val="17"/>
                <w:color w:val="auto"/>
                <w:w w:val="99"/>
              </w:rPr>
              <w:t>53.0%</w:t>
            </w:r>
          </w:p>
        </w:tc>
        <w:tc>
          <w:tcPr>
            <w:tcW w:w="1260" w:type="dxa"/>
            <w:vAlign w:val="bottom"/>
          </w:tcPr>
          <w:p>
            <w:pPr>
              <w:jc w:val="center"/>
              <w:ind w:right="17"/>
              <w:spacing w:after="0" w:line="197" w:lineRule="exact"/>
              <w:rPr>
                <w:sz w:val="20"/>
                <w:szCs w:val="20"/>
                <w:color w:val="auto"/>
              </w:rPr>
            </w:pPr>
            <w:r>
              <w:rPr>
                <w:rFonts w:ascii="Calibri" w:cs="Calibri" w:eastAsia="Calibri" w:hAnsi="Calibri"/>
                <w:sz w:val="17"/>
                <w:szCs w:val="17"/>
                <w:color w:val="auto"/>
              </w:rPr>
              <w:t>52.3%</w:t>
            </w:r>
          </w:p>
        </w:tc>
        <w:tc>
          <w:tcPr>
            <w:tcW w:w="136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9"/>
              </w:rPr>
              <w:t>54.1%</w:t>
            </w:r>
          </w:p>
        </w:tc>
        <w:tc>
          <w:tcPr>
            <w:tcW w:w="980" w:type="dxa"/>
            <w:vAlign w:val="bottom"/>
          </w:tcPr>
          <w:p>
            <w:pPr>
              <w:jc w:val="center"/>
              <w:spacing w:after="0" w:line="197" w:lineRule="exact"/>
              <w:rPr>
                <w:sz w:val="20"/>
                <w:szCs w:val="20"/>
                <w:color w:val="auto"/>
              </w:rPr>
            </w:pPr>
            <w:r>
              <w:rPr>
                <w:rFonts w:ascii="Calibri" w:cs="Calibri" w:eastAsia="Calibri" w:hAnsi="Calibri"/>
                <w:sz w:val="17"/>
                <w:szCs w:val="17"/>
                <w:color w:val="auto"/>
                <w:w w:val="98"/>
              </w:rPr>
              <w:t>-74 bps</w:t>
            </w:r>
          </w:p>
        </w:tc>
        <w:tc>
          <w:tcPr>
            <w:tcW w:w="10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9"/>
              </w:rPr>
              <w:t>-7 bps</w:t>
            </w:r>
          </w:p>
        </w:tc>
        <w:tc>
          <w:tcPr>
            <w:tcW w:w="0" w:type="dxa"/>
            <w:vAlign w:val="bottom"/>
          </w:tcPr>
          <w:p>
            <w:pPr>
              <w:spacing w:after="0"/>
              <w:rPr>
                <w:sz w:val="1"/>
                <w:szCs w:val="1"/>
                <w:color w:val="auto"/>
              </w:rPr>
            </w:pPr>
          </w:p>
        </w:tc>
      </w:tr>
      <w:tr>
        <w:trPr>
          <w:trHeight w:val="218"/>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ROAE</w:t>
            </w:r>
          </w:p>
        </w:tc>
        <w:tc>
          <w:tcPr>
            <w:tcW w:w="460" w:type="dxa"/>
            <w:vAlign w:val="bottom"/>
            <w:tcBorders>
              <w:right w:val="single" w:sz="8" w:color="auto"/>
            </w:tcBorders>
          </w:tcPr>
          <w:p>
            <w:pPr>
              <w:spacing w:after="0"/>
              <w:rPr>
                <w:sz w:val="18"/>
                <w:szCs w:val="18"/>
                <w:color w:val="auto"/>
              </w:rPr>
            </w:pPr>
          </w:p>
        </w:tc>
        <w:tc>
          <w:tcPr>
            <w:tcW w:w="1440" w:type="dxa"/>
            <w:vAlign w:val="bottom"/>
          </w:tcPr>
          <w:p>
            <w:pPr>
              <w:jc w:val="center"/>
              <w:ind w:right="17"/>
              <w:spacing w:after="0"/>
              <w:rPr>
                <w:sz w:val="20"/>
                <w:szCs w:val="20"/>
                <w:color w:val="auto"/>
              </w:rPr>
            </w:pPr>
            <w:r>
              <w:rPr>
                <w:rFonts w:ascii="Calibri" w:cs="Calibri" w:eastAsia="Calibri" w:hAnsi="Calibri"/>
                <w:sz w:val="17"/>
                <w:szCs w:val="17"/>
                <w:color w:val="auto"/>
                <w:w w:val="99"/>
              </w:rPr>
              <w:t>17.1%</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4"/>
              </w:rPr>
              <w:t>6.8%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3.3%</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9"/>
              </w:rPr>
              <w:t>184 bps</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816 bps</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ROAE incl. Goowdill</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ind w:right="17"/>
              <w:spacing w:after="0"/>
              <w:rPr>
                <w:sz w:val="20"/>
                <w:szCs w:val="20"/>
                <w:color w:val="auto"/>
              </w:rPr>
            </w:pPr>
            <w:r>
              <w:rPr>
                <w:rFonts w:ascii="Calibri" w:cs="Calibri" w:eastAsia="Calibri" w:hAnsi="Calibri"/>
                <w:sz w:val="17"/>
                <w:szCs w:val="17"/>
                <w:color w:val="auto"/>
                <w:w w:val="99"/>
              </w:rPr>
              <w:t>16.3%</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4"/>
              </w:rPr>
              <w:t>6.5%</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3.2%</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9"/>
              </w:rPr>
              <w:t>178 bps</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792 bps</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L/D rato</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ind w:right="17"/>
              <w:spacing w:after="0"/>
              <w:rPr>
                <w:sz w:val="20"/>
                <w:szCs w:val="20"/>
                <w:color w:val="auto"/>
              </w:rPr>
            </w:pPr>
            <w:r>
              <w:rPr>
                <w:rFonts w:ascii="Calibri" w:cs="Calibri" w:eastAsia="Calibri" w:hAnsi="Calibri"/>
                <w:sz w:val="17"/>
                <w:szCs w:val="17"/>
                <w:color w:val="auto"/>
                <w:w w:val="98"/>
              </w:rPr>
              <w:t>159.2%</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rPr>
              <w:t>151.2%</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146.2%</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-626 bps</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74 bps</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IOL rato</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ind w:right="17"/>
              <w:spacing w:after="0"/>
              <w:rPr>
                <w:sz w:val="20"/>
                <w:szCs w:val="20"/>
                <w:color w:val="auto"/>
              </w:rPr>
            </w:pPr>
            <w:r>
              <w:rPr>
                <w:rFonts w:ascii="Calibri" w:cs="Calibri" w:eastAsia="Calibri" w:hAnsi="Calibri"/>
                <w:sz w:val="17"/>
                <w:szCs w:val="17"/>
                <w:color w:val="auto"/>
              </w:rPr>
              <w:t>6.8%</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4"/>
              </w:rPr>
              <w:t>5.5%</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5.0%</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8"/>
              </w:rPr>
              <w:t>-23 bps</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-147 bps</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NPL rato</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ind w:right="17"/>
              <w:spacing w:after="0"/>
              <w:rPr>
                <w:sz w:val="20"/>
                <w:szCs w:val="20"/>
                <w:color w:val="auto"/>
              </w:rPr>
            </w:pPr>
            <w:r>
              <w:rPr>
                <w:rFonts w:ascii="Calibri" w:cs="Calibri" w:eastAsia="Calibri" w:hAnsi="Calibri"/>
                <w:sz w:val="17"/>
                <w:szCs w:val="17"/>
                <w:color w:val="auto"/>
              </w:rPr>
              <w:t>7.3%</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w w:val="94"/>
              </w:rPr>
              <w:t>6.1%</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5.7%</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8"/>
              </w:rPr>
              <w:t>-19 bps</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-127 bps</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Coverage of IOLs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ind w:right="17"/>
              <w:spacing w:after="0"/>
              <w:rPr>
                <w:sz w:val="20"/>
                <w:szCs w:val="20"/>
                <w:color w:val="auto"/>
              </w:rPr>
            </w:pPr>
            <w:r>
              <w:rPr>
                <w:rFonts w:ascii="Calibri" w:cs="Calibri" w:eastAsia="Calibri" w:hAnsi="Calibri"/>
                <w:sz w:val="17"/>
                <w:szCs w:val="17"/>
                <w:color w:val="auto"/>
                <w:w w:val="98"/>
              </w:rPr>
              <w:t>120.5%</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rPr>
              <w:t>128.6%</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149.3%</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-322 bps</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-2336 bps</w:t>
            </w:r>
          </w:p>
        </w:tc>
        <w:tc>
          <w:tcPr>
            <w:tcW w:w="0" w:type="dxa"/>
            <w:vAlign w:val="bottom"/>
          </w:tcPr>
          <w:p>
            <w:pPr>
              <w:spacing w:after="0"/>
              <w:rPr>
                <w:sz w:val="1"/>
                <w:szCs w:val="1"/>
                <w:color w:val="auto"/>
              </w:rPr>
            </w:pPr>
          </w:p>
        </w:tc>
      </w:tr>
      <w:tr>
        <w:trPr>
          <w:trHeight w:val="227"/>
        </w:trPr>
        <w:tc>
          <w:tcPr>
            <w:tcW w:w="4740" w:type="dxa"/>
            <w:vAlign w:val="bottom"/>
            <w:tcBorders>
              <w:left w:val="single" w:sz="8" w:color="auto"/>
            </w:tcBorders>
          </w:tcPr>
          <w:p>
            <w:pPr>
              <w:ind w:left="40"/>
              <w:spacing w:after="0"/>
              <w:rPr>
                <w:sz w:val="20"/>
                <w:szCs w:val="20"/>
                <w:color w:val="auto"/>
              </w:rPr>
            </w:pPr>
            <w:r>
              <w:rPr>
                <w:rFonts w:ascii="Calibri" w:cs="Calibri" w:eastAsia="Calibri" w:hAnsi="Calibri"/>
                <w:sz w:val="17"/>
                <w:szCs w:val="17"/>
                <w:color w:val="auto"/>
              </w:rPr>
              <w:t>Coverage of NPLs</w:t>
            </w:r>
          </w:p>
        </w:tc>
        <w:tc>
          <w:tcPr>
            <w:tcW w:w="460" w:type="dxa"/>
            <w:vAlign w:val="bottom"/>
            <w:tcBorders>
              <w:right w:val="single" w:sz="8" w:color="auto"/>
            </w:tcBorders>
          </w:tcPr>
          <w:p>
            <w:pPr>
              <w:spacing w:after="0"/>
              <w:rPr>
                <w:sz w:val="19"/>
                <w:szCs w:val="19"/>
                <w:color w:val="auto"/>
              </w:rPr>
            </w:pPr>
          </w:p>
        </w:tc>
        <w:tc>
          <w:tcPr>
            <w:tcW w:w="1440" w:type="dxa"/>
            <w:vAlign w:val="bottom"/>
          </w:tcPr>
          <w:p>
            <w:pPr>
              <w:jc w:val="center"/>
              <w:ind w:right="17"/>
              <w:spacing w:after="0"/>
              <w:rPr>
                <w:sz w:val="20"/>
                <w:szCs w:val="20"/>
                <w:color w:val="auto"/>
              </w:rPr>
            </w:pPr>
            <w:r>
              <w:rPr>
                <w:rFonts w:ascii="Calibri" w:cs="Calibri" w:eastAsia="Calibri" w:hAnsi="Calibri"/>
                <w:sz w:val="17"/>
                <w:szCs w:val="17"/>
                <w:color w:val="auto"/>
                <w:w w:val="98"/>
              </w:rPr>
              <w:t>112.6%</w:t>
            </w:r>
          </w:p>
        </w:tc>
        <w:tc>
          <w:tcPr>
            <w:tcW w:w="1260" w:type="dxa"/>
            <w:vAlign w:val="bottom"/>
          </w:tcPr>
          <w:p>
            <w:pPr>
              <w:jc w:val="center"/>
              <w:ind w:right="17"/>
              <w:spacing w:after="0"/>
              <w:rPr>
                <w:sz w:val="20"/>
                <w:szCs w:val="20"/>
                <w:color w:val="auto"/>
              </w:rPr>
            </w:pPr>
            <w:r>
              <w:rPr>
                <w:rFonts w:ascii="Calibri" w:cs="Calibri" w:eastAsia="Calibri" w:hAnsi="Calibri"/>
                <w:sz w:val="17"/>
                <w:szCs w:val="17"/>
                <w:color w:val="auto"/>
              </w:rPr>
              <w:t>116.0%</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129.8%</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-387 bps</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-2644 bps</w:t>
            </w:r>
          </w:p>
        </w:tc>
        <w:tc>
          <w:tcPr>
            <w:tcW w:w="0" w:type="dxa"/>
            <w:vAlign w:val="bottom"/>
          </w:tcPr>
          <w:p>
            <w:pPr>
              <w:spacing w:after="0"/>
              <w:rPr>
                <w:sz w:val="1"/>
                <w:szCs w:val="1"/>
                <w:color w:val="auto"/>
              </w:rPr>
            </w:pPr>
          </w:p>
        </w:tc>
      </w:tr>
      <w:tr>
        <w:trPr>
          <w:trHeight w:val="42"/>
        </w:trPr>
        <w:tc>
          <w:tcPr>
            <w:tcW w:w="4740" w:type="dxa"/>
            <w:vAlign w:val="bottom"/>
            <w:tcBorders>
              <w:left w:val="single" w:sz="8" w:color="auto"/>
            </w:tcBorders>
            <w:vMerge w:val="restart"/>
          </w:tcPr>
          <w:p>
            <w:pPr>
              <w:ind w:left="40"/>
              <w:spacing w:after="0" w:line="279" w:lineRule="exact"/>
              <w:rPr>
                <w:sz w:val="20"/>
                <w:szCs w:val="20"/>
                <w:color w:val="auto"/>
              </w:rPr>
            </w:pPr>
            <w:r>
              <w:rPr>
                <w:rFonts w:ascii="Calibri" w:cs="Calibri" w:eastAsia="Calibri" w:hAnsi="Calibri"/>
                <w:sz w:val="17"/>
                <w:szCs w:val="17"/>
                <w:color w:val="auto"/>
              </w:rPr>
              <w:t xml:space="preserve">Branches </w:t>
            </w:r>
            <w:r>
              <w:rPr>
                <w:rFonts w:ascii="Calibri" w:cs="Calibri" w:eastAsia="Calibri" w:hAnsi="Calibri"/>
                <w:sz w:val="27"/>
                <w:szCs w:val="27"/>
                <w:color w:val="auto"/>
                <w:vertAlign w:val="superscript"/>
              </w:rPr>
              <w:t>(1)</w:t>
            </w:r>
          </w:p>
        </w:tc>
        <w:tc>
          <w:tcPr>
            <w:tcW w:w="460" w:type="dxa"/>
            <w:vAlign w:val="bottom"/>
            <w:tcBorders>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4740" w:type="dxa"/>
            <w:vAlign w:val="bottom"/>
            <w:tcBorders>
              <w:left w:val="single" w:sz="8" w:color="auto"/>
            </w:tcBorders>
            <w:vMerge w:val="continue"/>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440" w:type="dxa"/>
            <w:vAlign w:val="bottom"/>
          </w:tcPr>
          <w:p>
            <w:pPr>
              <w:jc w:val="center"/>
              <w:ind w:right="17"/>
              <w:spacing w:after="0" w:line="197" w:lineRule="exact"/>
              <w:rPr>
                <w:sz w:val="20"/>
                <w:szCs w:val="20"/>
                <w:color w:val="auto"/>
              </w:rPr>
            </w:pPr>
            <w:r>
              <w:rPr>
                <w:rFonts w:ascii="Calibri" w:cs="Calibri" w:eastAsia="Calibri" w:hAnsi="Calibri"/>
                <w:sz w:val="17"/>
                <w:szCs w:val="17"/>
                <w:color w:val="auto"/>
              </w:rPr>
              <w:t>310</w:t>
            </w:r>
          </w:p>
        </w:tc>
        <w:tc>
          <w:tcPr>
            <w:tcW w:w="1260" w:type="dxa"/>
            <w:vAlign w:val="bottom"/>
          </w:tcPr>
          <w:p>
            <w:pPr>
              <w:jc w:val="center"/>
              <w:ind w:right="17"/>
              <w:spacing w:after="0" w:line="197" w:lineRule="exact"/>
              <w:rPr>
                <w:sz w:val="20"/>
                <w:szCs w:val="20"/>
                <w:color w:val="auto"/>
              </w:rPr>
            </w:pPr>
            <w:r>
              <w:rPr>
                <w:rFonts w:ascii="Calibri" w:cs="Calibri" w:eastAsia="Calibri" w:hAnsi="Calibri"/>
                <w:sz w:val="17"/>
                <w:szCs w:val="17"/>
                <w:color w:val="auto"/>
                <w:w w:val="92"/>
              </w:rPr>
              <w:t>297</w:t>
            </w:r>
          </w:p>
        </w:tc>
        <w:tc>
          <w:tcPr>
            <w:tcW w:w="136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296</w:t>
            </w:r>
          </w:p>
        </w:tc>
        <w:tc>
          <w:tcPr>
            <w:tcW w:w="980" w:type="dxa"/>
            <w:vAlign w:val="bottom"/>
          </w:tcPr>
          <w:p>
            <w:pPr>
              <w:jc w:val="center"/>
              <w:spacing w:after="0" w:line="197" w:lineRule="exact"/>
              <w:rPr>
                <w:sz w:val="20"/>
                <w:szCs w:val="20"/>
                <w:color w:val="auto"/>
              </w:rPr>
            </w:pPr>
            <w:r>
              <w:rPr>
                <w:rFonts w:ascii="Calibri" w:cs="Calibri" w:eastAsia="Calibri" w:hAnsi="Calibri"/>
                <w:sz w:val="17"/>
                <w:szCs w:val="17"/>
                <w:color w:val="auto"/>
              </w:rPr>
              <w:t>-1</w:t>
            </w:r>
          </w:p>
        </w:tc>
        <w:tc>
          <w:tcPr>
            <w:tcW w:w="10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7"/>
              </w:rPr>
              <w:t>-14</w:t>
            </w:r>
          </w:p>
        </w:tc>
        <w:tc>
          <w:tcPr>
            <w:tcW w:w="0" w:type="dxa"/>
            <w:vAlign w:val="bottom"/>
          </w:tcPr>
          <w:p>
            <w:pPr>
              <w:spacing w:after="0"/>
              <w:rPr>
                <w:sz w:val="1"/>
                <w:szCs w:val="1"/>
                <w:color w:val="auto"/>
              </w:rPr>
            </w:pPr>
          </w:p>
        </w:tc>
      </w:tr>
      <w:tr>
        <w:trPr>
          <w:trHeight w:val="197"/>
        </w:trPr>
        <w:tc>
          <w:tcPr>
            <w:tcW w:w="4740" w:type="dxa"/>
            <w:vAlign w:val="bottom"/>
            <w:tcBorders>
              <w:left w:val="single" w:sz="8" w:color="auto"/>
            </w:tcBorders>
          </w:tcPr>
          <w:p>
            <w:pPr>
              <w:ind w:left="40"/>
              <w:spacing w:after="0" w:line="197" w:lineRule="exact"/>
              <w:rPr>
                <w:sz w:val="20"/>
                <w:szCs w:val="20"/>
                <w:color w:val="auto"/>
              </w:rPr>
            </w:pPr>
            <w:r>
              <w:rPr>
                <w:rFonts w:ascii="Calibri" w:cs="Calibri" w:eastAsia="Calibri" w:hAnsi="Calibri"/>
                <w:sz w:val="17"/>
                <w:szCs w:val="17"/>
                <w:color w:val="auto"/>
              </w:rPr>
              <w:t>Employees</w:t>
            </w:r>
          </w:p>
        </w:tc>
        <w:tc>
          <w:tcPr>
            <w:tcW w:w="460" w:type="dxa"/>
            <w:vAlign w:val="bottom"/>
            <w:tcBorders>
              <w:right w:val="single" w:sz="8" w:color="auto"/>
            </w:tcBorders>
          </w:tcPr>
          <w:p>
            <w:pPr>
              <w:spacing w:after="0"/>
              <w:rPr>
                <w:sz w:val="17"/>
                <w:szCs w:val="17"/>
                <w:color w:val="auto"/>
              </w:rPr>
            </w:pPr>
          </w:p>
        </w:tc>
        <w:tc>
          <w:tcPr>
            <w:tcW w:w="1440" w:type="dxa"/>
            <w:vAlign w:val="bottom"/>
          </w:tcPr>
          <w:p>
            <w:pPr>
              <w:jc w:val="center"/>
              <w:ind w:right="17"/>
              <w:spacing w:after="0" w:line="197" w:lineRule="exact"/>
              <w:rPr>
                <w:sz w:val="20"/>
                <w:szCs w:val="20"/>
                <w:color w:val="auto"/>
              </w:rPr>
            </w:pPr>
            <w:r>
              <w:rPr>
                <w:rFonts w:ascii="Calibri" w:cs="Calibri" w:eastAsia="Calibri" w:hAnsi="Calibri"/>
                <w:sz w:val="17"/>
                <w:szCs w:val="17"/>
                <w:color w:val="auto"/>
                <w:w w:val="97"/>
              </w:rPr>
              <w:t>9,810</w:t>
            </w:r>
          </w:p>
        </w:tc>
        <w:tc>
          <w:tcPr>
            <w:tcW w:w="1260" w:type="dxa"/>
            <w:vAlign w:val="bottom"/>
          </w:tcPr>
          <w:p>
            <w:pPr>
              <w:jc w:val="center"/>
              <w:ind w:right="17"/>
              <w:spacing w:after="0" w:line="197" w:lineRule="exact"/>
              <w:rPr>
                <w:sz w:val="20"/>
                <w:szCs w:val="20"/>
                <w:color w:val="auto"/>
              </w:rPr>
            </w:pPr>
            <w:r>
              <w:rPr>
                <w:rFonts w:ascii="Calibri" w:cs="Calibri" w:eastAsia="Calibri" w:hAnsi="Calibri"/>
                <w:sz w:val="17"/>
                <w:szCs w:val="17"/>
                <w:color w:val="auto"/>
              </w:rPr>
              <w:t>9,725</w:t>
            </w:r>
          </w:p>
        </w:tc>
        <w:tc>
          <w:tcPr>
            <w:tcW w:w="136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7"/>
              </w:rPr>
              <w:t>9,904</w:t>
            </w:r>
          </w:p>
        </w:tc>
        <w:tc>
          <w:tcPr>
            <w:tcW w:w="980" w:type="dxa"/>
            <w:vAlign w:val="bottom"/>
          </w:tcPr>
          <w:p>
            <w:pPr>
              <w:jc w:val="center"/>
              <w:spacing w:after="0" w:line="197" w:lineRule="exact"/>
              <w:rPr>
                <w:sz w:val="20"/>
                <w:szCs w:val="20"/>
                <w:color w:val="auto"/>
              </w:rPr>
            </w:pPr>
            <w:r>
              <w:rPr>
                <w:rFonts w:ascii="Calibri" w:cs="Calibri" w:eastAsia="Calibri" w:hAnsi="Calibri"/>
                <w:sz w:val="17"/>
                <w:szCs w:val="17"/>
                <w:color w:val="auto"/>
              </w:rPr>
              <w:t>179</w:t>
            </w:r>
          </w:p>
        </w:tc>
        <w:tc>
          <w:tcPr>
            <w:tcW w:w="10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94</w:t>
            </w:r>
          </w:p>
        </w:tc>
        <w:tc>
          <w:tcPr>
            <w:tcW w:w="0" w:type="dxa"/>
            <w:vAlign w:val="bottom"/>
          </w:tcPr>
          <w:p>
            <w:pPr>
              <w:spacing w:after="0"/>
              <w:rPr>
                <w:sz w:val="1"/>
                <w:szCs w:val="1"/>
                <w:color w:val="auto"/>
              </w:rPr>
            </w:pPr>
          </w:p>
        </w:tc>
      </w:tr>
      <w:tr>
        <w:trPr>
          <w:trHeight w:val="42"/>
        </w:trPr>
        <w:tc>
          <w:tcPr>
            <w:tcW w:w="4740" w:type="dxa"/>
            <w:vAlign w:val="bottom"/>
            <w:tcBorders>
              <w:left w:val="single" w:sz="8" w:color="auto"/>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-8011160</wp:posOffset>
            </wp:positionV>
            <wp:extent cx="908050" cy="1943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08050" cy="194310"/>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Calibri" w:cs="Calibri" w:eastAsia="Calibri" w:hAnsi="Calibri"/>
          <w:sz w:val="10"/>
          <w:szCs w:val="10"/>
          <w:color w:val="auto"/>
        </w:rPr>
        <w:t>(1) Includes Banco de la Nacion branches, which in December 21, September 22 and December 22 were 34.</w:t>
      </w:r>
    </w:p>
    <w:p>
      <w:pPr>
        <w:spacing w:after="0" w:line="200" w:lineRule="exact"/>
        <w:rPr>
          <w:sz w:val="20"/>
          <w:szCs w:val="20"/>
          <w:color w:val="auto"/>
        </w:rPr>
      </w:pPr>
    </w:p>
    <w:p>
      <w:pPr>
        <w:spacing w:after="0" w:line="256"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3910" cy="146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80"/>
          </w:cols>
          <w:pgMar w:left="300" w:top="174" w:right="319" w:bottom="1440" w:gutter="0" w:footer="0" w:header="0"/>
        </w:sectPr>
      </w:pPr>
    </w:p>
    <w:bookmarkStart w:id="77" w:name="page78"/>
    <w:bookmarkEnd w:id="77"/>
    <w:p>
      <w:pPr>
        <w:ind w:left="2720"/>
        <w:spacing w:after="0"/>
        <w:tabs>
          <w:tab w:leader="none" w:pos="2920" w:val="left"/>
          <w:tab w:leader="none" w:pos="858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3910" cy="2305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p>
      <w:pPr>
        <w:ind w:left="20"/>
        <w:spacing w:after="0"/>
        <w:rPr>
          <w:sz w:val="20"/>
          <w:szCs w:val="20"/>
          <w:color w:val="auto"/>
        </w:rPr>
      </w:pPr>
      <w:r>
        <w:rPr>
          <w:rFonts w:ascii="Calibri" w:cs="Calibri" w:eastAsia="Calibri" w:hAnsi="Calibri"/>
          <w:sz w:val="15"/>
          <w:szCs w:val="15"/>
          <w:b w:val="1"/>
          <w:bCs w:val="1"/>
          <w:color w:val="auto"/>
        </w:rPr>
        <w:t>12.6.7. Prima AFP</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4560" w:type="dxa"/>
            <w:vAlign w:val="bottom"/>
            <w:tcBorders>
              <w:right w:val="single" w:sz="8" w:color="auto"/>
            </w:tcBorders>
          </w:tcPr>
          <w:p>
            <w:pPr>
              <w:spacing w:after="0"/>
              <w:rPr>
                <w:sz w:val="16"/>
                <w:szCs w:val="16"/>
                <w:color w:val="auto"/>
              </w:rPr>
            </w:pPr>
          </w:p>
        </w:tc>
        <w:tc>
          <w:tcPr>
            <w:tcW w:w="1100" w:type="dxa"/>
            <w:vAlign w:val="bottom"/>
            <w:tcBorders>
              <w:top w:val="single" w:sz="8" w:color="auto"/>
            </w:tcBorders>
            <w:shd w:val="clear" w:color="auto" w:fill="2AD2C9"/>
          </w:tcPr>
          <w:p>
            <w:pPr>
              <w:spacing w:after="0"/>
              <w:rPr>
                <w:sz w:val="16"/>
                <w:szCs w:val="16"/>
                <w:color w:val="auto"/>
              </w:rPr>
            </w:pPr>
          </w:p>
        </w:tc>
        <w:tc>
          <w:tcPr>
            <w:tcW w:w="1100" w:type="dxa"/>
            <w:vAlign w:val="bottom"/>
            <w:tcBorders>
              <w:top w:val="single" w:sz="8" w:color="auto"/>
            </w:tcBorders>
            <w:shd w:val="clear" w:color="auto" w:fill="2AD2C9"/>
          </w:tcPr>
          <w:p>
            <w:pPr>
              <w:jc w:val="center"/>
              <w:spacing w:after="0" w:line="185" w:lineRule="exact"/>
              <w:rPr>
                <w:sz w:val="20"/>
                <w:szCs w:val="20"/>
                <w:color w:val="auto"/>
              </w:rPr>
            </w:pPr>
            <w:r>
              <w:rPr>
                <w:rFonts w:ascii="Arial" w:cs="Arial" w:eastAsia="Arial" w:hAnsi="Arial"/>
                <w:sz w:val="17"/>
                <w:szCs w:val="17"/>
                <w:b w:val="1"/>
                <w:bCs w:val="1"/>
                <w:color w:val="FFFFFF"/>
                <w:w w:val="94"/>
              </w:rPr>
              <w:t>As of</w:t>
            </w:r>
          </w:p>
        </w:tc>
        <w:tc>
          <w:tcPr>
            <w:tcW w:w="1100" w:type="dxa"/>
            <w:vAlign w:val="bottom"/>
            <w:tcBorders>
              <w:top w:val="single" w:sz="8" w:color="auto"/>
              <w:right w:val="single" w:sz="8" w:color="auto"/>
            </w:tcBorders>
            <w:shd w:val="clear" w:color="auto" w:fill="2AD2C9"/>
          </w:tcPr>
          <w:p>
            <w:pPr>
              <w:spacing w:after="0"/>
              <w:rPr>
                <w:sz w:val="16"/>
                <w:szCs w:val="16"/>
                <w:color w:val="auto"/>
              </w:rPr>
            </w:pPr>
          </w:p>
        </w:tc>
        <w:tc>
          <w:tcPr>
            <w:tcW w:w="2280" w:type="dxa"/>
            <w:vAlign w:val="bottom"/>
            <w:tcBorders>
              <w:top w:val="single" w:sz="8" w:color="auto"/>
              <w:right w:val="single" w:sz="8" w:color="auto"/>
            </w:tcBorders>
            <w:gridSpan w:val="2"/>
            <w:shd w:val="clear" w:color="auto" w:fill="2AD2C9"/>
          </w:tcPr>
          <w:p>
            <w:pPr>
              <w:jc w:val="center"/>
              <w:spacing w:after="0" w:line="185" w:lineRule="exact"/>
              <w:rPr>
                <w:sz w:val="20"/>
                <w:szCs w:val="20"/>
                <w:color w:val="auto"/>
              </w:rPr>
            </w:pPr>
            <w:r>
              <w:rPr>
                <w:rFonts w:ascii="Arial" w:cs="Arial" w:eastAsia="Arial" w:hAnsi="Arial"/>
                <w:sz w:val="17"/>
                <w:szCs w:val="17"/>
                <w:b w:val="1"/>
                <w:bCs w:val="1"/>
                <w:color w:val="FFFFFF"/>
                <w:w w:val="98"/>
              </w:rPr>
              <w:t>% change</w:t>
            </w:r>
          </w:p>
        </w:tc>
      </w:tr>
      <w:tr>
        <w:trPr>
          <w:trHeight w:val="203"/>
        </w:trPr>
        <w:tc>
          <w:tcPr>
            <w:tcW w:w="4560" w:type="dxa"/>
            <w:vAlign w:val="bottom"/>
            <w:tcBorders>
              <w:right w:val="single" w:sz="8" w:color="auto"/>
            </w:tcBorders>
          </w:tcPr>
          <w:p>
            <w:pPr>
              <w:spacing w:after="0"/>
              <w:rPr>
                <w:sz w:val="17"/>
                <w:szCs w:val="17"/>
                <w:color w:val="auto"/>
              </w:rPr>
            </w:pPr>
          </w:p>
        </w:tc>
        <w:tc>
          <w:tcPr>
            <w:tcW w:w="1100" w:type="dxa"/>
            <w:vAlign w:val="bottom"/>
            <w:tcBorders>
              <w:bottom w:val="single" w:sz="8" w:color="2AD2C9"/>
            </w:tcBorders>
            <w:shd w:val="clear" w:color="auto" w:fill="2AD2C9"/>
          </w:tcPr>
          <w:p>
            <w:pPr>
              <w:ind w:left="340"/>
              <w:spacing w:after="0" w:line="180" w:lineRule="exact"/>
              <w:rPr>
                <w:sz w:val="20"/>
                <w:szCs w:val="20"/>
                <w:color w:val="auto"/>
              </w:rPr>
            </w:pPr>
            <w:r>
              <w:rPr>
                <w:rFonts w:ascii="Calibri" w:cs="Calibri" w:eastAsia="Calibri" w:hAnsi="Calibri"/>
                <w:sz w:val="15"/>
                <w:szCs w:val="15"/>
                <w:b w:val="1"/>
                <w:bCs w:val="1"/>
                <w:color w:val="FFFFFF"/>
              </w:rPr>
              <w:t>Mar 22</w:t>
            </w:r>
          </w:p>
        </w:tc>
        <w:tc>
          <w:tcPr>
            <w:tcW w:w="1100" w:type="dxa"/>
            <w:vAlign w:val="bottom"/>
            <w:tcBorders>
              <w:bottom w:val="single" w:sz="8" w:color="2AD2C9"/>
            </w:tcBorders>
            <w:shd w:val="clear" w:color="auto" w:fill="2AD2C9"/>
          </w:tcPr>
          <w:p>
            <w:pPr>
              <w:ind w:left="360"/>
              <w:spacing w:after="0" w:line="180" w:lineRule="exact"/>
              <w:rPr>
                <w:sz w:val="20"/>
                <w:szCs w:val="20"/>
                <w:color w:val="auto"/>
              </w:rPr>
            </w:pPr>
            <w:r>
              <w:rPr>
                <w:rFonts w:ascii="Calibri" w:cs="Calibri" w:eastAsia="Calibri" w:hAnsi="Calibri"/>
                <w:sz w:val="15"/>
                <w:szCs w:val="15"/>
                <w:b w:val="1"/>
                <w:bCs w:val="1"/>
                <w:color w:val="FFFFFF"/>
              </w:rPr>
              <w:t>Dec 22</w:t>
            </w:r>
          </w:p>
        </w:tc>
        <w:tc>
          <w:tcPr>
            <w:tcW w:w="1100" w:type="dxa"/>
            <w:vAlign w:val="bottom"/>
            <w:tcBorders>
              <w:bottom w:val="single" w:sz="8" w:color="2AD2C9"/>
              <w:right w:val="single" w:sz="8" w:color="auto"/>
            </w:tcBorders>
            <w:shd w:val="clear" w:color="auto" w:fill="2AD2C9"/>
          </w:tcPr>
          <w:p>
            <w:pPr>
              <w:ind w:left="320"/>
              <w:spacing w:after="0" w:line="180" w:lineRule="exact"/>
              <w:rPr>
                <w:sz w:val="20"/>
                <w:szCs w:val="20"/>
                <w:color w:val="auto"/>
              </w:rPr>
            </w:pPr>
            <w:r>
              <w:rPr>
                <w:rFonts w:ascii="Calibri" w:cs="Calibri" w:eastAsia="Calibri" w:hAnsi="Calibri"/>
                <w:sz w:val="15"/>
                <w:szCs w:val="15"/>
                <w:b w:val="1"/>
                <w:bCs w:val="1"/>
                <w:color w:val="FFFFFF"/>
              </w:rPr>
              <w:t>Mar 23</w:t>
            </w:r>
          </w:p>
        </w:tc>
        <w:tc>
          <w:tcPr>
            <w:tcW w:w="840" w:type="dxa"/>
            <w:vAlign w:val="bottom"/>
            <w:tcBorders>
              <w:bottom w:val="single" w:sz="8" w:color="2AD2C9"/>
            </w:tcBorders>
            <w:shd w:val="clear" w:color="auto" w:fill="2AD2C9"/>
          </w:tcPr>
          <w:p>
            <w:pPr>
              <w:jc w:val="center"/>
              <w:ind w:left="204"/>
              <w:spacing w:after="0" w:line="180" w:lineRule="exact"/>
              <w:rPr>
                <w:sz w:val="20"/>
                <w:szCs w:val="20"/>
                <w:color w:val="auto"/>
              </w:rPr>
            </w:pPr>
            <w:r>
              <w:rPr>
                <w:rFonts w:ascii="Calibri" w:cs="Calibri" w:eastAsia="Calibri" w:hAnsi="Calibri"/>
                <w:sz w:val="15"/>
                <w:szCs w:val="15"/>
                <w:b w:val="1"/>
                <w:bCs w:val="1"/>
                <w:color w:val="FFFFFF"/>
                <w:w w:val="97"/>
              </w:rPr>
              <w:t>QoQ</w:t>
            </w:r>
          </w:p>
        </w:tc>
        <w:tc>
          <w:tcPr>
            <w:tcW w:w="1440" w:type="dxa"/>
            <w:vAlign w:val="bottom"/>
            <w:tcBorders>
              <w:bottom w:val="single" w:sz="8" w:color="2AD2C9"/>
              <w:right w:val="single" w:sz="8" w:color="auto"/>
            </w:tcBorders>
            <w:shd w:val="clear" w:color="auto" w:fill="2AD2C9"/>
          </w:tcPr>
          <w:p>
            <w:pPr>
              <w:jc w:val="center"/>
              <w:ind w:left="184"/>
              <w:spacing w:after="0" w:line="180" w:lineRule="exact"/>
              <w:rPr>
                <w:sz w:val="20"/>
                <w:szCs w:val="20"/>
                <w:color w:val="auto"/>
              </w:rPr>
            </w:pPr>
            <w:r>
              <w:rPr>
                <w:rFonts w:ascii="Calibri" w:cs="Calibri" w:eastAsia="Calibri" w:hAnsi="Calibri"/>
                <w:sz w:val="15"/>
                <w:szCs w:val="15"/>
                <w:b w:val="1"/>
                <w:bCs w:val="1"/>
                <w:color w:val="FFFFFF"/>
                <w:w w:val="92"/>
              </w:rPr>
              <w:t>YoY</w:t>
            </w:r>
          </w:p>
        </w:tc>
      </w:tr>
      <w:tr>
        <w:trPr>
          <w:trHeight w:val="163"/>
        </w:trPr>
        <w:tc>
          <w:tcPr>
            <w:tcW w:w="4560" w:type="dxa"/>
            <w:vAlign w:val="bottom"/>
            <w:tcBorders>
              <w:top w:val="single" w:sz="8" w:color="auto"/>
              <w:left w:val="single" w:sz="8" w:color="auto"/>
              <w:right w:val="single" w:sz="8" w:color="auto"/>
            </w:tcBorders>
          </w:tcPr>
          <w:p>
            <w:pPr>
              <w:ind w:left="20"/>
              <w:spacing w:after="0" w:line="163" w:lineRule="exact"/>
              <w:rPr>
                <w:sz w:val="20"/>
                <w:szCs w:val="20"/>
                <w:color w:val="auto"/>
              </w:rPr>
            </w:pPr>
            <w:r>
              <w:rPr>
                <w:rFonts w:ascii="Arial" w:cs="Arial" w:eastAsia="Arial" w:hAnsi="Arial"/>
                <w:sz w:val="17"/>
                <w:szCs w:val="17"/>
                <w:color w:val="auto"/>
              </w:rPr>
              <w:t>Total assets</w:t>
            </w:r>
          </w:p>
        </w:tc>
        <w:tc>
          <w:tcPr>
            <w:tcW w:w="1100" w:type="dxa"/>
            <w:vAlign w:val="bottom"/>
            <w:tcBorders>
              <w:top w:val="single" w:sz="8" w:color="auto"/>
            </w:tcBorders>
          </w:tcPr>
          <w:p>
            <w:pPr>
              <w:jc w:val="center"/>
              <w:spacing w:after="0" w:line="162" w:lineRule="exact"/>
              <w:rPr>
                <w:sz w:val="20"/>
                <w:szCs w:val="20"/>
                <w:color w:val="auto"/>
              </w:rPr>
            </w:pPr>
            <w:r>
              <w:rPr>
                <w:rFonts w:ascii="Calibri" w:cs="Calibri" w:eastAsia="Calibri" w:hAnsi="Calibri"/>
                <w:sz w:val="15"/>
                <w:szCs w:val="15"/>
                <w:color w:val="auto"/>
                <w:w w:val="97"/>
              </w:rPr>
              <w:t>872,173</w:t>
            </w:r>
          </w:p>
        </w:tc>
        <w:tc>
          <w:tcPr>
            <w:tcW w:w="1100" w:type="dxa"/>
            <w:vAlign w:val="bottom"/>
            <w:tcBorders>
              <w:top w:val="single" w:sz="8" w:color="auto"/>
            </w:tcBorders>
          </w:tcPr>
          <w:p>
            <w:pPr>
              <w:jc w:val="center"/>
              <w:spacing w:after="0" w:line="162" w:lineRule="exact"/>
              <w:rPr>
                <w:sz w:val="20"/>
                <w:szCs w:val="20"/>
                <w:color w:val="auto"/>
              </w:rPr>
            </w:pPr>
            <w:r>
              <w:rPr>
                <w:rFonts w:ascii="Calibri" w:cs="Calibri" w:eastAsia="Calibri" w:hAnsi="Calibri"/>
                <w:sz w:val="15"/>
                <w:szCs w:val="15"/>
                <w:color w:val="auto"/>
                <w:w w:val="97"/>
              </w:rPr>
              <w:t>734,967</w:t>
            </w:r>
          </w:p>
        </w:tc>
        <w:tc>
          <w:tcPr>
            <w:tcW w:w="1100" w:type="dxa"/>
            <w:vAlign w:val="bottom"/>
            <w:tcBorders>
              <w:top w:val="single" w:sz="8" w:color="auto"/>
              <w:right w:val="single" w:sz="8" w:color="auto"/>
            </w:tcBorders>
          </w:tcPr>
          <w:p>
            <w:pPr>
              <w:jc w:val="center"/>
              <w:spacing w:after="0" w:line="162" w:lineRule="exact"/>
              <w:rPr>
                <w:sz w:val="20"/>
                <w:szCs w:val="20"/>
                <w:color w:val="auto"/>
              </w:rPr>
            </w:pPr>
            <w:r>
              <w:rPr>
                <w:rFonts w:ascii="Calibri" w:cs="Calibri" w:eastAsia="Calibri" w:hAnsi="Calibri"/>
                <w:sz w:val="15"/>
                <w:szCs w:val="15"/>
                <w:color w:val="auto"/>
                <w:w w:val="97"/>
              </w:rPr>
              <w:t>790,586</w:t>
            </w:r>
          </w:p>
        </w:tc>
        <w:tc>
          <w:tcPr>
            <w:tcW w:w="840" w:type="dxa"/>
            <w:vAlign w:val="bottom"/>
            <w:tcBorders>
              <w:top w:val="single" w:sz="8" w:color="auto"/>
            </w:tcBorders>
          </w:tcPr>
          <w:p>
            <w:pPr>
              <w:jc w:val="center"/>
              <w:ind w:left="224"/>
              <w:spacing w:after="0" w:line="162" w:lineRule="exact"/>
              <w:rPr>
                <w:sz w:val="20"/>
                <w:szCs w:val="20"/>
                <w:color w:val="auto"/>
              </w:rPr>
            </w:pPr>
            <w:r>
              <w:rPr>
                <w:rFonts w:ascii="Calibri" w:cs="Calibri" w:eastAsia="Calibri" w:hAnsi="Calibri"/>
                <w:sz w:val="15"/>
                <w:szCs w:val="15"/>
                <w:color w:val="auto"/>
              </w:rPr>
              <w:t>7.6%</w:t>
            </w:r>
          </w:p>
        </w:tc>
        <w:tc>
          <w:tcPr>
            <w:tcW w:w="1440" w:type="dxa"/>
            <w:vAlign w:val="bottom"/>
            <w:tcBorders>
              <w:top w:val="single" w:sz="8" w:color="auto"/>
              <w:right w:val="single" w:sz="8" w:color="auto"/>
            </w:tcBorders>
          </w:tcPr>
          <w:p>
            <w:pPr>
              <w:jc w:val="center"/>
              <w:ind w:left="184"/>
              <w:spacing w:after="0" w:line="162" w:lineRule="exact"/>
              <w:rPr>
                <w:sz w:val="20"/>
                <w:szCs w:val="20"/>
                <w:color w:val="auto"/>
              </w:rPr>
            </w:pPr>
            <w:r>
              <w:rPr>
                <w:rFonts w:ascii="Calibri" w:cs="Calibri" w:eastAsia="Calibri" w:hAnsi="Calibri"/>
                <w:sz w:val="15"/>
                <w:szCs w:val="15"/>
                <w:color w:val="auto"/>
                <w:w w:val="98"/>
              </w:rPr>
              <w:t>-9.4%</w:t>
            </w:r>
          </w:p>
        </w:tc>
      </w:tr>
      <w:tr>
        <w:trPr>
          <w:trHeight w:val="182"/>
        </w:trPr>
        <w:tc>
          <w:tcPr>
            <w:tcW w:w="456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7"/>
                <w:szCs w:val="17"/>
                <w:color w:val="auto"/>
              </w:rPr>
              <w:t>Total liabilities</w:t>
            </w:r>
          </w:p>
        </w:tc>
        <w:tc>
          <w:tcPr>
            <w:tcW w:w="1100" w:type="dxa"/>
            <w:vAlign w:val="bottom"/>
          </w:tcPr>
          <w:p>
            <w:pPr>
              <w:jc w:val="center"/>
              <w:spacing w:after="0" w:line="180" w:lineRule="exact"/>
              <w:rPr>
                <w:sz w:val="20"/>
                <w:szCs w:val="20"/>
                <w:color w:val="auto"/>
              </w:rPr>
            </w:pPr>
            <w:r>
              <w:rPr>
                <w:rFonts w:ascii="Calibri" w:cs="Calibri" w:eastAsia="Calibri" w:hAnsi="Calibri"/>
                <w:sz w:val="15"/>
                <w:szCs w:val="15"/>
                <w:color w:val="auto"/>
                <w:w w:val="97"/>
              </w:rPr>
              <w:t>460,279</w:t>
            </w:r>
          </w:p>
        </w:tc>
        <w:tc>
          <w:tcPr>
            <w:tcW w:w="1100" w:type="dxa"/>
            <w:vAlign w:val="bottom"/>
          </w:tcPr>
          <w:p>
            <w:pPr>
              <w:jc w:val="center"/>
              <w:spacing w:after="0" w:line="180" w:lineRule="exact"/>
              <w:rPr>
                <w:sz w:val="20"/>
                <w:szCs w:val="20"/>
                <w:color w:val="auto"/>
              </w:rPr>
            </w:pPr>
            <w:r>
              <w:rPr>
                <w:rFonts w:ascii="Calibri" w:cs="Calibri" w:eastAsia="Calibri" w:hAnsi="Calibri"/>
                <w:sz w:val="15"/>
                <w:szCs w:val="15"/>
                <w:color w:val="auto"/>
                <w:w w:val="97"/>
              </w:rPr>
              <w:t>238,178</w:t>
            </w:r>
          </w:p>
        </w:tc>
        <w:tc>
          <w:tcPr>
            <w:tcW w:w="110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7"/>
              </w:rPr>
              <w:t>400,483</w:t>
            </w:r>
          </w:p>
        </w:tc>
        <w:tc>
          <w:tcPr>
            <w:tcW w:w="840" w:type="dxa"/>
            <w:vAlign w:val="bottom"/>
          </w:tcPr>
          <w:p>
            <w:pPr>
              <w:jc w:val="center"/>
              <w:ind w:left="204"/>
              <w:spacing w:after="0" w:line="180" w:lineRule="exact"/>
              <w:rPr>
                <w:sz w:val="20"/>
                <w:szCs w:val="20"/>
                <w:color w:val="auto"/>
              </w:rPr>
            </w:pPr>
            <w:r>
              <w:rPr>
                <w:rFonts w:ascii="Calibri" w:cs="Calibri" w:eastAsia="Calibri" w:hAnsi="Calibri"/>
                <w:sz w:val="15"/>
                <w:szCs w:val="15"/>
                <w:color w:val="auto"/>
                <w:w w:val="96"/>
              </w:rPr>
              <w:t>68.1%</w:t>
            </w:r>
          </w:p>
        </w:tc>
        <w:tc>
          <w:tcPr>
            <w:tcW w:w="1440" w:type="dxa"/>
            <w:vAlign w:val="bottom"/>
            <w:tcBorders>
              <w:right w:val="single" w:sz="8" w:color="auto"/>
            </w:tcBorders>
          </w:tcPr>
          <w:p>
            <w:pPr>
              <w:jc w:val="center"/>
              <w:ind w:left="184"/>
              <w:spacing w:after="0" w:line="180" w:lineRule="exact"/>
              <w:rPr>
                <w:sz w:val="20"/>
                <w:szCs w:val="20"/>
                <w:color w:val="auto"/>
              </w:rPr>
            </w:pPr>
            <w:r>
              <w:rPr>
                <w:rFonts w:ascii="Calibri" w:cs="Calibri" w:eastAsia="Calibri" w:hAnsi="Calibri"/>
                <w:sz w:val="15"/>
                <w:szCs w:val="15"/>
                <w:color w:val="auto"/>
              </w:rPr>
              <w:t>-13.0%</w:t>
            </w:r>
          </w:p>
        </w:tc>
      </w:tr>
      <w:tr>
        <w:trPr>
          <w:trHeight w:val="203"/>
        </w:trPr>
        <w:tc>
          <w:tcPr>
            <w:tcW w:w="4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Net shareholders' equity</w:t>
            </w:r>
          </w:p>
        </w:tc>
        <w:tc>
          <w:tcPr>
            <w:tcW w:w="110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7"/>
              </w:rPr>
              <w:t>411,894</w:t>
            </w:r>
          </w:p>
        </w:tc>
        <w:tc>
          <w:tcPr>
            <w:tcW w:w="110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7"/>
              </w:rPr>
              <w:t>496,789</w:t>
            </w:r>
          </w:p>
        </w:tc>
        <w:tc>
          <w:tcPr>
            <w:tcW w:w="1100" w:type="dxa"/>
            <w:vAlign w:val="bottom"/>
            <w:tcBorders>
              <w:bottom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7"/>
              </w:rPr>
              <w:t>390,103</w:t>
            </w:r>
          </w:p>
        </w:tc>
        <w:tc>
          <w:tcPr>
            <w:tcW w:w="840" w:type="dxa"/>
            <w:vAlign w:val="bottom"/>
            <w:tcBorders>
              <w:bottom w:val="single" w:sz="8" w:color="auto"/>
            </w:tcBorders>
          </w:tcPr>
          <w:p>
            <w:pPr>
              <w:jc w:val="center"/>
              <w:ind w:left="224"/>
              <w:spacing w:after="0" w:line="180" w:lineRule="exact"/>
              <w:rPr>
                <w:sz w:val="20"/>
                <w:szCs w:val="20"/>
                <w:color w:val="auto"/>
              </w:rPr>
            </w:pPr>
            <w:r>
              <w:rPr>
                <w:rFonts w:ascii="Calibri" w:cs="Calibri" w:eastAsia="Calibri" w:hAnsi="Calibri"/>
                <w:sz w:val="15"/>
                <w:szCs w:val="15"/>
                <w:color w:val="auto"/>
              </w:rPr>
              <w:t>-21.5%</w:t>
            </w:r>
          </w:p>
        </w:tc>
        <w:tc>
          <w:tcPr>
            <w:tcW w:w="1440" w:type="dxa"/>
            <w:vAlign w:val="bottom"/>
            <w:tcBorders>
              <w:bottom w:val="single" w:sz="8" w:color="auto"/>
              <w:right w:val="single" w:sz="8" w:color="auto"/>
            </w:tcBorders>
          </w:tcPr>
          <w:p>
            <w:pPr>
              <w:jc w:val="center"/>
              <w:ind w:left="184"/>
              <w:spacing w:after="0" w:line="180" w:lineRule="exact"/>
              <w:rPr>
                <w:sz w:val="20"/>
                <w:szCs w:val="20"/>
                <w:color w:val="auto"/>
              </w:rPr>
            </w:pPr>
            <w:r>
              <w:rPr>
                <w:rFonts w:ascii="Calibri" w:cs="Calibri" w:eastAsia="Calibri" w:hAnsi="Calibri"/>
                <w:sz w:val="15"/>
                <w:szCs w:val="15"/>
                <w:color w:val="auto"/>
                <w:w w:val="98"/>
              </w:rPr>
              <w:t>-5.3%</w:t>
            </w:r>
          </w:p>
        </w:tc>
      </w:tr>
      <w:tr>
        <w:trPr>
          <w:trHeight w:val="207"/>
        </w:trPr>
        <w:tc>
          <w:tcPr>
            <w:tcW w:w="45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163"/>
        </w:trPr>
        <w:tc>
          <w:tcPr>
            <w:tcW w:w="4560" w:type="dxa"/>
            <w:vAlign w:val="bottom"/>
            <w:tcBorders>
              <w:right w:val="single" w:sz="8" w:color="auto"/>
            </w:tcBorders>
          </w:tcPr>
          <w:p>
            <w:pPr>
              <w:spacing w:after="0"/>
              <w:rPr>
                <w:sz w:val="14"/>
                <w:szCs w:val="14"/>
                <w:color w:val="auto"/>
              </w:rPr>
            </w:pPr>
          </w:p>
        </w:tc>
        <w:tc>
          <w:tcPr>
            <w:tcW w:w="1100" w:type="dxa"/>
            <w:vAlign w:val="bottom"/>
            <w:shd w:val="clear" w:color="auto" w:fill="2AD2C9"/>
          </w:tcPr>
          <w:p>
            <w:pPr>
              <w:spacing w:after="0"/>
              <w:rPr>
                <w:sz w:val="14"/>
                <w:szCs w:val="14"/>
                <w:color w:val="auto"/>
              </w:rPr>
            </w:pPr>
          </w:p>
        </w:tc>
        <w:tc>
          <w:tcPr>
            <w:tcW w:w="1100" w:type="dxa"/>
            <w:vAlign w:val="bottom"/>
            <w:shd w:val="clear" w:color="auto" w:fill="2AD2C9"/>
          </w:tcPr>
          <w:p>
            <w:pPr>
              <w:jc w:val="center"/>
              <w:spacing w:after="0" w:line="163" w:lineRule="exact"/>
              <w:rPr>
                <w:sz w:val="20"/>
                <w:szCs w:val="20"/>
                <w:color w:val="auto"/>
              </w:rPr>
            </w:pPr>
            <w:r>
              <w:rPr>
                <w:rFonts w:ascii="Calibri" w:cs="Calibri" w:eastAsia="Calibri" w:hAnsi="Calibri"/>
                <w:sz w:val="15"/>
                <w:szCs w:val="15"/>
                <w:b w:val="1"/>
                <w:bCs w:val="1"/>
                <w:color w:val="FFFFFF"/>
                <w:w w:val="97"/>
              </w:rPr>
              <w:t>Quarter</w:t>
            </w:r>
          </w:p>
        </w:tc>
        <w:tc>
          <w:tcPr>
            <w:tcW w:w="1100" w:type="dxa"/>
            <w:vAlign w:val="bottom"/>
            <w:tcBorders>
              <w:right w:val="single" w:sz="8" w:color="auto"/>
            </w:tcBorders>
            <w:shd w:val="clear" w:color="auto" w:fill="2AD2C9"/>
          </w:tcPr>
          <w:p>
            <w:pPr>
              <w:spacing w:after="0"/>
              <w:rPr>
                <w:sz w:val="14"/>
                <w:szCs w:val="14"/>
                <w:color w:val="auto"/>
              </w:rPr>
            </w:pPr>
          </w:p>
        </w:tc>
        <w:tc>
          <w:tcPr>
            <w:tcW w:w="840" w:type="dxa"/>
            <w:vAlign w:val="bottom"/>
            <w:shd w:val="clear" w:color="auto" w:fill="2AD2C9"/>
          </w:tcPr>
          <w:p>
            <w:pPr>
              <w:spacing w:after="0"/>
              <w:rPr>
                <w:sz w:val="14"/>
                <w:szCs w:val="14"/>
                <w:color w:val="auto"/>
              </w:rPr>
            </w:pPr>
          </w:p>
        </w:tc>
        <w:tc>
          <w:tcPr>
            <w:tcW w:w="1440" w:type="dxa"/>
            <w:vAlign w:val="bottom"/>
            <w:tcBorders>
              <w:right w:val="single" w:sz="8" w:color="auto"/>
            </w:tcBorders>
            <w:shd w:val="clear" w:color="auto" w:fill="2AD2C9"/>
          </w:tcPr>
          <w:p>
            <w:pPr>
              <w:jc w:val="center"/>
              <w:ind w:right="784"/>
              <w:spacing w:after="0" w:line="163" w:lineRule="exact"/>
              <w:rPr>
                <w:sz w:val="20"/>
                <w:szCs w:val="20"/>
                <w:color w:val="auto"/>
              </w:rPr>
            </w:pPr>
            <w:r>
              <w:rPr>
                <w:rFonts w:ascii="Calibri" w:cs="Calibri" w:eastAsia="Calibri" w:hAnsi="Calibri"/>
                <w:sz w:val="15"/>
                <w:szCs w:val="15"/>
                <w:b w:val="1"/>
                <w:bCs w:val="1"/>
                <w:color w:val="FFFFFF"/>
                <w:w w:val="98"/>
              </w:rPr>
              <w:t>% change</w:t>
            </w:r>
          </w:p>
        </w:tc>
      </w:tr>
      <w:tr>
        <w:trPr>
          <w:trHeight w:val="203"/>
        </w:trPr>
        <w:tc>
          <w:tcPr>
            <w:tcW w:w="4560" w:type="dxa"/>
            <w:vAlign w:val="bottom"/>
            <w:tcBorders>
              <w:right w:val="single" w:sz="8" w:color="auto"/>
            </w:tcBorders>
          </w:tcPr>
          <w:p>
            <w:pPr>
              <w:spacing w:after="0"/>
              <w:rPr>
                <w:sz w:val="17"/>
                <w:szCs w:val="17"/>
                <w:color w:val="auto"/>
              </w:rPr>
            </w:pPr>
          </w:p>
        </w:tc>
        <w:tc>
          <w:tcPr>
            <w:tcW w:w="1100" w:type="dxa"/>
            <w:vAlign w:val="bottom"/>
            <w:tcBorders>
              <w:bottom w:val="single" w:sz="8" w:color="2AD2C9"/>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6"/>
              </w:rPr>
              <w:t>1Q22</w:t>
            </w:r>
          </w:p>
        </w:tc>
        <w:tc>
          <w:tcPr>
            <w:tcW w:w="1100" w:type="dxa"/>
            <w:vAlign w:val="bottom"/>
            <w:tcBorders>
              <w:bottom w:val="single" w:sz="8" w:color="2AD2C9"/>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6"/>
              </w:rPr>
              <w:t>4Q22</w:t>
            </w:r>
          </w:p>
        </w:tc>
        <w:tc>
          <w:tcPr>
            <w:tcW w:w="1100" w:type="dxa"/>
            <w:vAlign w:val="bottom"/>
            <w:tcBorders>
              <w:bottom w:val="single" w:sz="8" w:color="2AD2C9"/>
              <w:right w:val="single" w:sz="8" w:color="auto"/>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6"/>
              </w:rPr>
              <w:t>1Q23</w:t>
            </w:r>
          </w:p>
        </w:tc>
        <w:tc>
          <w:tcPr>
            <w:tcW w:w="840" w:type="dxa"/>
            <w:vAlign w:val="bottom"/>
            <w:tcBorders>
              <w:bottom w:val="single" w:sz="8" w:color="2AD2C9"/>
            </w:tcBorders>
            <w:shd w:val="clear" w:color="auto" w:fill="2AD2C9"/>
          </w:tcPr>
          <w:p>
            <w:pPr>
              <w:jc w:val="center"/>
              <w:ind w:left="204"/>
              <w:spacing w:after="0" w:line="180" w:lineRule="exact"/>
              <w:rPr>
                <w:sz w:val="20"/>
                <w:szCs w:val="20"/>
                <w:color w:val="auto"/>
              </w:rPr>
            </w:pPr>
            <w:r>
              <w:rPr>
                <w:rFonts w:ascii="Calibri" w:cs="Calibri" w:eastAsia="Calibri" w:hAnsi="Calibri"/>
                <w:sz w:val="15"/>
                <w:szCs w:val="15"/>
                <w:b w:val="1"/>
                <w:bCs w:val="1"/>
                <w:color w:val="FFFFFF"/>
                <w:w w:val="97"/>
              </w:rPr>
              <w:t>QoQ</w:t>
            </w:r>
          </w:p>
        </w:tc>
        <w:tc>
          <w:tcPr>
            <w:tcW w:w="1440" w:type="dxa"/>
            <w:vAlign w:val="bottom"/>
            <w:tcBorders>
              <w:bottom w:val="single" w:sz="8" w:color="2AD2C9"/>
              <w:right w:val="single" w:sz="8" w:color="auto"/>
            </w:tcBorders>
            <w:shd w:val="clear" w:color="auto" w:fill="2AD2C9"/>
          </w:tcPr>
          <w:p>
            <w:pPr>
              <w:jc w:val="center"/>
              <w:ind w:left="184"/>
              <w:spacing w:after="0" w:line="180" w:lineRule="exact"/>
              <w:rPr>
                <w:sz w:val="20"/>
                <w:szCs w:val="20"/>
                <w:color w:val="auto"/>
              </w:rPr>
            </w:pPr>
            <w:r>
              <w:rPr>
                <w:rFonts w:ascii="Calibri" w:cs="Calibri" w:eastAsia="Calibri" w:hAnsi="Calibri"/>
                <w:sz w:val="15"/>
                <w:szCs w:val="15"/>
                <w:b w:val="1"/>
                <w:bCs w:val="1"/>
                <w:color w:val="FFFFFF"/>
                <w:w w:val="92"/>
              </w:rPr>
              <w:t>YoY</w:t>
            </w:r>
          </w:p>
        </w:tc>
      </w:tr>
      <w:tr>
        <w:trPr>
          <w:trHeight w:val="163"/>
        </w:trPr>
        <w:tc>
          <w:tcPr>
            <w:tcW w:w="4560" w:type="dxa"/>
            <w:vAlign w:val="bottom"/>
            <w:tcBorders>
              <w:top w:val="single" w:sz="8" w:color="auto"/>
              <w:left w:val="single" w:sz="8" w:color="auto"/>
              <w:right w:val="single" w:sz="8" w:color="auto"/>
            </w:tcBorders>
          </w:tcPr>
          <w:p>
            <w:pPr>
              <w:ind w:left="20"/>
              <w:spacing w:after="0" w:line="163" w:lineRule="exact"/>
              <w:rPr>
                <w:sz w:val="20"/>
                <w:szCs w:val="20"/>
                <w:color w:val="auto"/>
              </w:rPr>
            </w:pPr>
            <w:r>
              <w:rPr>
                <w:rFonts w:ascii="Calibri" w:cs="Calibri" w:eastAsia="Calibri" w:hAnsi="Calibri"/>
                <w:sz w:val="15"/>
                <w:szCs w:val="15"/>
                <w:color w:val="auto"/>
              </w:rPr>
              <w:t>Income from commissions</w:t>
            </w:r>
          </w:p>
        </w:tc>
        <w:tc>
          <w:tcPr>
            <w:tcW w:w="1100" w:type="dxa"/>
            <w:vAlign w:val="bottom"/>
            <w:tcBorders>
              <w:top w:val="single" w:sz="8" w:color="auto"/>
            </w:tcBorders>
          </w:tcPr>
          <w:p>
            <w:pPr>
              <w:jc w:val="center"/>
              <w:spacing w:after="0" w:line="163" w:lineRule="exact"/>
              <w:rPr>
                <w:sz w:val="20"/>
                <w:szCs w:val="20"/>
                <w:color w:val="auto"/>
              </w:rPr>
            </w:pPr>
            <w:r>
              <w:rPr>
                <w:rFonts w:ascii="Calibri" w:cs="Calibri" w:eastAsia="Calibri" w:hAnsi="Calibri"/>
                <w:sz w:val="15"/>
                <w:szCs w:val="15"/>
                <w:color w:val="auto"/>
                <w:w w:val="95"/>
              </w:rPr>
              <w:t>93,192</w:t>
            </w:r>
          </w:p>
        </w:tc>
        <w:tc>
          <w:tcPr>
            <w:tcW w:w="1100" w:type="dxa"/>
            <w:vAlign w:val="bottom"/>
            <w:tcBorders>
              <w:top w:val="single" w:sz="8" w:color="auto"/>
            </w:tcBorders>
          </w:tcPr>
          <w:p>
            <w:pPr>
              <w:jc w:val="center"/>
              <w:spacing w:after="0" w:line="163" w:lineRule="exact"/>
              <w:rPr>
                <w:sz w:val="20"/>
                <w:szCs w:val="20"/>
                <w:color w:val="auto"/>
              </w:rPr>
            </w:pPr>
            <w:r>
              <w:rPr>
                <w:rFonts w:ascii="Calibri" w:cs="Calibri" w:eastAsia="Calibri" w:hAnsi="Calibri"/>
                <w:sz w:val="15"/>
                <w:szCs w:val="15"/>
                <w:color w:val="auto"/>
                <w:w w:val="95"/>
              </w:rPr>
              <w:t>87,868</w:t>
            </w:r>
          </w:p>
        </w:tc>
        <w:tc>
          <w:tcPr>
            <w:tcW w:w="1100" w:type="dxa"/>
            <w:vAlign w:val="bottom"/>
            <w:tcBorders>
              <w:top w:val="single" w:sz="8" w:color="auto"/>
              <w:right w:val="single" w:sz="8" w:color="auto"/>
            </w:tcBorders>
          </w:tcPr>
          <w:p>
            <w:pPr>
              <w:jc w:val="center"/>
              <w:spacing w:after="0" w:line="163" w:lineRule="exact"/>
              <w:rPr>
                <w:sz w:val="20"/>
                <w:szCs w:val="20"/>
                <w:color w:val="auto"/>
              </w:rPr>
            </w:pPr>
            <w:r>
              <w:rPr>
                <w:rFonts w:ascii="Calibri" w:cs="Calibri" w:eastAsia="Calibri" w:hAnsi="Calibri"/>
                <w:sz w:val="15"/>
                <w:szCs w:val="15"/>
                <w:color w:val="auto"/>
                <w:w w:val="95"/>
              </w:rPr>
              <w:t>89,532</w:t>
            </w:r>
          </w:p>
        </w:tc>
        <w:tc>
          <w:tcPr>
            <w:tcW w:w="840" w:type="dxa"/>
            <w:vAlign w:val="bottom"/>
            <w:tcBorders>
              <w:top w:val="single" w:sz="8" w:color="auto"/>
            </w:tcBorders>
          </w:tcPr>
          <w:p>
            <w:pPr>
              <w:jc w:val="center"/>
              <w:ind w:left="224"/>
              <w:spacing w:after="0" w:line="163" w:lineRule="exact"/>
              <w:rPr>
                <w:sz w:val="20"/>
                <w:szCs w:val="20"/>
                <w:color w:val="auto"/>
              </w:rPr>
            </w:pPr>
            <w:r>
              <w:rPr>
                <w:rFonts w:ascii="Calibri" w:cs="Calibri" w:eastAsia="Calibri" w:hAnsi="Calibri"/>
                <w:sz w:val="15"/>
                <w:szCs w:val="15"/>
                <w:color w:val="auto"/>
              </w:rPr>
              <w:t>1.9%</w:t>
            </w:r>
          </w:p>
        </w:tc>
        <w:tc>
          <w:tcPr>
            <w:tcW w:w="1440" w:type="dxa"/>
            <w:vAlign w:val="bottom"/>
            <w:tcBorders>
              <w:top w:val="single" w:sz="8" w:color="auto"/>
              <w:right w:val="single" w:sz="8" w:color="auto"/>
            </w:tcBorders>
          </w:tcPr>
          <w:p>
            <w:pPr>
              <w:jc w:val="center"/>
              <w:ind w:left="184"/>
              <w:spacing w:after="0" w:line="163" w:lineRule="exact"/>
              <w:rPr>
                <w:sz w:val="20"/>
                <w:szCs w:val="20"/>
                <w:color w:val="auto"/>
              </w:rPr>
            </w:pPr>
            <w:r>
              <w:rPr>
                <w:rFonts w:ascii="Calibri" w:cs="Calibri" w:eastAsia="Calibri" w:hAnsi="Calibri"/>
                <w:sz w:val="15"/>
                <w:szCs w:val="15"/>
                <w:color w:val="auto"/>
                <w:w w:val="98"/>
              </w:rPr>
              <w:t>-3.9%</w:t>
            </w:r>
          </w:p>
        </w:tc>
      </w:tr>
      <w:tr>
        <w:trPr>
          <w:trHeight w:val="179"/>
        </w:trPr>
        <w:tc>
          <w:tcPr>
            <w:tcW w:w="456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color w:val="auto"/>
              </w:rPr>
              <w:t>Administratve and sale expenses</w:t>
            </w:r>
          </w:p>
        </w:tc>
        <w:tc>
          <w:tcPr>
            <w:tcW w:w="110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(43,800)</w:t>
            </w:r>
          </w:p>
        </w:tc>
        <w:tc>
          <w:tcPr>
            <w:tcW w:w="1100" w:type="dxa"/>
            <w:vAlign w:val="bottom"/>
          </w:tcPr>
          <w:p>
            <w:pPr>
              <w:jc w:val="center"/>
              <w:spacing w:after="0" w:line="180" w:lineRule="exact"/>
              <w:rPr>
                <w:sz w:val="20"/>
                <w:szCs w:val="20"/>
                <w:color w:val="auto"/>
              </w:rPr>
            </w:pPr>
            <w:r>
              <w:rPr>
                <w:rFonts w:ascii="Calibri" w:cs="Calibri" w:eastAsia="Calibri" w:hAnsi="Calibri"/>
                <w:sz w:val="15"/>
                <w:szCs w:val="15"/>
                <w:color w:val="auto"/>
                <w:w w:val="98"/>
              </w:rPr>
              <w:t>(34,262)</w:t>
            </w:r>
          </w:p>
        </w:tc>
        <w:tc>
          <w:tcPr>
            <w:tcW w:w="1100" w:type="dxa"/>
            <w:vAlign w:val="bottom"/>
            <w:tcBorders>
              <w:right w:val="single" w:sz="8" w:color="auto"/>
            </w:tcBorders>
          </w:tcPr>
          <w:p>
            <w:pPr>
              <w:jc w:val="center"/>
              <w:spacing w:after="0" w:line="180" w:lineRule="exact"/>
              <w:rPr>
                <w:sz w:val="20"/>
                <w:szCs w:val="20"/>
                <w:color w:val="auto"/>
              </w:rPr>
            </w:pPr>
            <w:r>
              <w:rPr>
                <w:rFonts w:ascii="Calibri" w:cs="Calibri" w:eastAsia="Calibri" w:hAnsi="Calibri"/>
                <w:sz w:val="15"/>
                <w:szCs w:val="15"/>
                <w:color w:val="auto"/>
                <w:w w:val="98"/>
              </w:rPr>
              <w:t>(38,986)</w:t>
            </w:r>
          </w:p>
        </w:tc>
        <w:tc>
          <w:tcPr>
            <w:tcW w:w="840" w:type="dxa"/>
            <w:vAlign w:val="bottom"/>
          </w:tcPr>
          <w:p>
            <w:pPr>
              <w:jc w:val="center"/>
              <w:ind w:left="204"/>
              <w:spacing w:after="0" w:line="180" w:lineRule="exact"/>
              <w:rPr>
                <w:sz w:val="20"/>
                <w:szCs w:val="20"/>
                <w:color w:val="auto"/>
              </w:rPr>
            </w:pPr>
            <w:r>
              <w:rPr>
                <w:rFonts w:ascii="Calibri" w:cs="Calibri" w:eastAsia="Calibri" w:hAnsi="Calibri"/>
                <w:sz w:val="15"/>
                <w:szCs w:val="15"/>
                <w:color w:val="auto"/>
                <w:w w:val="96"/>
              </w:rPr>
              <w:t>13.8%</w:t>
            </w:r>
          </w:p>
        </w:tc>
        <w:tc>
          <w:tcPr>
            <w:tcW w:w="1440" w:type="dxa"/>
            <w:vAlign w:val="bottom"/>
            <w:tcBorders>
              <w:right w:val="single" w:sz="8" w:color="auto"/>
            </w:tcBorders>
          </w:tcPr>
          <w:p>
            <w:pPr>
              <w:jc w:val="center"/>
              <w:ind w:left="184"/>
              <w:spacing w:after="0" w:line="180" w:lineRule="exact"/>
              <w:rPr>
                <w:sz w:val="20"/>
                <w:szCs w:val="20"/>
                <w:color w:val="auto"/>
              </w:rPr>
            </w:pPr>
            <w:r>
              <w:rPr>
                <w:rFonts w:ascii="Calibri" w:cs="Calibri" w:eastAsia="Calibri" w:hAnsi="Calibri"/>
                <w:sz w:val="15"/>
                <w:szCs w:val="15"/>
                <w:color w:val="auto"/>
              </w:rPr>
              <w:t>-11.0%</w:t>
            </w:r>
          </w:p>
        </w:tc>
      </w:tr>
      <w:tr>
        <w:trPr>
          <w:trHeight w:val="182"/>
        </w:trPr>
        <w:tc>
          <w:tcPr>
            <w:tcW w:w="456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Depreciaton and amortzaton</w:t>
            </w:r>
          </w:p>
        </w:tc>
        <w:tc>
          <w:tcPr>
            <w:tcW w:w="1100" w:type="dxa"/>
            <w:vAlign w:val="bottom"/>
          </w:tcPr>
          <w:p>
            <w:pPr>
              <w:jc w:val="center"/>
              <w:spacing w:after="0" w:line="181" w:lineRule="exact"/>
              <w:rPr>
                <w:sz w:val="20"/>
                <w:szCs w:val="20"/>
                <w:color w:val="auto"/>
              </w:rPr>
            </w:pPr>
            <w:r>
              <w:rPr>
                <w:rFonts w:ascii="Calibri" w:cs="Calibri" w:eastAsia="Calibri" w:hAnsi="Calibri"/>
                <w:sz w:val="15"/>
                <w:szCs w:val="15"/>
                <w:color w:val="auto"/>
              </w:rPr>
              <w:t>(6,215)</w:t>
            </w:r>
          </w:p>
        </w:tc>
        <w:tc>
          <w:tcPr>
            <w:tcW w:w="1100" w:type="dxa"/>
            <w:vAlign w:val="bottom"/>
          </w:tcPr>
          <w:p>
            <w:pPr>
              <w:jc w:val="center"/>
              <w:spacing w:after="0" w:line="181" w:lineRule="exact"/>
              <w:rPr>
                <w:sz w:val="20"/>
                <w:szCs w:val="20"/>
                <w:color w:val="auto"/>
              </w:rPr>
            </w:pPr>
            <w:r>
              <w:rPr>
                <w:rFonts w:ascii="Calibri" w:cs="Calibri" w:eastAsia="Calibri" w:hAnsi="Calibri"/>
                <w:sz w:val="15"/>
                <w:szCs w:val="15"/>
                <w:color w:val="auto"/>
                <w:w w:val="96"/>
              </w:rPr>
              <w:t>(5,603)</w:t>
            </w:r>
          </w:p>
        </w:tc>
        <w:tc>
          <w:tcPr>
            <w:tcW w:w="11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rPr>
              <w:t>(6,194)</w:t>
            </w:r>
          </w:p>
        </w:tc>
        <w:tc>
          <w:tcPr>
            <w:tcW w:w="840" w:type="dxa"/>
            <w:vAlign w:val="bottom"/>
          </w:tcPr>
          <w:p>
            <w:pPr>
              <w:jc w:val="center"/>
              <w:ind w:left="204"/>
              <w:spacing w:after="0" w:line="181" w:lineRule="exact"/>
              <w:rPr>
                <w:sz w:val="20"/>
                <w:szCs w:val="20"/>
                <w:color w:val="auto"/>
              </w:rPr>
            </w:pPr>
            <w:r>
              <w:rPr>
                <w:rFonts w:ascii="Calibri" w:cs="Calibri" w:eastAsia="Calibri" w:hAnsi="Calibri"/>
                <w:sz w:val="15"/>
                <w:szCs w:val="15"/>
                <w:color w:val="auto"/>
                <w:w w:val="96"/>
              </w:rPr>
              <w:t>10.5%</w:t>
            </w:r>
          </w:p>
        </w:tc>
        <w:tc>
          <w:tcPr>
            <w:tcW w:w="1440" w:type="dxa"/>
            <w:vAlign w:val="bottom"/>
            <w:tcBorders>
              <w:right w:val="single" w:sz="8" w:color="auto"/>
            </w:tcBorders>
          </w:tcPr>
          <w:p>
            <w:pPr>
              <w:jc w:val="center"/>
              <w:ind w:left="184"/>
              <w:spacing w:after="0" w:line="181" w:lineRule="exact"/>
              <w:rPr>
                <w:sz w:val="20"/>
                <w:szCs w:val="20"/>
                <w:color w:val="auto"/>
              </w:rPr>
            </w:pPr>
            <w:r>
              <w:rPr>
                <w:rFonts w:ascii="Calibri" w:cs="Calibri" w:eastAsia="Calibri" w:hAnsi="Calibri"/>
                <w:sz w:val="15"/>
                <w:szCs w:val="15"/>
                <w:color w:val="auto"/>
                <w:w w:val="98"/>
              </w:rPr>
              <w:t>-0.3%</w:t>
            </w:r>
          </w:p>
        </w:tc>
      </w:tr>
      <w:tr>
        <w:trPr>
          <w:trHeight w:val="182"/>
        </w:trPr>
        <w:tc>
          <w:tcPr>
            <w:tcW w:w="456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b w:val="1"/>
                <w:bCs w:val="1"/>
                <w:color w:val="auto"/>
              </w:rPr>
              <w:t>Operatng income</w:t>
            </w:r>
          </w:p>
        </w:tc>
        <w:tc>
          <w:tcPr>
            <w:tcW w:w="110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rPr>
              <w:t>43,178</w:t>
            </w:r>
          </w:p>
        </w:tc>
        <w:tc>
          <w:tcPr>
            <w:tcW w:w="110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rPr>
              <w:t>48,003</w:t>
            </w:r>
          </w:p>
        </w:tc>
        <w:tc>
          <w:tcPr>
            <w:tcW w:w="11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b w:val="1"/>
                <w:bCs w:val="1"/>
                <w:color w:val="auto"/>
                <w:w w:val="95"/>
              </w:rPr>
              <w:t>44,352</w:t>
            </w:r>
          </w:p>
        </w:tc>
        <w:tc>
          <w:tcPr>
            <w:tcW w:w="840" w:type="dxa"/>
            <w:vAlign w:val="bottom"/>
          </w:tcPr>
          <w:p>
            <w:pPr>
              <w:jc w:val="center"/>
              <w:ind w:left="224"/>
              <w:spacing w:after="0" w:line="181" w:lineRule="exact"/>
              <w:rPr>
                <w:sz w:val="20"/>
                <w:szCs w:val="20"/>
                <w:color w:val="auto"/>
              </w:rPr>
            </w:pPr>
            <w:r>
              <w:rPr>
                <w:rFonts w:ascii="Calibri" w:cs="Calibri" w:eastAsia="Calibri" w:hAnsi="Calibri"/>
                <w:sz w:val="15"/>
                <w:szCs w:val="15"/>
                <w:b w:val="1"/>
                <w:bCs w:val="1"/>
                <w:color w:val="auto"/>
                <w:w w:val="97"/>
              </w:rPr>
              <w:t>-7.6%</w:t>
            </w:r>
          </w:p>
        </w:tc>
        <w:tc>
          <w:tcPr>
            <w:tcW w:w="1440" w:type="dxa"/>
            <w:vAlign w:val="bottom"/>
            <w:tcBorders>
              <w:right w:val="single" w:sz="8" w:color="auto"/>
            </w:tcBorders>
          </w:tcPr>
          <w:p>
            <w:pPr>
              <w:jc w:val="center"/>
              <w:ind w:left="184"/>
              <w:spacing w:after="0" w:line="181" w:lineRule="exact"/>
              <w:rPr>
                <w:sz w:val="20"/>
                <w:szCs w:val="20"/>
                <w:color w:val="auto"/>
              </w:rPr>
            </w:pPr>
            <w:r>
              <w:rPr>
                <w:rFonts w:ascii="Calibri" w:cs="Calibri" w:eastAsia="Calibri" w:hAnsi="Calibri"/>
                <w:sz w:val="15"/>
                <w:szCs w:val="15"/>
                <w:b w:val="1"/>
                <w:bCs w:val="1"/>
                <w:color w:val="auto"/>
                <w:w w:val="99"/>
              </w:rPr>
              <w:t>2.7%</w:t>
            </w:r>
          </w:p>
        </w:tc>
      </w:tr>
      <w:tr>
        <w:trPr>
          <w:trHeight w:val="182"/>
        </w:trPr>
        <w:tc>
          <w:tcPr>
            <w:tcW w:w="456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Other income and expenses, net (proftability of lace)*</w:t>
            </w:r>
          </w:p>
        </w:tc>
        <w:tc>
          <w:tcPr>
            <w:tcW w:w="1100" w:type="dxa"/>
            <w:vAlign w:val="bottom"/>
          </w:tcPr>
          <w:p>
            <w:pPr>
              <w:jc w:val="center"/>
              <w:spacing w:after="0" w:line="181" w:lineRule="exact"/>
              <w:rPr>
                <w:sz w:val="20"/>
                <w:szCs w:val="20"/>
                <w:color w:val="auto"/>
              </w:rPr>
            </w:pPr>
            <w:r>
              <w:rPr>
                <w:rFonts w:ascii="Calibri" w:cs="Calibri" w:eastAsia="Calibri" w:hAnsi="Calibri"/>
                <w:sz w:val="15"/>
                <w:szCs w:val="15"/>
                <w:color w:val="auto"/>
              </w:rPr>
              <w:t>(4,133)</w:t>
            </w:r>
          </w:p>
        </w:tc>
        <w:tc>
          <w:tcPr>
            <w:tcW w:w="1100" w:type="dxa"/>
            <w:vAlign w:val="bottom"/>
          </w:tcPr>
          <w:p>
            <w:pPr>
              <w:jc w:val="center"/>
              <w:spacing w:after="0" w:line="181" w:lineRule="exact"/>
              <w:rPr>
                <w:sz w:val="20"/>
                <w:szCs w:val="20"/>
                <w:color w:val="auto"/>
              </w:rPr>
            </w:pPr>
            <w:r>
              <w:rPr>
                <w:rFonts w:ascii="Calibri" w:cs="Calibri" w:eastAsia="Calibri" w:hAnsi="Calibri"/>
                <w:sz w:val="15"/>
                <w:szCs w:val="15"/>
                <w:color w:val="auto"/>
                <w:w w:val="99"/>
              </w:rPr>
              <w:t>4,402</w:t>
            </w:r>
          </w:p>
        </w:tc>
        <w:tc>
          <w:tcPr>
            <w:tcW w:w="11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9"/>
              </w:rPr>
              <w:t>8,742</w:t>
            </w:r>
          </w:p>
        </w:tc>
        <w:tc>
          <w:tcPr>
            <w:tcW w:w="840" w:type="dxa"/>
            <w:vAlign w:val="bottom"/>
          </w:tcPr>
          <w:p>
            <w:pPr>
              <w:jc w:val="center"/>
              <w:ind w:left="204"/>
              <w:spacing w:after="0" w:line="181" w:lineRule="exact"/>
              <w:rPr>
                <w:sz w:val="20"/>
                <w:szCs w:val="20"/>
                <w:color w:val="auto"/>
              </w:rPr>
            </w:pPr>
            <w:r>
              <w:rPr>
                <w:rFonts w:ascii="Calibri" w:cs="Calibri" w:eastAsia="Calibri" w:hAnsi="Calibri"/>
                <w:sz w:val="15"/>
                <w:szCs w:val="15"/>
                <w:color w:val="auto"/>
                <w:w w:val="96"/>
              </w:rPr>
              <w:t>98.6%</w:t>
            </w:r>
          </w:p>
        </w:tc>
        <w:tc>
          <w:tcPr>
            <w:tcW w:w="1440" w:type="dxa"/>
            <w:vAlign w:val="bottom"/>
            <w:tcBorders>
              <w:right w:val="single" w:sz="8" w:color="auto"/>
            </w:tcBorders>
          </w:tcPr>
          <w:p>
            <w:pPr>
              <w:jc w:val="center"/>
              <w:ind w:left="184"/>
              <w:spacing w:after="0" w:line="181" w:lineRule="exact"/>
              <w:rPr>
                <w:sz w:val="20"/>
                <w:szCs w:val="20"/>
                <w:color w:val="auto"/>
              </w:rPr>
            </w:pPr>
            <w:r>
              <w:rPr>
                <w:rFonts w:ascii="Calibri" w:cs="Calibri" w:eastAsia="Calibri" w:hAnsi="Calibri"/>
                <w:sz w:val="15"/>
                <w:szCs w:val="15"/>
                <w:color w:val="auto"/>
              </w:rPr>
              <w:t>-311.5%</w:t>
            </w:r>
          </w:p>
        </w:tc>
      </w:tr>
      <w:tr>
        <w:trPr>
          <w:trHeight w:val="182"/>
        </w:trPr>
        <w:tc>
          <w:tcPr>
            <w:tcW w:w="456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Income tax</w:t>
            </w:r>
          </w:p>
        </w:tc>
        <w:tc>
          <w:tcPr>
            <w:tcW w:w="1100" w:type="dxa"/>
            <w:vAlign w:val="bottom"/>
          </w:tcPr>
          <w:p>
            <w:pPr>
              <w:jc w:val="center"/>
              <w:spacing w:after="0" w:line="181" w:lineRule="exact"/>
              <w:rPr>
                <w:sz w:val="20"/>
                <w:szCs w:val="20"/>
                <w:color w:val="auto"/>
              </w:rPr>
            </w:pPr>
            <w:r>
              <w:rPr>
                <w:rFonts w:ascii="Calibri" w:cs="Calibri" w:eastAsia="Calibri" w:hAnsi="Calibri"/>
                <w:sz w:val="15"/>
                <w:szCs w:val="15"/>
                <w:color w:val="auto"/>
                <w:w w:val="98"/>
              </w:rPr>
              <w:t>(13,194)</w:t>
            </w:r>
          </w:p>
        </w:tc>
        <w:tc>
          <w:tcPr>
            <w:tcW w:w="1100" w:type="dxa"/>
            <w:vAlign w:val="bottom"/>
          </w:tcPr>
          <w:p>
            <w:pPr>
              <w:jc w:val="center"/>
              <w:spacing w:after="0" w:line="181" w:lineRule="exact"/>
              <w:rPr>
                <w:sz w:val="20"/>
                <w:szCs w:val="20"/>
                <w:color w:val="auto"/>
              </w:rPr>
            </w:pPr>
            <w:r>
              <w:rPr>
                <w:rFonts w:ascii="Calibri" w:cs="Calibri" w:eastAsia="Calibri" w:hAnsi="Calibri"/>
                <w:sz w:val="15"/>
                <w:szCs w:val="15"/>
                <w:color w:val="auto"/>
                <w:w w:val="98"/>
              </w:rPr>
              <w:t>(12,302)</w:t>
            </w:r>
          </w:p>
        </w:tc>
        <w:tc>
          <w:tcPr>
            <w:tcW w:w="11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8"/>
              </w:rPr>
              <w:t>(13,295)</w:t>
            </w:r>
          </w:p>
        </w:tc>
        <w:tc>
          <w:tcPr>
            <w:tcW w:w="840" w:type="dxa"/>
            <w:vAlign w:val="bottom"/>
          </w:tcPr>
          <w:p>
            <w:pPr>
              <w:jc w:val="center"/>
              <w:ind w:left="224"/>
              <w:spacing w:after="0" w:line="181" w:lineRule="exact"/>
              <w:rPr>
                <w:sz w:val="20"/>
                <w:szCs w:val="20"/>
                <w:color w:val="auto"/>
              </w:rPr>
            </w:pPr>
            <w:r>
              <w:rPr>
                <w:rFonts w:ascii="Calibri" w:cs="Calibri" w:eastAsia="Calibri" w:hAnsi="Calibri"/>
                <w:sz w:val="15"/>
                <w:szCs w:val="15"/>
                <w:color w:val="auto"/>
              </w:rPr>
              <w:t>8.1%</w:t>
            </w:r>
          </w:p>
        </w:tc>
        <w:tc>
          <w:tcPr>
            <w:tcW w:w="1440" w:type="dxa"/>
            <w:vAlign w:val="bottom"/>
            <w:tcBorders>
              <w:right w:val="single" w:sz="8" w:color="auto"/>
            </w:tcBorders>
          </w:tcPr>
          <w:p>
            <w:pPr>
              <w:jc w:val="center"/>
              <w:ind w:left="184"/>
              <w:spacing w:after="0" w:line="181" w:lineRule="exact"/>
              <w:rPr>
                <w:sz w:val="20"/>
                <w:szCs w:val="20"/>
                <w:color w:val="auto"/>
              </w:rPr>
            </w:pPr>
            <w:r>
              <w:rPr>
                <w:rFonts w:ascii="Calibri" w:cs="Calibri" w:eastAsia="Calibri" w:hAnsi="Calibri"/>
                <w:sz w:val="15"/>
                <w:szCs w:val="15"/>
                <w:color w:val="auto"/>
              </w:rPr>
              <w:t>0.8%</w:t>
            </w:r>
          </w:p>
        </w:tc>
      </w:tr>
      <w:tr>
        <w:trPr>
          <w:trHeight w:val="182"/>
        </w:trPr>
        <w:tc>
          <w:tcPr>
            <w:tcW w:w="456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b w:val="1"/>
                <w:bCs w:val="1"/>
                <w:color w:val="auto"/>
              </w:rPr>
              <w:t>Net income before translaton results</w:t>
            </w:r>
          </w:p>
        </w:tc>
        <w:tc>
          <w:tcPr>
            <w:tcW w:w="110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rPr>
              <w:t>25,851</w:t>
            </w:r>
          </w:p>
        </w:tc>
        <w:tc>
          <w:tcPr>
            <w:tcW w:w="110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rPr>
              <w:t>40,103</w:t>
            </w:r>
          </w:p>
        </w:tc>
        <w:tc>
          <w:tcPr>
            <w:tcW w:w="11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b w:val="1"/>
                <w:bCs w:val="1"/>
                <w:color w:val="auto"/>
                <w:w w:val="95"/>
              </w:rPr>
              <w:t>39,799</w:t>
            </w:r>
          </w:p>
        </w:tc>
        <w:tc>
          <w:tcPr>
            <w:tcW w:w="840" w:type="dxa"/>
            <w:vAlign w:val="bottom"/>
          </w:tcPr>
          <w:p>
            <w:pPr>
              <w:jc w:val="center"/>
              <w:ind w:left="224"/>
              <w:spacing w:after="0" w:line="181" w:lineRule="exact"/>
              <w:rPr>
                <w:sz w:val="20"/>
                <w:szCs w:val="20"/>
                <w:color w:val="auto"/>
              </w:rPr>
            </w:pPr>
            <w:r>
              <w:rPr>
                <w:rFonts w:ascii="Calibri" w:cs="Calibri" w:eastAsia="Calibri" w:hAnsi="Calibri"/>
                <w:sz w:val="15"/>
                <w:szCs w:val="15"/>
                <w:b w:val="1"/>
                <w:bCs w:val="1"/>
                <w:color w:val="auto"/>
                <w:w w:val="97"/>
              </w:rPr>
              <w:t>-0.8%</w:t>
            </w:r>
          </w:p>
        </w:tc>
        <w:tc>
          <w:tcPr>
            <w:tcW w:w="1440" w:type="dxa"/>
            <w:vAlign w:val="bottom"/>
            <w:tcBorders>
              <w:right w:val="single" w:sz="8" w:color="auto"/>
            </w:tcBorders>
          </w:tcPr>
          <w:p>
            <w:pPr>
              <w:jc w:val="center"/>
              <w:ind w:left="184"/>
              <w:spacing w:after="0" w:line="181" w:lineRule="exact"/>
              <w:rPr>
                <w:sz w:val="20"/>
                <w:szCs w:val="20"/>
                <w:color w:val="auto"/>
              </w:rPr>
            </w:pPr>
            <w:r>
              <w:rPr>
                <w:rFonts w:ascii="Calibri" w:cs="Calibri" w:eastAsia="Calibri" w:hAnsi="Calibri"/>
                <w:sz w:val="15"/>
                <w:szCs w:val="15"/>
                <w:b w:val="1"/>
                <w:bCs w:val="1"/>
                <w:color w:val="auto"/>
              </w:rPr>
              <w:t>54.0%</w:t>
            </w:r>
          </w:p>
        </w:tc>
      </w:tr>
      <w:tr>
        <w:trPr>
          <w:trHeight w:val="182"/>
        </w:trPr>
        <w:tc>
          <w:tcPr>
            <w:tcW w:w="456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color w:val="auto"/>
              </w:rPr>
              <w:t>Translatons results</w:t>
            </w:r>
          </w:p>
        </w:tc>
        <w:tc>
          <w:tcPr>
            <w:tcW w:w="1100" w:type="dxa"/>
            <w:vAlign w:val="bottom"/>
          </w:tcPr>
          <w:p>
            <w:pPr>
              <w:jc w:val="center"/>
              <w:spacing w:after="0" w:line="181" w:lineRule="exact"/>
              <w:rPr>
                <w:sz w:val="20"/>
                <w:szCs w:val="20"/>
                <w:color w:val="auto"/>
              </w:rPr>
            </w:pPr>
            <w:r>
              <w:rPr>
                <w:rFonts w:ascii="Calibri" w:cs="Calibri" w:eastAsia="Calibri" w:hAnsi="Calibri"/>
                <w:sz w:val="15"/>
                <w:szCs w:val="15"/>
                <w:color w:val="auto"/>
              </w:rPr>
              <w:t>(1,416)</w:t>
            </w:r>
          </w:p>
        </w:tc>
        <w:tc>
          <w:tcPr>
            <w:tcW w:w="1100" w:type="dxa"/>
            <w:vAlign w:val="bottom"/>
          </w:tcPr>
          <w:p>
            <w:pPr>
              <w:jc w:val="center"/>
              <w:spacing w:after="0" w:line="181" w:lineRule="exact"/>
              <w:rPr>
                <w:sz w:val="20"/>
                <w:szCs w:val="20"/>
                <w:color w:val="auto"/>
              </w:rPr>
            </w:pPr>
            <w:r>
              <w:rPr>
                <w:rFonts w:ascii="Calibri" w:cs="Calibri" w:eastAsia="Calibri" w:hAnsi="Calibri"/>
                <w:sz w:val="15"/>
                <w:szCs w:val="15"/>
                <w:color w:val="auto"/>
                <w:w w:val="96"/>
              </w:rPr>
              <w:t>151</w:t>
            </w:r>
          </w:p>
        </w:tc>
        <w:tc>
          <w:tcPr>
            <w:tcW w:w="11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color w:val="auto"/>
                <w:w w:val="98"/>
              </w:rPr>
              <w:t>(41)</w:t>
            </w:r>
          </w:p>
        </w:tc>
        <w:tc>
          <w:tcPr>
            <w:tcW w:w="840" w:type="dxa"/>
            <w:vAlign w:val="bottom"/>
          </w:tcPr>
          <w:p>
            <w:pPr>
              <w:jc w:val="center"/>
              <w:ind w:left="204"/>
              <w:spacing w:after="0" w:line="181" w:lineRule="exact"/>
              <w:rPr>
                <w:sz w:val="20"/>
                <w:szCs w:val="20"/>
                <w:color w:val="auto"/>
              </w:rPr>
            </w:pPr>
            <w:r>
              <w:rPr>
                <w:rFonts w:ascii="Calibri" w:cs="Calibri" w:eastAsia="Calibri" w:hAnsi="Calibri"/>
                <w:sz w:val="15"/>
                <w:szCs w:val="15"/>
                <w:color w:val="auto"/>
                <w:w w:val="96"/>
              </w:rPr>
              <w:t>-127.3%</w:t>
            </w:r>
          </w:p>
        </w:tc>
        <w:tc>
          <w:tcPr>
            <w:tcW w:w="1440" w:type="dxa"/>
            <w:vAlign w:val="bottom"/>
            <w:tcBorders>
              <w:right w:val="single" w:sz="8" w:color="auto"/>
            </w:tcBorders>
          </w:tcPr>
          <w:p>
            <w:pPr>
              <w:jc w:val="center"/>
              <w:ind w:left="184"/>
              <w:spacing w:after="0" w:line="181" w:lineRule="exact"/>
              <w:rPr>
                <w:sz w:val="20"/>
                <w:szCs w:val="20"/>
                <w:color w:val="auto"/>
              </w:rPr>
            </w:pPr>
            <w:r>
              <w:rPr>
                <w:rFonts w:ascii="Calibri" w:cs="Calibri" w:eastAsia="Calibri" w:hAnsi="Calibri"/>
                <w:sz w:val="15"/>
                <w:szCs w:val="15"/>
                <w:color w:val="auto"/>
              </w:rPr>
              <w:t>-97.1%</w:t>
            </w:r>
          </w:p>
        </w:tc>
      </w:tr>
      <w:tr>
        <w:trPr>
          <w:trHeight w:val="182"/>
        </w:trPr>
        <w:tc>
          <w:tcPr>
            <w:tcW w:w="4560" w:type="dxa"/>
            <w:vAlign w:val="bottom"/>
            <w:tcBorders>
              <w:left w:val="single" w:sz="8" w:color="auto"/>
              <w:right w:val="single" w:sz="8" w:color="auto"/>
            </w:tcBorders>
          </w:tcPr>
          <w:p>
            <w:pPr>
              <w:ind w:left="20"/>
              <w:spacing w:after="0" w:line="181" w:lineRule="exact"/>
              <w:rPr>
                <w:sz w:val="20"/>
                <w:szCs w:val="20"/>
                <w:color w:val="auto"/>
              </w:rPr>
            </w:pPr>
            <w:r>
              <w:rPr>
                <w:rFonts w:ascii="Calibri" w:cs="Calibri" w:eastAsia="Calibri" w:hAnsi="Calibri"/>
                <w:sz w:val="15"/>
                <w:szCs w:val="15"/>
                <w:b w:val="1"/>
                <w:bCs w:val="1"/>
                <w:color w:val="auto"/>
              </w:rPr>
              <w:t>Net income</w:t>
            </w:r>
          </w:p>
        </w:tc>
        <w:tc>
          <w:tcPr>
            <w:tcW w:w="110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rPr>
              <w:t>24,434</w:t>
            </w:r>
          </w:p>
        </w:tc>
        <w:tc>
          <w:tcPr>
            <w:tcW w:w="1100" w:type="dxa"/>
            <w:vAlign w:val="bottom"/>
          </w:tcPr>
          <w:p>
            <w:pPr>
              <w:jc w:val="center"/>
              <w:spacing w:after="0" w:line="181" w:lineRule="exact"/>
              <w:rPr>
                <w:sz w:val="20"/>
                <w:szCs w:val="20"/>
                <w:color w:val="auto"/>
              </w:rPr>
            </w:pPr>
            <w:r>
              <w:rPr>
                <w:rFonts w:ascii="Calibri" w:cs="Calibri" w:eastAsia="Calibri" w:hAnsi="Calibri"/>
                <w:sz w:val="15"/>
                <w:szCs w:val="15"/>
                <w:b w:val="1"/>
                <w:bCs w:val="1"/>
                <w:color w:val="auto"/>
              </w:rPr>
              <w:t>40,254</w:t>
            </w:r>
          </w:p>
        </w:tc>
        <w:tc>
          <w:tcPr>
            <w:tcW w:w="1100" w:type="dxa"/>
            <w:vAlign w:val="bottom"/>
            <w:tcBorders>
              <w:right w:val="single" w:sz="8" w:color="auto"/>
            </w:tcBorders>
          </w:tcPr>
          <w:p>
            <w:pPr>
              <w:jc w:val="center"/>
              <w:spacing w:after="0" w:line="181" w:lineRule="exact"/>
              <w:rPr>
                <w:sz w:val="20"/>
                <w:szCs w:val="20"/>
                <w:color w:val="auto"/>
              </w:rPr>
            </w:pPr>
            <w:r>
              <w:rPr>
                <w:rFonts w:ascii="Calibri" w:cs="Calibri" w:eastAsia="Calibri" w:hAnsi="Calibri"/>
                <w:sz w:val="15"/>
                <w:szCs w:val="15"/>
                <w:b w:val="1"/>
                <w:bCs w:val="1"/>
                <w:color w:val="auto"/>
                <w:w w:val="95"/>
              </w:rPr>
              <w:t>39,758</w:t>
            </w:r>
          </w:p>
        </w:tc>
        <w:tc>
          <w:tcPr>
            <w:tcW w:w="840" w:type="dxa"/>
            <w:vAlign w:val="bottom"/>
          </w:tcPr>
          <w:p>
            <w:pPr>
              <w:jc w:val="center"/>
              <w:ind w:left="224"/>
              <w:spacing w:after="0" w:line="181" w:lineRule="exact"/>
              <w:rPr>
                <w:sz w:val="20"/>
                <w:szCs w:val="20"/>
                <w:color w:val="auto"/>
              </w:rPr>
            </w:pPr>
            <w:r>
              <w:rPr>
                <w:rFonts w:ascii="Calibri" w:cs="Calibri" w:eastAsia="Calibri" w:hAnsi="Calibri"/>
                <w:sz w:val="15"/>
                <w:szCs w:val="15"/>
                <w:b w:val="1"/>
                <w:bCs w:val="1"/>
                <w:color w:val="auto"/>
                <w:w w:val="97"/>
              </w:rPr>
              <w:t>-1.2%</w:t>
            </w:r>
          </w:p>
        </w:tc>
        <w:tc>
          <w:tcPr>
            <w:tcW w:w="1440" w:type="dxa"/>
            <w:vAlign w:val="bottom"/>
            <w:tcBorders>
              <w:right w:val="single" w:sz="8" w:color="auto"/>
            </w:tcBorders>
          </w:tcPr>
          <w:p>
            <w:pPr>
              <w:jc w:val="center"/>
              <w:ind w:left="184"/>
              <w:spacing w:after="0" w:line="181" w:lineRule="exact"/>
              <w:rPr>
                <w:sz w:val="20"/>
                <w:szCs w:val="20"/>
                <w:color w:val="auto"/>
              </w:rPr>
            </w:pPr>
            <w:r>
              <w:rPr>
                <w:rFonts w:ascii="Calibri" w:cs="Calibri" w:eastAsia="Calibri" w:hAnsi="Calibri"/>
                <w:sz w:val="15"/>
                <w:szCs w:val="15"/>
                <w:b w:val="1"/>
                <w:bCs w:val="1"/>
                <w:color w:val="auto"/>
              </w:rPr>
              <w:t>62.7%</w:t>
            </w:r>
          </w:p>
        </w:tc>
      </w:tr>
      <w:tr>
        <w:trPr>
          <w:trHeight w:val="23"/>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184"/>
        </w:trPr>
        <w:tc>
          <w:tcPr>
            <w:tcW w:w="4560" w:type="dxa"/>
            <w:vAlign w:val="bottom"/>
            <w:tcBorders>
              <w:left w:val="single" w:sz="8" w:color="auto"/>
              <w:bottom w:val="single" w:sz="8" w:color="auto"/>
              <w:right w:val="single" w:sz="8" w:color="auto"/>
            </w:tcBorders>
          </w:tcPr>
          <w:p>
            <w:pPr>
              <w:ind w:left="20"/>
              <w:spacing w:after="0" w:line="181" w:lineRule="exact"/>
              <w:rPr>
                <w:sz w:val="20"/>
                <w:szCs w:val="20"/>
                <w:color w:val="auto"/>
              </w:rPr>
            </w:pPr>
            <w:r>
              <w:rPr>
                <w:rFonts w:ascii="Calibri" w:cs="Calibri" w:eastAsia="Calibri" w:hAnsi="Calibri"/>
                <w:sz w:val="12"/>
                <w:szCs w:val="12"/>
                <w:b w:val="1"/>
                <w:bCs w:val="1"/>
                <w:color w:val="auto"/>
              </w:rPr>
              <w:t xml:space="preserve">ROAE </w:t>
            </w:r>
            <w:r>
              <w:rPr>
                <w:rFonts w:ascii="Calibri" w:cs="Calibri" w:eastAsia="Calibri" w:hAnsi="Calibri"/>
                <w:sz w:val="19"/>
                <w:szCs w:val="19"/>
                <w:b w:val="1"/>
                <w:bCs w:val="1"/>
                <w:color w:val="auto"/>
                <w:vertAlign w:val="superscript"/>
              </w:rPr>
              <w:t>(1)</w:t>
            </w:r>
          </w:p>
        </w:tc>
        <w:tc>
          <w:tcPr>
            <w:tcW w:w="110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rPr>
              <w:t>19.8%</w:t>
            </w:r>
          </w:p>
        </w:tc>
        <w:tc>
          <w:tcPr>
            <w:tcW w:w="1100" w:type="dxa"/>
            <w:vAlign w:val="bottom"/>
            <w:tcBorders>
              <w:bottom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rPr>
              <w:t>33.8%</w:t>
            </w:r>
          </w:p>
        </w:tc>
        <w:tc>
          <w:tcPr>
            <w:tcW w:w="1100" w:type="dxa"/>
            <w:vAlign w:val="bottom"/>
            <w:tcBorders>
              <w:bottom w:val="single" w:sz="8" w:color="auto"/>
              <w:right w:val="single" w:sz="8" w:color="auto"/>
            </w:tcBorders>
          </w:tcPr>
          <w:p>
            <w:pPr>
              <w:jc w:val="center"/>
              <w:spacing w:after="0" w:line="180" w:lineRule="exact"/>
              <w:rPr>
                <w:sz w:val="20"/>
                <w:szCs w:val="20"/>
                <w:color w:val="auto"/>
              </w:rPr>
            </w:pPr>
            <w:r>
              <w:rPr>
                <w:rFonts w:ascii="Calibri" w:cs="Calibri" w:eastAsia="Calibri" w:hAnsi="Calibri"/>
                <w:sz w:val="15"/>
                <w:szCs w:val="15"/>
                <w:b w:val="1"/>
                <w:bCs w:val="1"/>
                <w:color w:val="auto"/>
                <w:w w:val="95"/>
              </w:rPr>
              <w:t>35.9%</w:t>
            </w:r>
          </w:p>
        </w:tc>
        <w:tc>
          <w:tcPr>
            <w:tcW w:w="840" w:type="dxa"/>
            <w:vAlign w:val="bottom"/>
            <w:tcBorders>
              <w:bottom w:val="single" w:sz="8" w:color="auto"/>
            </w:tcBorders>
          </w:tcPr>
          <w:p>
            <w:pPr>
              <w:jc w:val="center"/>
              <w:ind w:left="244"/>
              <w:spacing w:after="0" w:line="180" w:lineRule="exact"/>
              <w:rPr>
                <w:sz w:val="20"/>
                <w:szCs w:val="20"/>
                <w:color w:val="auto"/>
              </w:rPr>
            </w:pPr>
            <w:r>
              <w:rPr>
                <w:rFonts w:ascii="Calibri" w:cs="Calibri" w:eastAsia="Calibri" w:hAnsi="Calibri"/>
                <w:sz w:val="15"/>
                <w:szCs w:val="15"/>
                <w:b w:val="1"/>
                <w:bCs w:val="1"/>
                <w:color w:val="auto"/>
                <w:w w:val="99"/>
              </w:rPr>
              <w:t>208 pbs</w:t>
            </w:r>
          </w:p>
        </w:tc>
        <w:tc>
          <w:tcPr>
            <w:tcW w:w="1440" w:type="dxa"/>
            <w:vAlign w:val="bottom"/>
            <w:tcBorders>
              <w:bottom w:val="single" w:sz="8" w:color="auto"/>
              <w:right w:val="single" w:sz="8" w:color="auto"/>
            </w:tcBorders>
          </w:tcPr>
          <w:p>
            <w:pPr>
              <w:jc w:val="center"/>
              <w:ind w:left="224"/>
              <w:spacing w:after="0" w:line="180" w:lineRule="exact"/>
              <w:rPr>
                <w:sz w:val="20"/>
                <w:szCs w:val="20"/>
                <w:color w:val="auto"/>
              </w:rPr>
            </w:pPr>
            <w:r>
              <w:rPr>
                <w:rFonts w:ascii="Calibri" w:cs="Calibri" w:eastAsia="Calibri" w:hAnsi="Calibri"/>
                <w:sz w:val="15"/>
                <w:szCs w:val="15"/>
                <w:b w:val="1"/>
                <w:bCs w:val="1"/>
                <w:color w:val="auto"/>
                <w:w w:val="96"/>
              </w:rPr>
              <w:t>1604 pbs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-1224280</wp:posOffset>
            </wp:positionV>
            <wp:extent cx="20955"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0955" cy="6985"/>
                    </a:xfrm>
                    <a:prstGeom prst="rect">
                      <a:avLst/>
                    </a:prstGeom>
                    <a:noFill/>
                  </pic:spPr>
                </pic:pic>
              </a:graphicData>
            </a:graphic>
          </wp:anchor>
        </w:drawing>
      </w:r>
    </w:p>
    <w:p>
      <w:pPr>
        <w:spacing w:after="0" w:line="166" w:lineRule="exact"/>
        <w:rPr>
          <w:sz w:val="20"/>
          <w:szCs w:val="20"/>
          <w:color w:val="auto"/>
        </w:rPr>
      </w:pPr>
    </w:p>
    <w:p>
      <w:pPr>
        <w:ind w:left="140" w:hanging="129"/>
        <w:spacing w:after="0"/>
        <w:tabs>
          <w:tab w:leader="none" w:pos="140" w:val="left"/>
        </w:tabs>
        <w:numPr>
          <w:ilvl w:val="0"/>
          <w:numId w:val="70"/>
        </w:numPr>
        <w:rPr>
          <w:rFonts w:ascii="Calibri" w:cs="Calibri" w:eastAsia="Calibri" w:hAnsi="Calibri"/>
          <w:sz w:val="10"/>
          <w:szCs w:val="10"/>
          <w:color w:val="auto"/>
        </w:rPr>
      </w:pPr>
      <w:r>
        <w:rPr>
          <w:rFonts w:ascii="Calibri" w:cs="Calibri" w:eastAsia="Calibri" w:hAnsi="Calibri"/>
          <w:sz w:val="10"/>
          <w:szCs w:val="10"/>
          <w:color w:val="auto"/>
        </w:rPr>
        <w:t>The net proftability of lace and mutual funds is being presented net of taxes, for which the retroactve change was made (it was presented gross before)</w:t>
      </w:r>
    </w:p>
    <w:p>
      <w:pPr>
        <w:ind w:left="20"/>
        <w:spacing w:after="0" w:line="223" w:lineRule="auto"/>
        <w:rPr>
          <w:rFonts w:ascii="Calibri" w:cs="Calibri" w:eastAsia="Calibri" w:hAnsi="Calibri"/>
          <w:sz w:val="10"/>
          <w:szCs w:val="10"/>
          <w:color w:val="auto"/>
        </w:rPr>
      </w:pPr>
      <w:r>
        <w:rPr>
          <w:rFonts w:ascii="Calibri" w:cs="Calibri" w:eastAsia="Calibri" w:hAnsi="Calibri"/>
          <w:sz w:val="10"/>
          <w:szCs w:val="10"/>
          <w:color w:val="auto"/>
        </w:rPr>
        <w:t>(1) Net shareholders’ equity includes unrealized gains from Prima’s investment portolio.</w:t>
      </w:r>
    </w:p>
    <w:p>
      <w:pPr>
        <w:spacing w:after="0" w:line="118"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Funds under management</w:t>
      </w:r>
    </w:p>
    <w:p>
      <w:pPr>
        <w:spacing w:after="0" w:line="129" w:lineRule="exact"/>
        <w:rPr>
          <w:sz w:val="20"/>
          <w:szCs w:val="20"/>
          <w:color w:val="auto"/>
        </w:rPr>
      </w:pPr>
    </w:p>
    <w:tbl>
      <w:tblPr>
        <w:tblLayout w:type="fixed"/>
        <w:tblInd w:w="30" w:type="dxa"/>
        <w:tblCellMar>
          <w:top w:w="0" w:type="dxa"/>
          <w:left w:w="0" w:type="dxa"/>
          <w:bottom w:w="0" w:type="dxa"/>
          <w:right w:w="0" w:type="dxa"/>
        </w:tblCellMar>
      </w:tblPr>
      <w:tr>
        <w:trPr>
          <w:trHeight w:val="207"/>
        </w:trPr>
        <w:tc>
          <w:tcPr>
            <w:tcW w:w="3400" w:type="dxa"/>
            <w:vAlign w:val="bottom"/>
            <w:tcBorders>
              <w:top w:val="single" w:sz="8" w:color="auto"/>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7"/>
                <w:szCs w:val="17"/>
                <w:b w:val="1"/>
                <w:bCs w:val="1"/>
                <w:color w:val="FFFFFF"/>
              </w:rPr>
              <w:t>Funds under management</w:t>
            </w:r>
          </w:p>
        </w:tc>
        <w:tc>
          <w:tcPr>
            <w:tcW w:w="1640" w:type="dxa"/>
            <w:vAlign w:val="bottom"/>
            <w:tcBorders>
              <w:top w:val="single" w:sz="8" w:color="auto"/>
              <w:bottom w:val="single" w:sz="8" w:color="auto"/>
            </w:tcBorders>
            <w:shd w:val="clear" w:color="auto" w:fill="2AD2C9"/>
          </w:tcPr>
          <w:p>
            <w:pPr>
              <w:ind w:left="600"/>
              <w:spacing w:after="0"/>
              <w:rPr>
                <w:sz w:val="20"/>
                <w:szCs w:val="20"/>
                <w:color w:val="auto"/>
              </w:rPr>
            </w:pPr>
            <w:r>
              <w:rPr>
                <w:rFonts w:ascii="Arial" w:cs="Arial" w:eastAsia="Arial" w:hAnsi="Arial"/>
                <w:sz w:val="17"/>
                <w:szCs w:val="17"/>
                <w:b w:val="1"/>
                <w:bCs w:val="1"/>
                <w:color w:val="FFFFFF"/>
              </w:rPr>
              <w:t>Dic 22</w:t>
            </w:r>
          </w:p>
        </w:tc>
        <w:tc>
          <w:tcPr>
            <w:tcW w:w="1740" w:type="dxa"/>
            <w:vAlign w:val="bottom"/>
            <w:tcBorders>
              <w:top w:val="single" w:sz="8" w:color="auto"/>
              <w:bottom w:val="single" w:sz="8" w:color="auto"/>
              <w:right w:val="single" w:sz="8" w:color="auto"/>
            </w:tcBorders>
            <w:shd w:val="clear" w:color="auto" w:fill="2AD2C9"/>
          </w:tcPr>
          <w:p>
            <w:pPr>
              <w:ind w:left="560"/>
              <w:spacing w:after="0"/>
              <w:rPr>
                <w:sz w:val="20"/>
                <w:szCs w:val="20"/>
                <w:color w:val="auto"/>
              </w:rPr>
            </w:pPr>
            <w:r>
              <w:rPr>
                <w:rFonts w:ascii="Arial" w:cs="Arial" w:eastAsia="Arial" w:hAnsi="Arial"/>
                <w:sz w:val="17"/>
                <w:szCs w:val="17"/>
                <w:b w:val="1"/>
                <w:bCs w:val="1"/>
                <w:color w:val="FFFFFF"/>
              </w:rPr>
              <w:t>% share</w:t>
            </w:r>
          </w:p>
        </w:tc>
        <w:tc>
          <w:tcPr>
            <w:tcW w:w="1040" w:type="dxa"/>
            <w:vAlign w:val="bottom"/>
            <w:tcBorders>
              <w:top w:val="single" w:sz="8" w:color="auto"/>
              <w:bottom w:val="single" w:sz="8" w:color="auto"/>
            </w:tcBorders>
            <w:shd w:val="clear" w:color="auto" w:fill="2AD2C9"/>
          </w:tcPr>
          <w:p>
            <w:pPr>
              <w:ind w:left="260"/>
              <w:spacing w:after="0"/>
              <w:rPr>
                <w:sz w:val="20"/>
                <w:szCs w:val="20"/>
                <w:color w:val="auto"/>
              </w:rPr>
            </w:pPr>
            <w:r>
              <w:rPr>
                <w:rFonts w:ascii="Arial" w:cs="Arial" w:eastAsia="Arial" w:hAnsi="Arial"/>
                <w:sz w:val="17"/>
                <w:szCs w:val="17"/>
                <w:b w:val="1"/>
                <w:bCs w:val="1"/>
                <w:color w:val="FFFFFF"/>
              </w:rPr>
              <w:t>Mar 23</w:t>
            </w:r>
          </w:p>
        </w:tc>
        <w:tc>
          <w:tcPr>
            <w:tcW w:w="1180" w:type="dxa"/>
            <w:vAlign w:val="bottom"/>
            <w:tcBorders>
              <w:top w:val="single" w:sz="8" w:color="auto"/>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7"/>
                <w:szCs w:val="17"/>
                <w:b w:val="1"/>
                <w:bCs w:val="1"/>
                <w:color w:val="FFFFFF"/>
              </w:rPr>
              <w:t>% share</w:t>
            </w:r>
          </w:p>
        </w:tc>
      </w:tr>
      <w:tr>
        <w:trPr>
          <w:trHeight w:val="163"/>
        </w:trPr>
        <w:tc>
          <w:tcPr>
            <w:tcW w:w="3400" w:type="dxa"/>
            <w:vAlign w:val="bottom"/>
            <w:tcBorders>
              <w:left w:val="single" w:sz="8" w:color="auto"/>
              <w:right w:val="single" w:sz="8" w:color="auto"/>
            </w:tcBorders>
          </w:tcPr>
          <w:p>
            <w:pPr>
              <w:ind w:left="20"/>
              <w:spacing w:after="0" w:line="163" w:lineRule="exact"/>
              <w:rPr>
                <w:sz w:val="20"/>
                <w:szCs w:val="20"/>
                <w:color w:val="auto"/>
              </w:rPr>
            </w:pPr>
            <w:r>
              <w:rPr>
                <w:rFonts w:ascii="Arial" w:cs="Arial" w:eastAsia="Arial" w:hAnsi="Arial"/>
                <w:sz w:val="17"/>
                <w:szCs w:val="17"/>
                <w:color w:val="auto"/>
              </w:rPr>
              <w:t>Fund 0</w:t>
            </w:r>
          </w:p>
        </w:tc>
        <w:tc>
          <w:tcPr>
            <w:tcW w:w="1640" w:type="dxa"/>
            <w:vAlign w:val="bottom"/>
          </w:tcPr>
          <w:p>
            <w:pPr>
              <w:jc w:val="center"/>
              <w:spacing w:after="0" w:line="163" w:lineRule="exact"/>
              <w:rPr>
                <w:sz w:val="20"/>
                <w:szCs w:val="20"/>
                <w:color w:val="auto"/>
              </w:rPr>
            </w:pPr>
            <w:r>
              <w:rPr>
                <w:rFonts w:ascii="Arial" w:cs="Arial" w:eastAsia="Arial" w:hAnsi="Arial"/>
                <w:sz w:val="17"/>
                <w:szCs w:val="17"/>
                <w:color w:val="auto"/>
                <w:w w:val="93"/>
              </w:rPr>
              <w:t>1,350</w:t>
            </w: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color w:val="auto"/>
                <w:w w:val="95"/>
              </w:rPr>
              <w:t>4.24%</w:t>
            </w:r>
          </w:p>
        </w:tc>
        <w:tc>
          <w:tcPr>
            <w:tcW w:w="1040" w:type="dxa"/>
            <w:vAlign w:val="bottom"/>
          </w:tcPr>
          <w:p>
            <w:pPr>
              <w:jc w:val="center"/>
              <w:spacing w:after="0" w:line="163" w:lineRule="exact"/>
              <w:rPr>
                <w:sz w:val="20"/>
                <w:szCs w:val="20"/>
                <w:color w:val="auto"/>
              </w:rPr>
            </w:pPr>
            <w:r>
              <w:rPr>
                <w:rFonts w:ascii="Arial" w:cs="Arial" w:eastAsia="Arial" w:hAnsi="Arial"/>
                <w:sz w:val="17"/>
                <w:szCs w:val="17"/>
                <w:color w:val="auto"/>
                <w:w w:val="98"/>
              </w:rPr>
              <w:t>1,403</w:t>
            </w:r>
          </w:p>
        </w:tc>
        <w:tc>
          <w:tcPr>
            <w:tcW w:w="11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7"/>
                <w:szCs w:val="17"/>
                <w:color w:val="auto"/>
                <w:w w:val="99"/>
              </w:rPr>
              <w:t>4.26%</w:t>
            </w:r>
          </w:p>
        </w:tc>
      </w:tr>
      <w:tr>
        <w:trPr>
          <w:trHeight w:val="182"/>
        </w:trPr>
        <w:tc>
          <w:tcPr>
            <w:tcW w:w="340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7"/>
                <w:szCs w:val="17"/>
                <w:color w:val="auto"/>
              </w:rPr>
              <w:t>Fund 1</w:t>
            </w:r>
          </w:p>
        </w:tc>
        <w:tc>
          <w:tcPr>
            <w:tcW w:w="1640" w:type="dxa"/>
            <w:vAlign w:val="bottom"/>
          </w:tcPr>
          <w:p>
            <w:pPr>
              <w:jc w:val="center"/>
              <w:spacing w:after="0" w:line="181" w:lineRule="exact"/>
              <w:rPr>
                <w:sz w:val="20"/>
                <w:szCs w:val="20"/>
                <w:color w:val="auto"/>
              </w:rPr>
            </w:pPr>
            <w:r>
              <w:rPr>
                <w:rFonts w:ascii="Arial" w:cs="Arial" w:eastAsia="Arial" w:hAnsi="Arial"/>
                <w:sz w:val="17"/>
                <w:szCs w:val="17"/>
                <w:color w:val="auto"/>
                <w:w w:val="93"/>
              </w:rPr>
              <w:t>5,316</w:t>
            </w:r>
          </w:p>
        </w:tc>
        <w:tc>
          <w:tcPr>
            <w:tcW w:w="17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7"/>
                <w:szCs w:val="17"/>
                <w:color w:val="auto"/>
                <w:w w:val="97"/>
              </w:rPr>
              <w:t>16.69%</w:t>
            </w:r>
          </w:p>
        </w:tc>
        <w:tc>
          <w:tcPr>
            <w:tcW w:w="1040" w:type="dxa"/>
            <w:vAlign w:val="bottom"/>
          </w:tcPr>
          <w:p>
            <w:pPr>
              <w:jc w:val="center"/>
              <w:spacing w:after="0" w:line="181" w:lineRule="exact"/>
              <w:rPr>
                <w:sz w:val="20"/>
                <w:szCs w:val="20"/>
                <w:color w:val="auto"/>
              </w:rPr>
            </w:pPr>
            <w:r>
              <w:rPr>
                <w:rFonts w:ascii="Arial" w:cs="Arial" w:eastAsia="Arial" w:hAnsi="Arial"/>
                <w:sz w:val="17"/>
                <w:szCs w:val="17"/>
                <w:color w:val="auto"/>
                <w:w w:val="98"/>
              </w:rPr>
              <w:t>5,533</w:t>
            </w:r>
          </w:p>
        </w:tc>
        <w:tc>
          <w:tcPr>
            <w:tcW w:w="118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7"/>
                <w:szCs w:val="17"/>
                <w:color w:val="auto"/>
                <w:w w:val="97"/>
              </w:rPr>
              <w:t>16.80%</w:t>
            </w:r>
          </w:p>
        </w:tc>
      </w:tr>
      <w:tr>
        <w:trPr>
          <w:trHeight w:val="182"/>
        </w:trPr>
        <w:tc>
          <w:tcPr>
            <w:tcW w:w="3400" w:type="dxa"/>
            <w:vAlign w:val="bottom"/>
            <w:tcBorders>
              <w:left w:val="single" w:sz="8" w:color="auto"/>
              <w:right w:val="single" w:sz="8" w:color="auto"/>
            </w:tcBorders>
          </w:tcPr>
          <w:p>
            <w:pPr>
              <w:ind w:left="20"/>
              <w:spacing w:after="0" w:line="181" w:lineRule="exact"/>
              <w:rPr>
                <w:sz w:val="20"/>
                <w:szCs w:val="20"/>
                <w:color w:val="auto"/>
              </w:rPr>
            </w:pPr>
            <w:r>
              <w:rPr>
                <w:rFonts w:ascii="Arial" w:cs="Arial" w:eastAsia="Arial" w:hAnsi="Arial"/>
                <w:sz w:val="17"/>
                <w:szCs w:val="17"/>
                <w:color w:val="auto"/>
              </w:rPr>
              <w:t>Fund 2</w:t>
            </w:r>
          </w:p>
        </w:tc>
        <w:tc>
          <w:tcPr>
            <w:tcW w:w="1640" w:type="dxa"/>
            <w:vAlign w:val="bottom"/>
          </w:tcPr>
          <w:p>
            <w:pPr>
              <w:jc w:val="center"/>
              <w:spacing w:after="0" w:line="181" w:lineRule="exact"/>
              <w:rPr>
                <w:sz w:val="20"/>
                <w:szCs w:val="20"/>
                <w:color w:val="auto"/>
              </w:rPr>
            </w:pPr>
            <w:r>
              <w:rPr>
                <w:rFonts w:ascii="Arial" w:cs="Arial" w:eastAsia="Arial" w:hAnsi="Arial"/>
                <w:sz w:val="17"/>
                <w:szCs w:val="17"/>
                <w:color w:val="auto"/>
                <w:w w:val="99"/>
              </w:rPr>
              <w:t>21,384</w:t>
            </w:r>
          </w:p>
        </w:tc>
        <w:tc>
          <w:tcPr>
            <w:tcW w:w="17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7"/>
                <w:szCs w:val="17"/>
                <w:color w:val="auto"/>
                <w:w w:val="97"/>
              </w:rPr>
              <w:t>67.14%</w:t>
            </w:r>
          </w:p>
        </w:tc>
        <w:tc>
          <w:tcPr>
            <w:tcW w:w="1040" w:type="dxa"/>
            <w:vAlign w:val="bottom"/>
          </w:tcPr>
          <w:p>
            <w:pPr>
              <w:jc w:val="center"/>
              <w:spacing w:after="0" w:line="181" w:lineRule="exact"/>
              <w:rPr>
                <w:sz w:val="20"/>
                <w:szCs w:val="20"/>
                <w:color w:val="auto"/>
              </w:rPr>
            </w:pPr>
            <w:r>
              <w:rPr>
                <w:rFonts w:ascii="Arial" w:cs="Arial" w:eastAsia="Arial" w:hAnsi="Arial"/>
                <w:sz w:val="17"/>
                <w:szCs w:val="17"/>
                <w:color w:val="auto"/>
                <w:w w:val="99"/>
              </w:rPr>
              <w:t>22,256</w:t>
            </w:r>
          </w:p>
        </w:tc>
        <w:tc>
          <w:tcPr>
            <w:tcW w:w="118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7"/>
                <w:szCs w:val="17"/>
                <w:color w:val="auto"/>
                <w:w w:val="97"/>
              </w:rPr>
              <w:t>67.59%</w:t>
            </w:r>
          </w:p>
        </w:tc>
      </w:tr>
      <w:tr>
        <w:trPr>
          <w:trHeight w:val="20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Fund 3</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3,800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11.93%</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3,736</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11.35%</w:t>
            </w:r>
          </w:p>
        </w:tc>
      </w:tr>
      <w:tr>
        <w:trPr>
          <w:trHeight w:val="184"/>
        </w:trPr>
        <w:tc>
          <w:tcPr>
            <w:tcW w:w="3400" w:type="dxa"/>
            <w:vAlign w:val="bottom"/>
            <w:tcBorders>
              <w:left w:val="single" w:sz="8" w:color="auto"/>
              <w:bottom w:val="single" w:sz="8" w:color="auto"/>
              <w:right w:val="single" w:sz="8" w:color="auto"/>
            </w:tcBorders>
          </w:tcPr>
          <w:p>
            <w:pPr>
              <w:ind w:left="20"/>
              <w:spacing w:after="0" w:line="181" w:lineRule="exact"/>
              <w:rPr>
                <w:sz w:val="20"/>
                <w:szCs w:val="20"/>
                <w:color w:val="auto"/>
              </w:rPr>
            </w:pPr>
            <w:r>
              <w:rPr>
                <w:rFonts w:ascii="Arial" w:cs="Arial" w:eastAsia="Arial" w:hAnsi="Arial"/>
                <w:sz w:val="17"/>
                <w:szCs w:val="17"/>
                <w:color w:val="auto"/>
              </w:rPr>
              <w:t>Total S/ Millions</w:t>
            </w:r>
          </w:p>
        </w:tc>
        <w:tc>
          <w:tcPr>
            <w:tcW w:w="16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7"/>
                <w:szCs w:val="17"/>
                <w:color w:val="auto"/>
                <w:w w:val="99"/>
              </w:rPr>
              <w:t>31,850</w:t>
            </w:r>
          </w:p>
        </w:tc>
        <w:tc>
          <w:tcPr>
            <w:tcW w:w="174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7"/>
                <w:szCs w:val="17"/>
                <w:color w:val="auto"/>
                <w:w w:val="96"/>
              </w:rPr>
              <w:t>100%</w:t>
            </w:r>
          </w:p>
        </w:tc>
        <w:tc>
          <w:tcPr>
            <w:tcW w:w="10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7"/>
                <w:szCs w:val="17"/>
                <w:color w:val="auto"/>
                <w:w w:val="99"/>
              </w:rPr>
              <w:t>32,928</w:t>
            </w:r>
          </w:p>
        </w:tc>
        <w:tc>
          <w:tcPr>
            <w:tcW w:w="118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7"/>
                <w:szCs w:val="17"/>
                <w:color w:val="auto"/>
                <w:w w:val="96"/>
              </w:rPr>
              <w:t>100%</w:t>
            </w:r>
          </w:p>
        </w:tc>
      </w:tr>
      <w:tr>
        <w:trPr>
          <w:trHeight w:val="217"/>
        </w:trPr>
        <w:tc>
          <w:tcPr>
            <w:tcW w:w="3400" w:type="dxa"/>
            <w:vAlign w:val="bottom"/>
          </w:tcPr>
          <w:p>
            <w:pPr>
              <w:spacing w:after="0"/>
              <w:rPr>
                <w:sz w:val="20"/>
                <w:szCs w:val="20"/>
                <w:color w:val="auto"/>
              </w:rPr>
            </w:pPr>
            <w:r>
              <w:rPr>
                <w:rFonts w:ascii="Calibri" w:cs="Calibri" w:eastAsia="Calibri" w:hAnsi="Calibri"/>
                <w:sz w:val="10"/>
                <w:szCs w:val="10"/>
                <w:i w:val="1"/>
                <w:iCs w:val="1"/>
                <w:color w:val="auto"/>
              </w:rPr>
              <w:t>Source: SBS.</w:t>
            </w:r>
          </w:p>
        </w:tc>
        <w:tc>
          <w:tcPr>
            <w:tcW w:w="1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8"/>
        </w:trPr>
        <w:tc>
          <w:tcPr>
            <w:tcW w:w="3400" w:type="dxa"/>
            <w:vAlign w:val="bottom"/>
          </w:tcPr>
          <w:p>
            <w:pPr>
              <w:spacing w:after="0"/>
              <w:rPr>
                <w:sz w:val="20"/>
                <w:szCs w:val="20"/>
                <w:color w:val="auto"/>
              </w:rPr>
            </w:pPr>
            <w:r>
              <w:rPr>
                <w:rFonts w:ascii="Calibri" w:cs="Calibri" w:eastAsia="Calibri" w:hAnsi="Calibri"/>
                <w:sz w:val="18"/>
                <w:szCs w:val="18"/>
                <w:b w:val="1"/>
                <w:bCs w:val="1"/>
                <w:color w:val="auto"/>
              </w:rPr>
              <w:t>Nominal proftability over the last 12 months</w:t>
            </w: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74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460" w:type="dxa"/>
            <w:vAlign w:val="bottom"/>
            <w:tcBorders>
              <w:top w:val="single" w:sz="8" w:color="auto"/>
              <w:bottom w:val="single" w:sz="8" w:color="auto"/>
              <w:right w:val="single" w:sz="8" w:color="2AD2C9"/>
            </w:tcBorders>
            <w:shd w:val="clear" w:color="auto" w:fill="2AD2C9"/>
          </w:tcPr>
          <w:p>
            <w:pPr>
              <w:spacing w:after="0"/>
              <w:rPr>
                <w:sz w:val="17"/>
                <w:szCs w:val="17"/>
                <w:color w:val="auto"/>
              </w:rPr>
            </w:pPr>
          </w:p>
        </w:tc>
        <w:tc>
          <w:tcPr>
            <w:tcW w:w="1780" w:type="dxa"/>
            <w:vAlign w:val="bottom"/>
            <w:tcBorders>
              <w:top w:val="single" w:sz="8" w:color="auto"/>
              <w:bottom w:val="single" w:sz="8" w:color="auto"/>
              <w:right w:val="single" w:sz="8" w:color="auto"/>
            </w:tcBorders>
            <w:shd w:val="clear" w:color="auto" w:fill="2AD2C9"/>
          </w:tcPr>
          <w:p>
            <w:pPr>
              <w:jc w:val="right"/>
              <w:ind w:right="444"/>
              <w:spacing w:after="0"/>
              <w:rPr>
                <w:sz w:val="20"/>
                <w:szCs w:val="20"/>
                <w:color w:val="auto"/>
              </w:rPr>
            </w:pPr>
            <w:r>
              <w:rPr>
                <w:rFonts w:ascii="Arial" w:cs="Arial" w:eastAsia="Arial" w:hAnsi="Arial"/>
                <w:sz w:val="17"/>
                <w:szCs w:val="17"/>
                <w:b w:val="1"/>
                <w:bCs w:val="1"/>
                <w:color w:val="FFFFFF"/>
              </w:rPr>
              <w:t>Dec 22 / Dec 21</w:t>
            </w:r>
          </w:p>
        </w:tc>
        <w:tc>
          <w:tcPr>
            <w:tcW w:w="1940" w:type="dxa"/>
            <w:vAlign w:val="bottom"/>
            <w:tcBorders>
              <w:top w:val="single" w:sz="8" w:color="auto"/>
              <w:bottom w:val="single" w:sz="8" w:color="auto"/>
              <w:right w:val="single" w:sz="8" w:color="2AD2C9"/>
            </w:tcBorders>
            <w:gridSpan w:val="2"/>
            <w:shd w:val="clear" w:color="auto" w:fill="2AD2C9"/>
          </w:tcPr>
          <w:p>
            <w:pPr>
              <w:jc w:val="right"/>
              <w:ind w:right="142"/>
              <w:spacing w:after="0"/>
              <w:rPr>
                <w:sz w:val="20"/>
                <w:szCs w:val="20"/>
                <w:color w:val="auto"/>
              </w:rPr>
            </w:pPr>
            <w:r>
              <w:rPr>
                <w:rFonts w:ascii="Arial" w:cs="Arial" w:eastAsia="Arial" w:hAnsi="Arial"/>
                <w:sz w:val="17"/>
                <w:szCs w:val="17"/>
                <w:b w:val="1"/>
                <w:bCs w:val="1"/>
                <w:color w:val="FFFFFF"/>
              </w:rPr>
              <w:t>Mar 23 / Mar 22</w:t>
            </w:r>
          </w:p>
        </w:tc>
        <w:tc>
          <w:tcPr>
            <w:tcW w:w="320" w:type="dxa"/>
            <w:vAlign w:val="bottom"/>
            <w:tcBorders>
              <w:top w:val="single" w:sz="8" w:color="auto"/>
              <w:bottom w:val="single" w:sz="8" w:color="auto"/>
              <w:right w:val="single" w:sz="8" w:color="auto"/>
            </w:tcBorders>
            <w:shd w:val="clear" w:color="auto" w:fill="2AD2C9"/>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20"/>
              <w:spacing w:after="0" w:line="163" w:lineRule="exact"/>
              <w:rPr>
                <w:sz w:val="20"/>
                <w:szCs w:val="20"/>
                <w:color w:val="auto"/>
              </w:rPr>
            </w:pPr>
            <w:r>
              <w:rPr>
                <w:rFonts w:ascii="Arial" w:cs="Arial" w:eastAsia="Arial" w:hAnsi="Arial"/>
                <w:sz w:val="17"/>
                <w:szCs w:val="17"/>
                <w:color w:val="auto"/>
              </w:rPr>
              <w:t>Fund 0</w:t>
            </w:r>
          </w:p>
        </w:tc>
        <w:tc>
          <w:tcPr>
            <w:tcW w:w="66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gridSpan w:val="2"/>
          </w:tcPr>
          <w:p>
            <w:pPr>
              <w:jc w:val="center"/>
              <w:spacing w:after="0" w:line="163" w:lineRule="exact"/>
              <w:rPr>
                <w:sz w:val="20"/>
                <w:szCs w:val="20"/>
                <w:color w:val="auto"/>
              </w:rPr>
            </w:pPr>
            <w:r>
              <w:rPr>
                <w:rFonts w:ascii="Arial" w:cs="Arial" w:eastAsia="Arial" w:hAnsi="Arial"/>
                <w:sz w:val="17"/>
                <w:szCs w:val="17"/>
                <w:color w:val="auto"/>
                <w:w w:val="97"/>
              </w:rPr>
              <w:t>5.2%</w:t>
            </w:r>
          </w:p>
        </w:tc>
        <w:tc>
          <w:tcPr>
            <w:tcW w:w="900" w:type="dxa"/>
            <w:vAlign w:val="bottom"/>
          </w:tcPr>
          <w:p>
            <w:pPr>
              <w:spacing w:after="0"/>
              <w:rPr>
                <w:sz w:val="14"/>
                <w:szCs w:val="14"/>
                <w:color w:val="auto"/>
              </w:rPr>
            </w:pPr>
          </w:p>
        </w:tc>
        <w:tc>
          <w:tcPr>
            <w:tcW w:w="1040" w:type="dxa"/>
            <w:vAlign w:val="bottom"/>
          </w:tcPr>
          <w:p>
            <w:pPr>
              <w:jc w:val="center"/>
              <w:ind w:right="502"/>
              <w:spacing w:after="0" w:line="163" w:lineRule="exact"/>
              <w:rPr>
                <w:sz w:val="20"/>
                <w:szCs w:val="20"/>
                <w:color w:val="auto"/>
              </w:rPr>
            </w:pPr>
            <w:r>
              <w:rPr>
                <w:rFonts w:ascii="Arial" w:cs="Arial" w:eastAsia="Arial" w:hAnsi="Arial"/>
                <w:sz w:val="17"/>
                <w:szCs w:val="17"/>
                <w:color w:val="auto"/>
                <w:w w:val="97"/>
              </w:rPr>
              <w:t>6.4%</w:t>
            </w:r>
          </w:p>
        </w:tc>
        <w:tc>
          <w:tcPr>
            <w:tcW w:w="320" w:type="dxa"/>
            <w:vAlign w:val="bottom"/>
            <w:tcBorders>
              <w:right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line="181" w:lineRule="exact"/>
              <w:rPr>
                <w:sz w:val="20"/>
                <w:szCs w:val="20"/>
                <w:color w:val="auto"/>
              </w:rPr>
            </w:pPr>
            <w:r>
              <w:rPr>
                <w:rFonts w:ascii="Arial" w:cs="Arial" w:eastAsia="Arial" w:hAnsi="Arial"/>
                <w:sz w:val="17"/>
                <w:szCs w:val="17"/>
                <w:color w:val="auto"/>
              </w:rPr>
              <w:t>Fund 1</w:t>
            </w:r>
          </w:p>
        </w:tc>
        <w:tc>
          <w:tcPr>
            <w:tcW w:w="66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gridSpan w:val="2"/>
          </w:tcPr>
          <w:p>
            <w:pPr>
              <w:jc w:val="center"/>
              <w:spacing w:after="0" w:line="181" w:lineRule="exact"/>
              <w:rPr>
                <w:sz w:val="20"/>
                <w:szCs w:val="20"/>
                <w:color w:val="auto"/>
              </w:rPr>
            </w:pPr>
            <w:r>
              <w:rPr>
                <w:rFonts w:ascii="Arial" w:cs="Arial" w:eastAsia="Arial" w:hAnsi="Arial"/>
                <w:sz w:val="17"/>
                <w:szCs w:val="17"/>
                <w:color w:val="auto"/>
                <w:w w:val="98"/>
              </w:rPr>
              <w:t>-5.3%</w:t>
            </w:r>
          </w:p>
        </w:tc>
        <w:tc>
          <w:tcPr>
            <w:tcW w:w="900" w:type="dxa"/>
            <w:vAlign w:val="bottom"/>
          </w:tcPr>
          <w:p>
            <w:pPr>
              <w:spacing w:after="0"/>
              <w:rPr>
                <w:sz w:val="15"/>
                <w:szCs w:val="15"/>
                <w:color w:val="auto"/>
              </w:rPr>
            </w:pPr>
          </w:p>
        </w:tc>
        <w:tc>
          <w:tcPr>
            <w:tcW w:w="1040" w:type="dxa"/>
            <w:vAlign w:val="bottom"/>
          </w:tcPr>
          <w:p>
            <w:pPr>
              <w:jc w:val="center"/>
              <w:ind w:right="502"/>
              <w:spacing w:after="0" w:line="181" w:lineRule="exact"/>
              <w:rPr>
                <w:sz w:val="20"/>
                <w:szCs w:val="20"/>
                <w:color w:val="auto"/>
              </w:rPr>
            </w:pPr>
            <w:r>
              <w:rPr>
                <w:rFonts w:ascii="Arial" w:cs="Arial" w:eastAsia="Arial" w:hAnsi="Arial"/>
                <w:sz w:val="17"/>
                <w:szCs w:val="17"/>
                <w:color w:val="auto"/>
                <w:w w:val="97"/>
              </w:rPr>
              <w:t>1.0%</w:t>
            </w:r>
          </w:p>
        </w:tc>
        <w:tc>
          <w:tcPr>
            <w:tcW w:w="32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line="181" w:lineRule="exact"/>
              <w:rPr>
                <w:sz w:val="20"/>
                <w:szCs w:val="20"/>
                <w:color w:val="auto"/>
              </w:rPr>
            </w:pPr>
            <w:r>
              <w:rPr>
                <w:rFonts w:ascii="Arial" w:cs="Arial" w:eastAsia="Arial" w:hAnsi="Arial"/>
                <w:sz w:val="17"/>
                <w:szCs w:val="17"/>
                <w:color w:val="auto"/>
              </w:rPr>
              <w:t>Fund 2</w:t>
            </w:r>
          </w:p>
        </w:tc>
        <w:tc>
          <w:tcPr>
            <w:tcW w:w="66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gridSpan w:val="2"/>
          </w:tcPr>
          <w:p>
            <w:pPr>
              <w:jc w:val="center"/>
              <w:spacing w:after="0" w:line="181" w:lineRule="exact"/>
              <w:rPr>
                <w:sz w:val="20"/>
                <w:szCs w:val="20"/>
                <w:color w:val="auto"/>
              </w:rPr>
            </w:pPr>
            <w:r>
              <w:rPr>
                <w:rFonts w:ascii="Arial" w:cs="Arial" w:eastAsia="Arial" w:hAnsi="Arial"/>
                <w:sz w:val="17"/>
                <w:szCs w:val="17"/>
                <w:color w:val="auto"/>
                <w:w w:val="98"/>
              </w:rPr>
              <w:t>-7.0%</w:t>
            </w:r>
          </w:p>
        </w:tc>
        <w:tc>
          <w:tcPr>
            <w:tcW w:w="900" w:type="dxa"/>
            <w:vAlign w:val="bottom"/>
          </w:tcPr>
          <w:p>
            <w:pPr>
              <w:spacing w:after="0"/>
              <w:rPr>
                <w:sz w:val="15"/>
                <w:szCs w:val="15"/>
                <w:color w:val="auto"/>
              </w:rPr>
            </w:pPr>
          </w:p>
        </w:tc>
        <w:tc>
          <w:tcPr>
            <w:tcW w:w="1040" w:type="dxa"/>
            <w:vAlign w:val="bottom"/>
          </w:tcPr>
          <w:p>
            <w:pPr>
              <w:jc w:val="center"/>
              <w:ind w:right="522"/>
              <w:spacing w:after="0" w:line="181" w:lineRule="exact"/>
              <w:rPr>
                <w:sz w:val="20"/>
                <w:szCs w:val="20"/>
                <w:color w:val="auto"/>
              </w:rPr>
            </w:pPr>
            <w:r>
              <w:rPr>
                <w:rFonts w:ascii="Arial" w:cs="Arial" w:eastAsia="Arial" w:hAnsi="Arial"/>
                <w:sz w:val="17"/>
                <w:szCs w:val="17"/>
                <w:color w:val="auto"/>
                <w:w w:val="98"/>
              </w:rPr>
              <w:t>-2.2%</w:t>
            </w:r>
          </w:p>
        </w:tc>
        <w:tc>
          <w:tcPr>
            <w:tcW w:w="32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Fund 3</w:t>
            </w:r>
          </w:p>
        </w:tc>
        <w:tc>
          <w:tcPr>
            <w:tcW w:w="66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98"/>
              </w:rPr>
              <w:t>-8.2%</w:t>
            </w:r>
          </w:p>
        </w:tc>
        <w:tc>
          <w:tcPr>
            <w:tcW w:w="1940" w:type="dxa"/>
            <w:vAlign w:val="bottom"/>
            <w:tcBorders>
              <w:bottom w:val="single" w:sz="8" w:color="auto"/>
            </w:tcBorders>
            <w:gridSpan w:val="2"/>
          </w:tcPr>
          <w:p>
            <w:pPr>
              <w:jc w:val="center"/>
              <w:ind w:left="223"/>
              <w:spacing w:after="0"/>
              <w:rPr>
                <w:sz w:val="20"/>
                <w:szCs w:val="20"/>
                <w:color w:val="auto"/>
              </w:rPr>
            </w:pPr>
            <w:r>
              <w:rPr>
                <w:rFonts w:ascii="Arial" w:cs="Arial" w:eastAsia="Arial" w:hAnsi="Arial"/>
                <w:sz w:val="17"/>
                <w:szCs w:val="17"/>
                <w:color w:val="auto"/>
                <w:w w:val="96"/>
              </w:rPr>
              <w:t>-11.2%</w:t>
            </w:r>
          </w:p>
        </w:tc>
        <w:tc>
          <w:tcPr>
            <w:tcW w:w="320" w:type="dxa"/>
            <w:vAlign w:val="bottom"/>
            <w:tcBorders>
              <w:bottom w:val="single" w:sz="8" w:color="auto"/>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740" w:type="dxa"/>
            <w:vAlign w:val="bottom"/>
          </w:tcPr>
          <w:p>
            <w:pPr>
              <w:ind w:left="20"/>
              <w:spacing w:after="0" w:line="116" w:lineRule="exact"/>
              <w:rPr>
                <w:sz w:val="20"/>
                <w:szCs w:val="20"/>
                <w:color w:val="auto"/>
              </w:rPr>
            </w:pPr>
            <w:r>
              <w:rPr>
                <w:rFonts w:ascii="Calibri" w:cs="Calibri" w:eastAsia="Calibri" w:hAnsi="Calibri"/>
                <w:sz w:val="10"/>
                <w:szCs w:val="10"/>
                <w:color w:val="auto"/>
              </w:rPr>
              <w:t>(1) Included new methodology of SBS to calculate quota value.</w:t>
            </w: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2740" w:type="dxa"/>
            <w:vAlign w:val="bottom"/>
          </w:tcPr>
          <w:p>
            <w:pPr>
              <w:ind w:left="20"/>
              <w:spacing w:after="0"/>
              <w:rPr>
                <w:sz w:val="20"/>
                <w:szCs w:val="20"/>
                <w:color w:val="auto"/>
              </w:rPr>
            </w:pPr>
            <w:r>
              <w:rPr>
                <w:rFonts w:ascii="Calibri" w:cs="Calibri" w:eastAsia="Calibri" w:hAnsi="Calibri"/>
                <w:sz w:val="18"/>
                <w:szCs w:val="18"/>
                <w:b w:val="1"/>
                <w:bCs w:val="1"/>
                <w:color w:val="auto"/>
              </w:rPr>
              <w:t>AFP commissions</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3"/>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740" w:type="dxa"/>
            <w:vAlign w:val="bottom"/>
            <w:tcBorders>
              <w:left w:val="single" w:sz="8" w:color="auto"/>
              <w:bottom w:val="single" w:sz="8" w:color="2AD2C9"/>
            </w:tcBorders>
            <w:shd w:val="clear" w:color="auto" w:fill="2AD2C9"/>
          </w:tcPr>
          <w:p>
            <w:pPr>
              <w:ind w:left="40"/>
              <w:spacing w:after="0" w:line="180" w:lineRule="exact"/>
              <w:rPr>
                <w:sz w:val="20"/>
                <w:szCs w:val="20"/>
                <w:color w:val="auto"/>
              </w:rPr>
            </w:pPr>
            <w:r>
              <w:rPr>
                <w:rFonts w:ascii="Calibri" w:cs="Calibri" w:eastAsia="Calibri" w:hAnsi="Calibri"/>
                <w:sz w:val="15"/>
                <w:szCs w:val="15"/>
                <w:b w:val="1"/>
                <w:bCs w:val="1"/>
                <w:color w:val="FFFFFF"/>
              </w:rPr>
              <w:t>Fee based on fow</w:t>
            </w:r>
          </w:p>
        </w:tc>
        <w:tc>
          <w:tcPr>
            <w:tcW w:w="660" w:type="dxa"/>
            <w:vAlign w:val="bottom"/>
            <w:tcBorders>
              <w:bottom w:val="single" w:sz="8" w:color="2AD2C9"/>
              <w:right w:val="single" w:sz="8" w:color="auto"/>
            </w:tcBorders>
            <w:shd w:val="clear" w:color="auto" w:fill="2AD2C9"/>
          </w:tcPr>
          <w:p>
            <w:pPr>
              <w:jc w:val="right"/>
              <w:spacing w:after="0" w:line="180" w:lineRule="exact"/>
              <w:rPr>
                <w:sz w:val="20"/>
                <w:szCs w:val="20"/>
                <w:color w:val="auto"/>
              </w:rPr>
            </w:pPr>
            <w:r>
              <w:rPr>
                <w:rFonts w:ascii="Calibri" w:cs="Calibri" w:eastAsia="Calibri" w:hAnsi="Calibri"/>
                <w:sz w:val="15"/>
                <w:szCs w:val="15"/>
                <w:color w:val="FFFFFF"/>
              </w:rPr>
              <w:t>1.60%</w:t>
            </w:r>
          </w:p>
        </w:tc>
        <w:tc>
          <w:tcPr>
            <w:tcW w:w="3140" w:type="dxa"/>
            <w:vAlign w:val="bottom"/>
            <w:tcBorders>
              <w:bottom w:val="single" w:sz="8" w:color="2AD2C9"/>
            </w:tcBorders>
            <w:gridSpan w:val="3"/>
            <w:shd w:val="clear" w:color="auto" w:fill="2AD2C9"/>
          </w:tcPr>
          <w:p>
            <w:pPr>
              <w:spacing w:after="0" w:line="180" w:lineRule="exact"/>
              <w:rPr>
                <w:sz w:val="20"/>
                <w:szCs w:val="20"/>
                <w:color w:val="auto"/>
              </w:rPr>
            </w:pPr>
            <w:r>
              <w:rPr>
                <w:rFonts w:ascii="Calibri" w:cs="Calibri" w:eastAsia="Calibri" w:hAnsi="Calibri"/>
                <w:sz w:val="15"/>
                <w:szCs w:val="15"/>
                <w:color w:val="FFFFFF"/>
              </w:rPr>
              <w:t>Applied to the afliates’ monthly remuneraton.</w:t>
            </w:r>
          </w:p>
        </w:tc>
        <w:tc>
          <w:tcPr>
            <w:tcW w:w="1040" w:type="dxa"/>
            <w:vAlign w:val="bottom"/>
            <w:tcBorders>
              <w:bottom w:val="single" w:sz="8" w:color="2AD2C9"/>
              <w:right w:val="single" w:sz="8" w:color="2AD2C9"/>
            </w:tcBorders>
            <w:shd w:val="clear" w:color="auto" w:fill="2AD2C9"/>
          </w:tcPr>
          <w:p>
            <w:pPr>
              <w:spacing w:after="0"/>
              <w:rPr>
                <w:sz w:val="17"/>
                <w:szCs w:val="17"/>
                <w:color w:val="auto"/>
              </w:rPr>
            </w:pPr>
          </w:p>
        </w:tc>
        <w:tc>
          <w:tcPr>
            <w:tcW w:w="320" w:type="dxa"/>
            <w:vAlign w:val="bottom"/>
            <w:tcBorders>
              <w:bottom w:val="single" w:sz="8" w:color="2AD2C9"/>
              <w:right w:val="single" w:sz="8" w:color="2AD2C9"/>
            </w:tcBorders>
            <w:shd w:val="clear" w:color="auto" w:fill="2AD2C9"/>
          </w:tcPr>
          <w:p>
            <w:pPr>
              <w:spacing w:after="0"/>
              <w:rPr>
                <w:sz w:val="17"/>
                <w:szCs w:val="17"/>
                <w:color w:val="auto"/>
              </w:rPr>
            </w:pPr>
          </w:p>
        </w:tc>
        <w:tc>
          <w:tcPr>
            <w:tcW w:w="1240" w:type="dxa"/>
            <w:vAlign w:val="bottom"/>
            <w:tcBorders>
              <w:bottom w:val="single" w:sz="8" w:color="2AD2C9"/>
            </w:tcBorders>
            <w:shd w:val="clear" w:color="auto" w:fill="2AD2C9"/>
          </w:tcPr>
          <w:p>
            <w:pPr>
              <w:spacing w:after="0"/>
              <w:rPr>
                <w:sz w:val="17"/>
                <w:szCs w:val="17"/>
                <w:color w:val="auto"/>
              </w:rPr>
            </w:pPr>
          </w:p>
        </w:tc>
        <w:tc>
          <w:tcPr>
            <w:tcW w:w="1000" w:type="dxa"/>
            <w:vAlign w:val="bottom"/>
            <w:tcBorders>
              <w:bottom w:val="single" w:sz="8" w:color="2AD2C9"/>
              <w:right w:val="single" w:sz="8" w:color="auto"/>
            </w:tcBorders>
            <w:shd w:val="clear" w:color="auto" w:fill="2AD2C9"/>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740" w:type="dxa"/>
            <w:vAlign w:val="bottom"/>
            <w:tcBorders>
              <w:top w:val="single" w:sz="8" w:color="auto"/>
              <w:left w:val="single" w:sz="8" w:color="auto"/>
            </w:tcBorders>
          </w:tcPr>
          <w:p>
            <w:pPr>
              <w:ind w:left="40"/>
              <w:spacing w:after="0" w:line="180" w:lineRule="exact"/>
              <w:rPr>
                <w:sz w:val="20"/>
                <w:szCs w:val="20"/>
                <w:color w:val="auto"/>
              </w:rPr>
            </w:pPr>
            <w:r>
              <w:rPr>
                <w:rFonts w:ascii="Calibri" w:cs="Calibri" w:eastAsia="Calibri" w:hAnsi="Calibri"/>
                <w:sz w:val="15"/>
                <w:szCs w:val="15"/>
                <w:b w:val="1"/>
                <w:bCs w:val="1"/>
                <w:color w:val="auto"/>
              </w:rPr>
              <w:t>Mixed fee</w:t>
            </w:r>
          </w:p>
        </w:tc>
        <w:tc>
          <w:tcPr>
            <w:tcW w:w="660" w:type="dxa"/>
            <w:vAlign w:val="bottom"/>
            <w:tcBorders>
              <w:top w:val="single" w:sz="8" w:color="auto"/>
              <w:right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274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b w:val="1"/>
                <w:bCs w:val="1"/>
                <w:color w:val="auto"/>
              </w:rPr>
              <w:t>Flow</w:t>
            </w:r>
          </w:p>
        </w:tc>
        <w:tc>
          <w:tcPr>
            <w:tcW w:w="6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0.18%</w:t>
            </w:r>
          </w:p>
        </w:tc>
        <w:tc>
          <w:tcPr>
            <w:tcW w:w="5740" w:type="dxa"/>
            <w:vAlign w:val="bottom"/>
            <w:gridSpan w:val="6"/>
          </w:tcPr>
          <w:p>
            <w:pPr>
              <w:spacing w:after="0"/>
              <w:rPr>
                <w:sz w:val="20"/>
                <w:szCs w:val="20"/>
                <w:color w:val="auto"/>
              </w:rPr>
            </w:pPr>
            <w:r>
              <w:rPr>
                <w:rFonts w:ascii="Calibri" w:cs="Calibri" w:eastAsia="Calibri" w:hAnsi="Calibri"/>
                <w:sz w:val="15"/>
                <w:szCs w:val="15"/>
                <w:color w:val="auto"/>
              </w:rPr>
              <w:t>Applied to the afliates’ monthly remuneraton since June 2017. Feb 17- may 17 =0.87%.</w:t>
            </w:r>
          </w:p>
        </w:tc>
        <w:tc>
          <w:tcPr>
            <w:tcW w:w="10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740" w:type="dxa"/>
            <w:vAlign w:val="bottom"/>
            <w:tcBorders>
              <w:left w:val="single" w:sz="8" w:color="auto"/>
            </w:tcBorders>
            <w:vMerge w:val="restart"/>
          </w:tcPr>
          <w:p>
            <w:pPr>
              <w:ind w:left="40"/>
              <w:spacing w:after="0"/>
              <w:rPr>
                <w:sz w:val="20"/>
                <w:szCs w:val="20"/>
                <w:color w:val="auto"/>
              </w:rPr>
            </w:pPr>
            <w:r>
              <w:rPr>
                <w:rFonts w:ascii="Calibri" w:cs="Calibri" w:eastAsia="Calibri" w:hAnsi="Calibri"/>
                <w:sz w:val="15"/>
                <w:szCs w:val="15"/>
                <w:color w:val="auto"/>
              </w:rPr>
              <w:t>Balance</w:t>
            </w:r>
          </w:p>
        </w:tc>
        <w:tc>
          <w:tcPr>
            <w:tcW w:w="66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1.25%</w:t>
            </w:r>
          </w:p>
        </w:tc>
        <w:tc>
          <w:tcPr>
            <w:tcW w:w="6740" w:type="dxa"/>
            <w:vAlign w:val="bottom"/>
            <w:tcBorders>
              <w:right w:val="single" w:sz="8" w:color="auto"/>
            </w:tcBorders>
            <w:gridSpan w:val="7"/>
          </w:tcPr>
          <w:p>
            <w:pPr>
              <w:spacing w:after="0"/>
              <w:rPr>
                <w:sz w:val="20"/>
                <w:szCs w:val="20"/>
                <w:color w:val="auto"/>
              </w:rPr>
            </w:pPr>
            <w:r>
              <w:rPr>
                <w:rFonts w:ascii="Calibri" w:cs="Calibri" w:eastAsia="Calibri" w:hAnsi="Calibri"/>
                <w:sz w:val="15"/>
                <w:szCs w:val="15"/>
                <w:color w:val="auto"/>
              </w:rPr>
              <w:t>Applies annualy to the new balance since February 2013 for new afliates to the system and beginning on June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740" w:type="dxa"/>
            <w:vAlign w:val="bottom"/>
            <w:tcBorders>
              <w:lef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180" w:type="dxa"/>
            <w:vAlign w:val="bottom"/>
            <w:gridSpan w:val="4"/>
            <w:vMerge w:val="restart"/>
          </w:tcPr>
          <w:p>
            <w:pPr>
              <w:spacing w:after="0" w:line="181" w:lineRule="exact"/>
              <w:rPr>
                <w:sz w:val="20"/>
                <w:szCs w:val="20"/>
                <w:color w:val="auto"/>
              </w:rPr>
            </w:pPr>
            <w:r>
              <w:rPr>
                <w:rFonts w:ascii="Calibri" w:cs="Calibri" w:eastAsia="Calibri" w:hAnsi="Calibri"/>
                <w:sz w:val="15"/>
                <w:szCs w:val="15"/>
                <w:color w:val="auto"/>
              </w:rPr>
              <w:t>2013 for old afliates who have chosen this commission scheme.</w:t>
            </w:r>
          </w:p>
        </w:tc>
        <w:tc>
          <w:tcPr>
            <w:tcW w:w="3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740" w:type="dxa"/>
            <w:vAlign w:val="bottom"/>
            <w:tcBorders>
              <w:lef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180" w:type="dxa"/>
            <w:vAlign w:val="bottom"/>
            <w:gridSpan w:val="4"/>
            <w:vMerge w:val="continue"/>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274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7"/>
        </w:trPr>
        <w:tc>
          <w:tcPr>
            <w:tcW w:w="2740" w:type="dxa"/>
            <w:vAlign w:val="bottom"/>
          </w:tcPr>
          <w:p>
            <w:pPr>
              <w:ind w:left="20"/>
              <w:spacing w:after="0"/>
              <w:rPr>
                <w:sz w:val="20"/>
                <w:szCs w:val="20"/>
                <w:color w:val="auto"/>
              </w:rPr>
            </w:pPr>
            <w:r>
              <w:rPr>
                <w:rFonts w:ascii="Calibri" w:cs="Calibri" w:eastAsia="Calibri" w:hAnsi="Calibri"/>
                <w:sz w:val="18"/>
                <w:szCs w:val="18"/>
                <w:b w:val="1"/>
                <w:bCs w:val="1"/>
                <w:color w:val="auto"/>
              </w:rPr>
              <w:t>Main indicators</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740" w:type="dxa"/>
            <w:vAlign w:val="bottom"/>
            <w:tcBorders>
              <w:left w:val="single" w:sz="8" w:color="auto"/>
            </w:tcBorders>
            <w:vMerge w:val="restart"/>
            <w:shd w:val="clear" w:color="auto" w:fill="2AD2C9"/>
          </w:tcPr>
          <w:p>
            <w:pPr>
              <w:ind w:left="40"/>
              <w:spacing w:after="0"/>
              <w:rPr>
                <w:sz w:val="20"/>
                <w:szCs w:val="20"/>
                <w:color w:val="auto"/>
              </w:rPr>
            </w:pPr>
            <w:r>
              <w:rPr>
                <w:rFonts w:ascii="Calibri" w:cs="Calibri" w:eastAsia="Calibri" w:hAnsi="Calibri"/>
                <w:sz w:val="15"/>
                <w:szCs w:val="15"/>
                <w:b w:val="1"/>
                <w:bCs w:val="1"/>
                <w:color w:val="FFFFFF"/>
              </w:rPr>
              <w:t>Main indicators and market share</w:t>
            </w:r>
          </w:p>
        </w:tc>
        <w:tc>
          <w:tcPr>
            <w:tcW w:w="660" w:type="dxa"/>
            <w:vAlign w:val="bottom"/>
            <w:tcBorders>
              <w:right w:val="single" w:sz="8" w:color="2AD2C9"/>
            </w:tcBorders>
            <w:shd w:val="clear" w:color="auto" w:fill="2AD2C9"/>
          </w:tcPr>
          <w:p>
            <w:pPr>
              <w:spacing w:after="0"/>
              <w:rPr>
                <w:sz w:val="15"/>
                <w:szCs w:val="15"/>
                <w:color w:val="auto"/>
              </w:rPr>
            </w:pPr>
          </w:p>
        </w:tc>
        <w:tc>
          <w:tcPr>
            <w:tcW w:w="460" w:type="dxa"/>
            <w:vAlign w:val="bottom"/>
            <w:tcBorders>
              <w:right w:val="single" w:sz="8" w:color="auto"/>
            </w:tcBorders>
            <w:shd w:val="clear" w:color="auto" w:fill="2AD2C9"/>
          </w:tcPr>
          <w:p>
            <w:pPr>
              <w:spacing w:after="0"/>
              <w:rPr>
                <w:sz w:val="15"/>
                <w:szCs w:val="15"/>
                <w:color w:val="auto"/>
              </w:rPr>
            </w:pPr>
          </w:p>
        </w:tc>
        <w:tc>
          <w:tcPr>
            <w:tcW w:w="1780" w:type="dxa"/>
            <w:vAlign w:val="bottom"/>
            <w:tcBorders>
              <w:right w:val="single" w:sz="8" w:color="2AD2C9"/>
            </w:tcBorders>
            <w:shd w:val="clear" w:color="auto" w:fill="2AD2C9"/>
          </w:tcPr>
          <w:p>
            <w:pPr>
              <w:ind w:left="500"/>
              <w:spacing w:after="0" w:line="174" w:lineRule="exact"/>
              <w:rPr>
                <w:sz w:val="20"/>
                <w:szCs w:val="20"/>
                <w:color w:val="auto"/>
              </w:rPr>
            </w:pPr>
            <w:r>
              <w:rPr>
                <w:rFonts w:ascii="Calibri" w:cs="Calibri" w:eastAsia="Calibri" w:hAnsi="Calibri"/>
                <w:sz w:val="15"/>
                <w:szCs w:val="15"/>
                <w:b w:val="1"/>
                <w:bCs w:val="1"/>
                <w:color w:val="FFFFFF"/>
              </w:rPr>
              <w:t>Prima</w:t>
            </w:r>
          </w:p>
        </w:tc>
        <w:tc>
          <w:tcPr>
            <w:tcW w:w="900" w:type="dxa"/>
            <w:vAlign w:val="bottom"/>
            <w:shd w:val="clear" w:color="auto" w:fill="2AD2C9"/>
          </w:tcPr>
          <w:p>
            <w:pPr>
              <w:jc w:val="right"/>
              <w:ind w:right="363"/>
              <w:spacing w:after="0" w:line="174" w:lineRule="exact"/>
              <w:rPr>
                <w:sz w:val="20"/>
                <w:szCs w:val="20"/>
                <w:color w:val="auto"/>
              </w:rPr>
            </w:pPr>
            <w:r>
              <w:rPr>
                <w:rFonts w:ascii="Calibri" w:cs="Calibri" w:eastAsia="Calibri" w:hAnsi="Calibri"/>
                <w:sz w:val="15"/>
                <w:szCs w:val="15"/>
                <w:b w:val="1"/>
                <w:bCs w:val="1"/>
                <w:color w:val="FFFFFF"/>
                <w:w w:val="97"/>
              </w:rPr>
              <w:t>System</w:t>
            </w:r>
          </w:p>
        </w:tc>
        <w:tc>
          <w:tcPr>
            <w:tcW w:w="1040" w:type="dxa"/>
            <w:vAlign w:val="bottom"/>
            <w:tcBorders>
              <w:right w:val="single" w:sz="8" w:color="auto"/>
            </w:tcBorders>
            <w:shd w:val="clear" w:color="auto" w:fill="2AD2C9"/>
          </w:tcPr>
          <w:p>
            <w:pPr>
              <w:jc w:val="right"/>
              <w:ind w:right="202"/>
              <w:spacing w:after="0" w:line="174" w:lineRule="exact"/>
              <w:rPr>
                <w:sz w:val="20"/>
                <w:szCs w:val="20"/>
                <w:color w:val="auto"/>
              </w:rPr>
            </w:pPr>
            <w:r>
              <w:rPr>
                <w:rFonts w:ascii="Calibri" w:cs="Calibri" w:eastAsia="Calibri" w:hAnsi="Calibri"/>
                <w:sz w:val="15"/>
                <w:szCs w:val="15"/>
                <w:b w:val="1"/>
                <w:bCs w:val="1"/>
                <w:color w:val="FFFFFF"/>
              </w:rPr>
              <w:t>% share</w:t>
            </w:r>
          </w:p>
        </w:tc>
        <w:tc>
          <w:tcPr>
            <w:tcW w:w="320" w:type="dxa"/>
            <w:vAlign w:val="bottom"/>
            <w:tcBorders>
              <w:right w:val="single" w:sz="8" w:color="2AD2C9"/>
            </w:tcBorders>
            <w:shd w:val="clear" w:color="auto" w:fill="2AD2C9"/>
          </w:tcPr>
          <w:p>
            <w:pPr>
              <w:spacing w:after="0"/>
              <w:rPr>
                <w:sz w:val="15"/>
                <w:szCs w:val="15"/>
                <w:color w:val="auto"/>
              </w:rPr>
            </w:pPr>
          </w:p>
        </w:tc>
        <w:tc>
          <w:tcPr>
            <w:tcW w:w="1240" w:type="dxa"/>
            <w:vAlign w:val="bottom"/>
            <w:shd w:val="clear" w:color="auto" w:fill="2AD2C9"/>
          </w:tcPr>
          <w:p>
            <w:pPr>
              <w:ind w:left="180"/>
              <w:spacing w:after="0" w:line="174" w:lineRule="exact"/>
              <w:rPr>
                <w:sz w:val="20"/>
                <w:szCs w:val="20"/>
                <w:color w:val="auto"/>
              </w:rPr>
            </w:pPr>
            <w:r>
              <w:rPr>
                <w:rFonts w:ascii="Calibri" w:cs="Calibri" w:eastAsia="Calibri" w:hAnsi="Calibri"/>
                <w:sz w:val="15"/>
                <w:szCs w:val="15"/>
                <w:b w:val="1"/>
                <w:bCs w:val="1"/>
                <w:color w:val="FFFFFF"/>
              </w:rPr>
              <w:t>Prima</w:t>
            </w:r>
          </w:p>
        </w:tc>
        <w:tc>
          <w:tcPr>
            <w:tcW w:w="1260" w:type="dxa"/>
            <w:vAlign w:val="bottom"/>
            <w:gridSpan w:val="2"/>
            <w:shd w:val="clear" w:color="auto" w:fill="2AD2C9"/>
          </w:tcPr>
          <w:p>
            <w:pPr>
              <w:jc w:val="right"/>
              <w:ind w:right="580"/>
              <w:spacing w:after="0" w:line="174" w:lineRule="exact"/>
              <w:rPr>
                <w:sz w:val="20"/>
                <w:szCs w:val="20"/>
                <w:color w:val="auto"/>
              </w:rPr>
            </w:pPr>
            <w:r>
              <w:rPr>
                <w:rFonts w:ascii="Calibri" w:cs="Calibri" w:eastAsia="Calibri" w:hAnsi="Calibri"/>
                <w:sz w:val="15"/>
                <w:szCs w:val="15"/>
                <w:b w:val="1"/>
                <w:bCs w:val="1"/>
                <w:color w:val="FFFFFF"/>
              </w:rPr>
              <w:t>System</w:t>
            </w:r>
          </w:p>
        </w:tc>
        <w:tc>
          <w:tcPr>
            <w:tcW w:w="880" w:type="dxa"/>
            <w:vAlign w:val="bottom"/>
            <w:tcBorders>
              <w:right w:val="single" w:sz="8" w:color="auto"/>
            </w:tcBorders>
            <w:shd w:val="clear" w:color="auto" w:fill="2AD2C9"/>
          </w:tcPr>
          <w:p>
            <w:pPr>
              <w:jc w:val="right"/>
              <w:ind w:right="184"/>
              <w:spacing w:after="0" w:line="174" w:lineRule="exact"/>
              <w:rPr>
                <w:sz w:val="20"/>
                <w:szCs w:val="20"/>
                <w:color w:val="auto"/>
              </w:rPr>
            </w:pPr>
            <w:r>
              <w:rPr>
                <w:rFonts w:ascii="Calibri" w:cs="Calibri" w:eastAsia="Calibri" w:hAnsi="Calibri"/>
                <w:sz w:val="15"/>
                <w:szCs w:val="15"/>
                <w:b w:val="1"/>
                <w:bCs w:val="1"/>
                <w:color w:val="FFFFFF"/>
              </w:rPr>
              <w:t>% share</w:t>
            </w:r>
          </w:p>
        </w:tc>
        <w:tc>
          <w:tcPr>
            <w:tcW w:w="0" w:type="dxa"/>
            <w:vAlign w:val="bottom"/>
          </w:tcPr>
          <w:p>
            <w:pPr>
              <w:spacing w:after="0"/>
              <w:rPr>
                <w:sz w:val="1"/>
                <w:szCs w:val="1"/>
                <w:color w:val="auto"/>
              </w:rPr>
            </w:pPr>
          </w:p>
        </w:tc>
      </w:tr>
      <w:tr>
        <w:trPr>
          <w:trHeight w:val="89"/>
        </w:trPr>
        <w:tc>
          <w:tcPr>
            <w:tcW w:w="2740" w:type="dxa"/>
            <w:vAlign w:val="bottom"/>
            <w:tcBorders>
              <w:left w:val="single" w:sz="8" w:color="auto"/>
            </w:tcBorders>
            <w:vMerge w:val="continue"/>
            <w:shd w:val="clear" w:color="auto" w:fill="2AD2C9"/>
          </w:tcPr>
          <w:p>
            <w:pPr>
              <w:spacing w:after="0"/>
              <w:rPr>
                <w:sz w:val="7"/>
                <w:szCs w:val="7"/>
                <w:color w:val="auto"/>
              </w:rPr>
            </w:pPr>
          </w:p>
        </w:tc>
        <w:tc>
          <w:tcPr>
            <w:tcW w:w="660" w:type="dxa"/>
            <w:vAlign w:val="bottom"/>
            <w:tcBorders>
              <w:right w:val="single" w:sz="8" w:color="2AD2C9"/>
            </w:tcBorders>
            <w:shd w:val="clear" w:color="auto" w:fill="2AD2C9"/>
          </w:tcPr>
          <w:p>
            <w:pPr>
              <w:spacing w:after="0"/>
              <w:rPr>
                <w:sz w:val="7"/>
                <w:szCs w:val="7"/>
                <w:color w:val="auto"/>
              </w:rPr>
            </w:pPr>
          </w:p>
        </w:tc>
        <w:tc>
          <w:tcPr>
            <w:tcW w:w="460" w:type="dxa"/>
            <w:vAlign w:val="bottom"/>
            <w:tcBorders>
              <w:right w:val="single" w:sz="8" w:color="auto"/>
            </w:tcBorders>
            <w:shd w:val="clear" w:color="auto" w:fill="2AD2C9"/>
          </w:tcPr>
          <w:p>
            <w:pPr>
              <w:spacing w:after="0"/>
              <w:rPr>
                <w:sz w:val="7"/>
                <w:szCs w:val="7"/>
                <w:color w:val="auto"/>
              </w:rPr>
            </w:pPr>
          </w:p>
        </w:tc>
        <w:tc>
          <w:tcPr>
            <w:tcW w:w="1780" w:type="dxa"/>
            <w:vAlign w:val="bottom"/>
            <w:tcBorders>
              <w:right w:val="single" w:sz="8" w:color="2AD2C9"/>
            </w:tcBorders>
            <w:vMerge w:val="restart"/>
            <w:shd w:val="clear" w:color="auto" w:fill="2AD2C9"/>
          </w:tcPr>
          <w:p>
            <w:pPr>
              <w:ind w:left="500"/>
              <w:spacing w:after="0" w:line="180" w:lineRule="exact"/>
              <w:rPr>
                <w:sz w:val="20"/>
                <w:szCs w:val="20"/>
                <w:color w:val="auto"/>
              </w:rPr>
            </w:pPr>
            <w:r>
              <w:rPr>
                <w:rFonts w:ascii="Calibri" w:cs="Calibri" w:eastAsia="Calibri" w:hAnsi="Calibri"/>
                <w:sz w:val="15"/>
                <w:szCs w:val="15"/>
                <w:b w:val="1"/>
                <w:bCs w:val="1"/>
                <w:color w:val="FFFFFF"/>
              </w:rPr>
              <w:t>4Q22</w:t>
            </w:r>
          </w:p>
        </w:tc>
        <w:tc>
          <w:tcPr>
            <w:tcW w:w="900" w:type="dxa"/>
            <w:vAlign w:val="bottom"/>
            <w:vMerge w:val="restart"/>
            <w:shd w:val="clear" w:color="auto" w:fill="2AD2C9"/>
          </w:tcPr>
          <w:p>
            <w:pPr>
              <w:jc w:val="right"/>
              <w:ind w:right="423"/>
              <w:spacing w:after="0" w:line="180" w:lineRule="exact"/>
              <w:rPr>
                <w:sz w:val="20"/>
                <w:szCs w:val="20"/>
                <w:color w:val="auto"/>
              </w:rPr>
            </w:pPr>
            <w:r>
              <w:rPr>
                <w:rFonts w:ascii="Calibri" w:cs="Calibri" w:eastAsia="Calibri" w:hAnsi="Calibri"/>
                <w:sz w:val="15"/>
                <w:szCs w:val="15"/>
                <w:b w:val="1"/>
                <w:bCs w:val="1"/>
                <w:color w:val="FFFFFF"/>
              </w:rPr>
              <w:t>4Q22</w:t>
            </w:r>
          </w:p>
        </w:tc>
        <w:tc>
          <w:tcPr>
            <w:tcW w:w="1040" w:type="dxa"/>
            <w:vAlign w:val="bottom"/>
            <w:tcBorders>
              <w:right w:val="single" w:sz="8" w:color="auto"/>
            </w:tcBorders>
            <w:vMerge w:val="restart"/>
            <w:shd w:val="clear" w:color="auto" w:fill="2AD2C9"/>
          </w:tcPr>
          <w:p>
            <w:pPr>
              <w:jc w:val="right"/>
              <w:ind w:right="282"/>
              <w:spacing w:after="0" w:line="180" w:lineRule="exact"/>
              <w:rPr>
                <w:sz w:val="20"/>
                <w:szCs w:val="20"/>
                <w:color w:val="auto"/>
              </w:rPr>
            </w:pPr>
            <w:r>
              <w:rPr>
                <w:rFonts w:ascii="Calibri" w:cs="Calibri" w:eastAsia="Calibri" w:hAnsi="Calibri"/>
                <w:sz w:val="15"/>
                <w:szCs w:val="15"/>
                <w:b w:val="1"/>
                <w:bCs w:val="1"/>
                <w:color w:val="FFFFFF"/>
              </w:rPr>
              <w:t>4Q22</w:t>
            </w:r>
          </w:p>
        </w:tc>
        <w:tc>
          <w:tcPr>
            <w:tcW w:w="320" w:type="dxa"/>
            <w:vAlign w:val="bottom"/>
            <w:tcBorders>
              <w:right w:val="single" w:sz="8" w:color="2AD2C9"/>
            </w:tcBorders>
            <w:shd w:val="clear" w:color="auto" w:fill="2AD2C9"/>
          </w:tcPr>
          <w:p>
            <w:pPr>
              <w:spacing w:after="0"/>
              <w:rPr>
                <w:sz w:val="7"/>
                <w:szCs w:val="7"/>
                <w:color w:val="auto"/>
              </w:rPr>
            </w:pPr>
          </w:p>
        </w:tc>
        <w:tc>
          <w:tcPr>
            <w:tcW w:w="1240" w:type="dxa"/>
            <w:vAlign w:val="bottom"/>
            <w:vMerge w:val="restart"/>
            <w:shd w:val="clear" w:color="auto" w:fill="2AD2C9"/>
          </w:tcPr>
          <w:p>
            <w:pPr>
              <w:ind w:left="180"/>
              <w:spacing w:after="0" w:line="180" w:lineRule="exact"/>
              <w:rPr>
                <w:sz w:val="20"/>
                <w:szCs w:val="20"/>
                <w:color w:val="auto"/>
              </w:rPr>
            </w:pPr>
            <w:r>
              <w:rPr>
                <w:rFonts w:ascii="Calibri" w:cs="Calibri" w:eastAsia="Calibri" w:hAnsi="Calibri"/>
                <w:sz w:val="15"/>
                <w:szCs w:val="15"/>
                <w:b w:val="1"/>
                <w:bCs w:val="1"/>
                <w:color w:val="FFFFFF"/>
              </w:rPr>
              <w:t>1Q23</w:t>
            </w:r>
          </w:p>
        </w:tc>
        <w:tc>
          <w:tcPr>
            <w:tcW w:w="1260" w:type="dxa"/>
            <w:vAlign w:val="bottom"/>
            <w:gridSpan w:val="2"/>
            <w:vMerge w:val="restart"/>
            <w:shd w:val="clear" w:color="auto" w:fill="2AD2C9"/>
          </w:tcPr>
          <w:p>
            <w:pPr>
              <w:jc w:val="right"/>
              <w:ind w:right="640"/>
              <w:spacing w:after="0" w:line="180" w:lineRule="exact"/>
              <w:rPr>
                <w:sz w:val="20"/>
                <w:szCs w:val="20"/>
                <w:color w:val="auto"/>
              </w:rPr>
            </w:pPr>
            <w:r>
              <w:rPr>
                <w:rFonts w:ascii="Calibri" w:cs="Calibri" w:eastAsia="Calibri" w:hAnsi="Calibri"/>
                <w:sz w:val="15"/>
                <w:szCs w:val="15"/>
                <w:b w:val="1"/>
                <w:bCs w:val="1"/>
                <w:color w:val="FFFFFF"/>
              </w:rPr>
              <w:t>1Q23</w:t>
            </w:r>
          </w:p>
        </w:tc>
        <w:tc>
          <w:tcPr>
            <w:tcW w:w="880" w:type="dxa"/>
            <w:vAlign w:val="bottom"/>
            <w:tcBorders>
              <w:right w:val="single" w:sz="8" w:color="auto"/>
            </w:tcBorders>
            <w:vMerge w:val="restart"/>
            <w:shd w:val="clear" w:color="auto" w:fill="2AD2C9"/>
          </w:tcPr>
          <w:p>
            <w:pPr>
              <w:jc w:val="right"/>
              <w:ind w:right="284"/>
              <w:spacing w:after="0" w:line="180" w:lineRule="exact"/>
              <w:rPr>
                <w:sz w:val="20"/>
                <w:szCs w:val="20"/>
                <w:color w:val="auto"/>
              </w:rPr>
            </w:pPr>
            <w:r>
              <w:rPr>
                <w:rFonts w:ascii="Calibri" w:cs="Calibri" w:eastAsia="Calibri" w:hAnsi="Calibri"/>
                <w:sz w:val="15"/>
                <w:szCs w:val="15"/>
                <w:b w:val="1"/>
                <w:bCs w:val="1"/>
                <w:color w:val="FFFFFF"/>
              </w:rPr>
              <w:t>1Q23</w:t>
            </w:r>
          </w:p>
        </w:tc>
        <w:tc>
          <w:tcPr>
            <w:tcW w:w="0" w:type="dxa"/>
            <w:vAlign w:val="bottom"/>
          </w:tcPr>
          <w:p>
            <w:pPr>
              <w:spacing w:after="0"/>
              <w:rPr>
                <w:sz w:val="1"/>
                <w:szCs w:val="1"/>
                <w:color w:val="auto"/>
              </w:rPr>
            </w:pPr>
          </w:p>
        </w:tc>
      </w:tr>
      <w:tr>
        <w:trPr>
          <w:trHeight w:val="126"/>
        </w:trPr>
        <w:tc>
          <w:tcPr>
            <w:tcW w:w="2740" w:type="dxa"/>
            <w:vAlign w:val="bottom"/>
            <w:tcBorders>
              <w:left w:val="single" w:sz="8" w:color="auto"/>
              <w:bottom w:val="single" w:sz="8" w:color="2AD2C9"/>
            </w:tcBorders>
            <w:shd w:val="clear" w:color="auto" w:fill="2AD2C9"/>
          </w:tcPr>
          <w:p>
            <w:pPr>
              <w:spacing w:after="0"/>
              <w:rPr>
                <w:sz w:val="10"/>
                <w:szCs w:val="10"/>
                <w:color w:val="auto"/>
              </w:rPr>
            </w:pPr>
          </w:p>
        </w:tc>
        <w:tc>
          <w:tcPr>
            <w:tcW w:w="660" w:type="dxa"/>
            <w:vAlign w:val="bottom"/>
            <w:tcBorders>
              <w:bottom w:val="single" w:sz="8" w:color="2AD2C9"/>
              <w:right w:val="single" w:sz="8" w:color="2AD2C9"/>
            </w:tcBorders>
            <w:shd w:val="clear" w:color="auto" w:fill="2AD2C9"/>
          </w:tcPr>
          <w:p>
            <w:pPr>
              <w:spacing w:after="0"/>
              <w:rPr>
                <w:sz w:val="10"/>
                <w:szCs w:val="10"/>
                <w:color w:val="auto"/>
              </w:rPr>
            </w:pPr>
          </w:p>
        </w:tc>
        <w:tc>
          <w:tcPr>
            <w:tcW w:w="460" w:type="dxa"/>
            <w:vAlign w:val="bottom"/>
            <w:tcBorders>
              <w:bottom w:val="single" w:sz="8" w:color="2AD2C9"/>
              <w:right w:val="single" w:sz="8" w:color="auto"/>
            </w:tcBorders>
            <w:shd w:val="clear" w:color="auto" w:fill="2AD2C9"/>
          </w:tcPr>
          <w:p>
            <w:pPr>
              <w:spacing w:after="0"/>
              <w:rPr>
                <w:sz w:val="10"/>
                <w:szCs w:val="10"/>
                <w:color w:val="auto"/>
              </w:rPr>
            </w:pPr>
          </w:p>
        </w:tc>
        <w:tc>
          <w:tcPr>
            <w:tcW w:w="1780" w:type="dxa"/>
            <w:vAlign w:val="bottom"/>
            <w:tcBorders>
              <w:bottom w:val="single" w:sz="8" w:color="2AD2C9"/>
              <w:right w:val="single" w:sz="8" w:color="2AD2C9"/>
            </w:tcBorders>
            <w:vMerge w:val="continue"/>
            <w:shd w:val="clear" w:color="auto" w:fill="2AD2C9"/>
          </w:tcPr>
          <w:p>
            <w:pPr>
              <w:spacing w:after="0"/>
              <w:rPr>
                <w:sz w:val="10"/>
                <w:szCs w:val="10"/>
                <w:color w:val="auto"/>
              </w:rPr>
            </w:pPr>
          </w:p>
        </w:tc>
        <w:tc>
          <w:tcPr>
            <w:tcW w:w="900" w:type="dxa"/>
            <w:vAlign w:val="bottom"/>
            <w:tcBorders>
              <w:bottom w:val="single" w:sz="8" w:color="2AD2C9"/>
            </w:tcBorders>
            <w:vMerge w:val="continue"/>
            <w:shd w:val="clear" w:color="auto" w:fill="2AD2C9"/>
          </w:tcPr>
          <w:p>
            <w:pPr>
              <w:spacing w:after="0"/>
              <w:rPr>
                <w:sz w:val="10"/>
                <w:szCs w:val="10"/>
                <w:color w:val="auto"/>
              </w:rPr>
            </w:pPr>
          </w:p>
        </w:tc>
        <w:tc>
          <w:tcPr>
            <w:tcW w:w="1040" w:type="dxa"/>
            <w:vAlign w:val="bottom"/>
            <w:tcBorders>
              <w:bottom w:val="single" w:sz="8" w:color="2AD2C9"/>
              <w:right w:val="single" w:sz="8" w:color="auto"/>
            </w:tcBorders>
            <w:vMerge w:val="continue"/>
            <w:shd w:val="clear" w:color="auto" w:fill="2AD2C9"/>
          </w:tcPr>
          <w:p>
            <w:pPr>
              <w:spacing w:after="0"/>
              <w:rPr>
                <w:sz w:val="10"/>
                <w:szCs w:val="10"/>
                <w:color w:val="auto"/>
              </w:rPr>
            </w:pPr>
          </w:p>
        </w:tc>
        <w:tc>
          <w:tcPr>
            <w:tcW w:w="320" w:type="dxa"/>
            <w:vAlign w:val="bottom"/>
            <w:tcBorders>
              <w:bottom w:val="single" w:sz="8" w:color="2AD2C9"/>
              <w:right w:val="single" w:sz="8" w:color="2AD2C9"/>
            </w:tcBorders>
            <w:shd w:val="clear" w:color="auto" w:fill="2AD2C9"/>
          </w:tcPr>
          <w:p>
            <w:pPr>
              <w:spacing w:after="0"/>
              <w:rPr>
                <w:sz w:val="10"/>
                <w:szCs w:val="10"/>
                <w:color w:val="auto"/>
              </w:rPr>
            </w:pPr>
          </w:p>
        </w:tc>
        <w:tc>
          <w:tcPr>
            <w:tcW w:w="1240" w:type="dxa"/>
            <w:vAlign w:val="bottom"/>
            <w:tcBorders>
              <w:bottom w:val="single" w:sz="8" w:color="2AD2C9"/>
            </w:tcBorders>
            <w:vMerge w:val="continue"/>
            <w:shd w:val="clear" w:color="auto" w:fill="2AD2C9"/>
          </w:tcPr>
          <w:p>
            <w:pPr>
              <w:spacing w:after="0"/>
              <w:rPr>
                <w:sz w:val="10"/>
                <w:szCs w:val="10"/>
                <w:color w:val="auto"/>
              </w:rPr>
            </w:pPr>
          </w:p>
        </w:tc>
        <w:tc>
          <w:tcPr>
            <w:tcW w:w="1260" w:type="dxa"/>
            <w:vAlign w:val="bottom"/>
            <w:tcBorders>
              <w:bottom w:val="single" w:sz="8" w:color="2AD2C9"/>
            </w:tcBorders>
            <w:gridSpan w:val="2"/>
            <w:vMerge w:val="continue"/>
            <w:shd w:val="clear" w:color="auto" w:fill="2AD2C9"/>
          </w:tcPr>
          <w:p>
            <w:pPr>
              <w:spacing w:after="0"/>
              <w:rPr>
                <w:sz w:val="10"/>
                <w:szCs w:val="10"/>
                <w:color w:val="auto"/>
              </w:rPr>
            </w:pPr>
          </w:p>
        </w:tc>
        <w:tc>
          <w:tcPr>
            <w:tcW w:w="880" w:type="dxa"/>
            <w:vAlign w:val="bottom"/>
            <w:tcBorders>
              <w:bottom w:val="single" w:sz="8" w:color="2AD2C9"/>
              <w:right w:val="single" w:sz="8" w:color="auto"/>
            </w:tcBorders>
            <w:vMerge w:val="continue"/>
            <w:shd w:val="clear" w:color="auto" w:fill="2AD2C9"/>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740" w:type="dxa"/>
            <w:vAlign w:val="bottom"/>
            <w:tcBorders>
              <w:top w:val="single" w:sz="8" w:color="auto"/>
              <w:left w:val="single" w:sz="8" w:color="auto"/>
            </w:tcBorders>
          </w:tcPr>
          <w:p>
            <w:pPr>
              <w:ind w:left="40"/>
              <w:spacing w:after="0" w:line="180" w:lineRule="exact"/>
              <w:rPr>
                <w:sz w:val="20"/>
                <w:szCs w:val="20"/>
                <w:color w:val="auto"/>
              </w:rPr>
            </w:pPr>
            <w:r>
              <w:rPr>
                <w:rFonts w:ascii="Calibri" w:cs="Calibri" w:eastAsia="Calibri" w:hAnsi="Calibri"/>
                <w:sz w:val="15"/>
                <w:szCs w:val="15"/>
                <w:color w:val="auto"/>
              </w:rPr>
              <w:t>Afliates</w:t>
            </w:r>
          </w:p>
        </w:tc>
        <w:tc>
          <w:tcPr>
            <w:tcW w:w="660" w:type="dxa"/>
            <w:vAlign w:val="bottom"/>
            <w:tcBorders>
              <w:top w:val="single" w:sz="8" w:color="auto"/>
            </w:tcBorders>
          </w:tcPr>
          <w:p>
            <w:pPr>
              <w:spacing w:after="0"/>
              <w:rPr>
                <w:sz w:val="15"/>
                <w:szCs w:val="15"/>
                <w:color w:val="auto"/>
              </w:rPr>
            </w:pPr>
          </w:p>
        </w:tc>
        <w:tc>
          <w:tcPr>
            <w:tcW w:w="460" w:type="dxa"/>
            <w:vAlign w:val="bottom"/>
            <w:tcBorders>
              <w:top w:val="single" w:sz="8" w:color="auto"/>
              <w:right w:val="single" w:sz="8" w:color="auto"/>
            </w:tcBorders>
          </w:tcPr>
          <w:p>
            <w:pPr>
              <w:spacing w:after="0"/>
              <w:rPr>
                <w:sz w:val="15"/>
                <w:szCs w:val="15"/>
                <w:color w:val="auto"/>
              </w:rPr>
            </w:pPr>
          </w:p>
        </w:tc>
        <w:tc>
          <w:tcPr>
            <w:tcW w:w="1780" w:type="dxa"/>
            <w:vAlign w:val="bottom"/>
            <w:tcBorders>
              <w:top w:val="single" w:sz="8" w:color="auto"/>
            </w:tcBorders>
          </w:tcPr>
          <w:p>
            <w:pPr>
              <w:jc w:val="right"/>
              <w:ind w:right="384"/>
              <w:spacing w:after="0" w:line="180" w:lineRule="exact"/>
              <w:rPr>
                <w:sz w:val="20"/>
                <w:szCs w:val="20"/>
                <w:color w:val="auto"/>
              </w:rPr>
            </w:pPr>
            <w:r>
              <w:rPr>
                <w:rFonts w:ascii="Calibri" w:cs="Calibri" w:eastAsia="Calibri" w:hAnsi="Calibri"/>
                <w:sz w:val="15"/>
                <w:szCs w:val="15"/>
                <w:color w:val="auto"/>
              </w:rPr>
              <w:t>2,344,701</w:t>
            </w:r>
          </w:p>
        </w:tc>
        <w:tc>
          <w:tcPr>
            <w:tcW w:w="900" w:type="dxa"/>
            <w:vAlign w:val="bottom"/>
            <w:tcBorders>
              <w:top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8,816,304</w:t>
            </w:r>
          </w:p>
        </w:tc>
        <w:tc>
          <w:tcPr>
            <w:tcW w:w="1040" w:type="dxa"/>
            <w:vAlign w:val="bottom"/>
            <w:tcBorders>
              <w:top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26.6%</w:t>
            </w:r>
          </w:p>
        </w:tc>
        <w:tc>
          <w:tcPr>
            <w:tcW w:w="1560" w:type="dxa"/>
            <w:vAlign w:val="bottom"/>
            <w:tcBorders>
              <w:top w:val="single" w:sz="8" w:color="auto"/>
            </w:tcBorders>
            <w:gridSpan w:val="2"/>
          </w:tcPr>
          <w:p>
            <w:pPr>
              <w:jc w:val="right"/>
              <w:ind w:right="164"/>
              <w:spacing w:after="0" w:line="180" w:lineRule="exact"/>
              <w:rPr>
                <w:sz w:val="20"/>
                <w:szCs w:val="20"/>
                <w:color w:val="auto"/>
              </w:rPr>
            </w:pPr>
            <w:r>
              <w:rPr>
                <w:rFonts w:ascii="Calibri" w:cs="Calibri" w:eastAsia="Calibri" w:hAnsi="Calibri"/>
                <w:sz w:val="15"/>
                <w:szCs w:val="15"/>
                <w:color w:val="auto"/>
              </w:rPr>
              <w:t>2,343,434</w:t>
            </w:r>
          </w:p>
        </w:tc>
        <w:tc>
          <w:tcPr>
            <w:tcW w:w="1260" w:type="dxa"/>
            <w:vAlign w:val="bottom"/>
            <w:tcBorders>
              <w:top w:val="single" w:sz="8" w:color="auto"/>
            </w:tcBorders>
            <w:gridSpan w:val="2"/>
          </w:tcPr>
          <w:p>
            <w:pPr>
              <w:jc w:val="right"/>
              <w:ind w:right="160"/>
              <w:spacing w:after="0" w:line="180" w:lineRule="exact"/>
              <w:rPr>
                <w:sz w:val="20"/>
                <w:szCs w:val="20"/>
                <w:color w:val="auto"/>
              </w:rPr>
            </w:pPr>
            <w:r>
              <w:rPr>
                <w:rFonts w:ascii="Calibri" w:cs="Calibri" w:eastAsia="Calibri" w:hAnsi="Calibri"/>
                <w:sz w:val="15"/>
                <w:szCs w:val="15"/>
                <w:color w:val="auto"/>
              </w:rPr>
              <w:t>8,905,304</w:t>
            </w:r>
          </w:p>
        </w:tc>
        <w:tc>
          <w:tcPr>
            <w:tcW w:w="880" w:type="dxa"/>
            <w:vAlign w:val="bottom"/>
            <w:tcBorders>
              <w:top w:val="single" w:sz="8" w:color="auto"/>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26.3%</w:t>
            </w:r>
          </w:p>
        </w:tc>
        <w:tc>
          <w:tcPr>
            <w:tcW w:w="0" w:type="dxa"/>
            <w:vAlign w:val="bottom"/>
          </w:tcPr>
          <w:p>
            <w:pPr>
              <w:spacing w:after="0"/>
              <w:rPr>
                <w:sz w:val="1"/>
                <w:szCs w:val="1"/>
                <w:color w:val="auto"/>
              </w:rPr>
            </w:pPr>
          </w:p>
        </w:tc>
      </w:tr>
      <w:tr>
        <w:trPr>
          <w:trHeight w:val="222"/>
        </w:trPr>
        <w:tc>
          <w:tcPr>
            <w:tcW w:w="2740" w:type="dxa"/>
            <w:vAlign w:val="bottom"/>
            <w:tcBorders>
              <w:left w:val="single" w:sz="8" w:color="auto"/>
            </w:tcBorders>
          </w:tcPr>
          <w:p>
            <w:pPr>
              <w:ind w:left="40"/>
              <w:spacing w:after="0" w:line="221" w:lineRule="exact"/>
              <w:rPr>
                <w:sz w:val="20"/>
                <w:szCs w:val="20"/>
                <w:color w:val="auto"/>
              </w:rPr>
            </w:pPr>
            <w:r>
              <w:rPr>
                <w:rFonts w:ascii="Calibri" w:cs="Calibri" w:eastAsia="Calibri" w:hAnsi="Calibri"/>
                <w:sz w:val="15"/>
                <w:szCs w:val="15"/>
                <w:color w:val="auto"/>
              </w:rPr>
              <w:t xml:space="preserve">New afliatons </w:t>
            </w:r>
            <w:r>
              <w:rPr>
                <w:rFonts w:ascii="Calibri" w:cs="Calibri" w:eastAsia="Calibri" w:hAnsi="Calibri"/>
                <w:sz w:val="24"/>
                <w:szCs w:val="24"/>
                <w:color w:val="auto"/>
                <w:vertAlign w:val="superscript"/>
              </w:rPr>
              <w:t>(1)</w:t>
            </w:r>
          </w:p>
        </w:tc>
        <w:tc>
          <w:tcPr>
            <w:tcW w:w="6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780" w:type="dxa"/>
            <w:vAlign w:val="bottom"/>
          </w:tcPr>
          <w:p>
            <w:pPr>
              <w:jc w:val="right"/>
              <w:ind w:right="384"/>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136,632</w:t>
            </w:r>
          </w:p>
        </w:tc>
        <w:tc>
          <w:tcPr>
            <w:tcW w:w="10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0.0%</w:t>
            </w:r>
          </w:p>
        </w:tc>
        <w:tc>
          <w:tcPr>
            <w:tcW w:w="1560" w:type="dxa"/>
            <w:vAlign w:val="bottom"/>
            <w:gridSpan w:val="2"/>
          </w:tcPr>
          <w:p>
            <w:pPr>
              <w:jc w:val="right"/>
              <w:ind w:right="164"/>
              <w:spacing w:after="0"/>
              <w:rPr>
                <w:sz w:val="20"/>
                <w:szCs w:val="20"/>
                <w:color w:val="auto"/>
              </w:rPr>
            </w:pPr>
            <w:r>
              <w:rPr>
                <w:rFonts w:ascii="Calibri" w:cs="Calibri" w:eastAsia="Calibri" w:hAnsi="Calibri"/>
                <w:sz w:val="15"/>
                <w:szCs w:val="15"/>
                <w:color w:val="auto"/>
              </w:rPr>
              <w:t>-</w:t>
            </w:r>
          </w:p>
        </w:tc>
        <w:tc>
          <w:tcPr>
            <w:tcW w:w="12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91,429</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0.0%</w:t>
            </w:r>
          </w:p>
        </w:tc>
        <w:tc>
          <w:tcPr>
            <w:tcW w:w="0" w:type="dxa"/>
            <w:vAlign w:val="bottom"/>
          </w:tcPr>
          <w:p>
            <w:pPr>
              <w:spacing w:after="0"/>
              <w:rPr>
                <w:sz w:val="1"/>
                <w:szCs w:val="1"/>
                <w:color w:val="auto"/>
              </w:rPr>
            </w:pPr>
          </w:p>
        </w:tc>
      </w:tr>
      <w:tr>
        <w:trPr>
          <w:trHeight w:val="179"/>
        </w:trPr>
        <w:tc>
          <w:tcPr>
            <w:tcW w:w="2740" w:type="dxa"/>
            <w:vAlign w:val="bottom"/>
            <w:tcBorders>
              <w:left w:val="single" w:sz="8" w:color="auto"/>
            </w:tcBorders>
          </w:tcPr>
          <w:p>
            <w:pPr>
              <w:ind w:left="40"/>
              <w:spacing w:after="0" w:line="180" w:lineRule="exact"/>
              <w:rPr>
                <w:sz w:val="20"/>
                <w:szCs w:val="20"/>
                <w:color w:val="auto"/>
              </w:rPr>
            </w:pPr>
            <w:r>
              <w:rPr>
                <w:rFonts w:ascii="Calibri" w:cs="Calibri" w:eastAsia="Calibri" w:hAnsi="Calibri"/>
                <w:sz w:val="15"/>
                <w:szCs w:val="15"/>
                <w:color w:val="auto"/>
              </w:rPr>
              <w:t>Funds under management (S/ Millions)</w:t>
            </w:r>
          </w:p>
        </w:tc>
        <w:tc>
          <w:tcPr>
            <w:tcW w:w="66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780" w:type="dxa"/>
            <w:vAlign w:val="bottom"/>
          </w:tcPr>
          <w:p>
            <w:pPr>
              <w:jc w:val="right"/>
              <w:ind w:right="384"/>
              <w:spacing w:after="0" w:line="180" w:lineRule="exact"/>
              <w:rPr>
                <w:sz w:val="20"/>
                <w:szCs w:val="20"/>
                <w:color w:val="auto"/>
              </w:rPr>
            </w:pPr>
            <w:r>
              <w:rPr>
                <w:rFonts w:ascii="Calibri" w:cs="Calibri" w:eastAsia="Calibri" w:hAnsi="Calibri"/>
                <w:sz w:val="15"/>
                <w:szCs w:val="15"/>
                <w:color w:val="auto"/>
              </w:rPr>
              <w:t>31,850</w:t>
            </w:r>
          </w:p>
        </w:tc>
        <w:tc>
          <w:tcPr>
            <w:tcW w:w="900" w:type="dxa"/>
            <w:vAlign w:val="bottom"/>
          </w:tcPr>
          <w:p>
            <w:pPr>
              <w:jc w:val="right"/>
              <w:spacing w:after="0" w:line="180" w:lineRule="exact"/>
              <w:rPr>
                <w:sz w:val="20"/>
                <w:szCs w:val="20"/>
                <w:color w:val="auto"/>
              </w:rPr>
            </w:pPr>
            <w:r>
              <w:rPr>
                <w:rFonts w:ascii="Calibri" w:cs="Calibri" w:eastAsia="Calibri" w:hAnsi="Calibri"/>
                <w:sz w:val="15"/>
                <w:szCs w:val="15"/>
                <w:color w:val="auto"/>
              </w:rPr>
              <w:t>105,863</w:t>
            </w:r>
          </w:p>
        </w:tc>
        <w:tc>
          <w:tcPr>
            <w:tcW w:w="104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30.1%</w:t>
            </w:r>
          </w:p>
        </w:tc>
        <w:tc>
          <w:tcPr>
            <w:tcW w:w="1560" w:type="dxa"/>
            <w:vAlign w:val="bottom"/>
            <w:gridSpan w:val="2"/>
          </w:tcPr>
          <w:p>
            <w:pPr>
              <w:jc w:val="right"/>
              <w:ind w:right="164"/>
              <w:spacing w:after="0" w:line="180" w:lineRule="exact"/>
              <w:rPr>
                <w:sz w:val="20"/>
                <w:szCs w:val="20"/>
                <w:color w:val="auto"/>
              </w:rPr>
            </w:pPr>
            <w:r>
              <w:rPr>
                <w:rFonts w:ascii="Calibri" w:cs="Calibri" w:eastAsia="Calibri" w:hAnsi="Calibri"/>
                <w:sz w:val="15"/>
                <w:szCs w:val="15"/>
                <w:color w:val="auto"/>
              </w:rPr>
              <w:t>32,382</w:t>
            </w:r>
          </w:p>
        </w:tc>
        <w:tc>
          <w:tcPr>
            <w:tcW w:w="1260" w:type="dxa"/>
            <w:vAlign w:val="bottom"/>
            <w:gridSpan w:val="2"/>
          </w:tcPr>
          <w:p>
            <w:pPr>
              <w:jc w:val="right"/>
              <w:ind w:right="160"/>
              <w:spacing w:after="0" w:line="180" w:lineRule="exact"/>
              <w:rPr>
                <w:sz w:val="20"/>
                <w:szCs w:val="20"/>
                <w:color w:val="auto"/>
              </w:rPr>
            </w:pPr>
            <w:r>
              <w:rPr>
                <w:rFonts w:ascii="Calibri" w:cs="Calibri" w:eastAsia="Calibri" w:hAnsi="Calibri"/>
                <w:sz w:val="15"/>
                <w:szCs w:val="15"/>
                <w:color w:val="auto"/>
              </w:rPr>
              <w:t>107,712</w:t>
            </w:r>
          </w:p>
        </w:tc>
        <w:tc>
          <w:tcPr>
            <w:tcW w:w="880" w:type="dxa"/>
            <w:vAlign w:val="bottom"/>
            <w:tcBorders>
              <w:right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30.1%</w:t>
            </w:r>
          </w:p>
        </w:tc>
        <w:tc>
          <w:tcPr>
            <w:tcW w:w="0" w:type="dxa"/>
            <w:vAlign w:val="bottom"/>
          </w:tcPr>
          <w:p>
            <w:pPr>
              <w:spacing w:after="0"/>
              <w:rPr>
                <w:sz w:val="1"/>
                <w:szCs w:val="1"/>
                <w:color w:val="auto"/>
              </w:rPr>
            </w:pPr>
          </w:p>
        </w:tc>
      </w:tr>
      <w:tr>
        <w:trPr>
          <w:trHeight w:val="204"/>
        </w:trPr>
        <w:tc>
          <w:tcPr>
            <w:tcW w:w="274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Collectons (S/ Millions)</w:t>
            </w:r>
          </w:p>
        </w:tc>
        <w:tc>
          <w:tcPr>
            <w:tcW w:w="66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780" w:type="dxa"/>
            <w:vAlign w:val="bottom"/>
          </w:tcPr>
          <w:p>
            <w:pPr>
              <w:jc w:val="right"/>
              <w:ind w:right="384"/>
              <w:spacing w:after="0"/>
              <w:rPr>
                <w:sz w:val="20"/>
                <w:szCs w:val="20"/>
                <w:color w:val="auto"/>
              </w:rPr>
            </w:pPr>
            <w:r>
              <w:rPr>
                <w:rFonts w:ascii="Calibri" w:cs="Calibri" w:eastAsia="Calibri" w:hAnsi="Calibri"/>
                <w:sz w:val="15"/>
                <w:szCs w:val="15"/>
                <w:color w:val="auto"/>
              </w:rPr>
              <w:t>1005</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3,620</w:t>
            </w:r>
          </w:p>
        </w:tc>
        <w:tc>
          <w:tcPr>
            <w:tcW w:w="10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27.8%</w:t>
            </w:r>
          </w:p>
        </w:tc>
        <w:tc>
          <w:tcPr>
            <w:tcW w:w="1560" w:type="dxa"/>
            <w:vAlign w:val="bottom"/>
            <w:gridSpan w:val="2"/>
          </w:tcPr>
          <w:p>
            <w:pPr>
              <w:jc w:val="right"/>
              <w:ind w:right="164"/>
              <w:spacing w:after="0"/>
              <w:rPr>
                <w:sz w:val="20"/>
                <w:szCs w:val="20"/>
                <w:color w:val="auto"/>
              </w:rPr>
            </w:pPr>
            <w:r>
              <w:rPr>
                <w:rFonts w:ascii="Calibri" w:cs="Calibri" w:eastAsia="Calibri" w:hAnsi="Calibri"/>
                <w:sz w:val="15"/>
                <w:szCs w:val="15"/>
                <w:color w:val="auto"/>
              </w:rPr>
              <w:t>664</w:t>
            </w:r>
          </w:p>
        </w:tc>
        <w:tc>
          <w:tcPr>
            <w:tcW w:w="12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2,365</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28.1%</w:t>
            </w:r>
          </w:p>
        </w:tc>
        <w:tc>
          <w:tcPr>
            <w:tcW w:w="0" w:type="dxa"/>
            <w:vAlign w:val="bottom"/>
          </w:tcPr>
          <w:p>
            <w:pPr>
              <w:spacing w:after="0"/>
              <w:rPr>
                <w:sz w:val="1"/>
                <w:szCs w:val="1"/>
                <w:color w:val="auto"/>
              </w:rPr>
            </w:pPr>
          </w:p>
        </w:tc>
      </w:tr>
      <w:tr>
        <w:trPr>
          <w:trHeight w:val="204"/>
        </w:trPr>
        <w:tc>
          <w:tcPr>
            <w:tcW w:w="2740" w:type="dxa"/>
            <w:vAlign w:val="bottom"/>
            <w:tcBorders>
              <w:left w:val="single" w:sz="8" w:color="auto"/>
            </w:tcBorders>
          </w:tcPr>
          <w:p>
            <w:pPr>
              <w:ind w:left="40"/>
              <w:spacing w:after="0"/>
              <w:rPr>
                <w:sz w:val="20"/>
                <w:szCs w:val="20"/>
                <w:color w:val="auto"/>
              </w:rPr>
            </w:pPr>
            <w:r>
              <w:rPr>
                <w:rFonts w:ascii="Calibri" w:cs="Calibri" w:eastAsia="Calibri" w:hAnsi="Calibri"/>
                <w:sz w:val="15"/>
                <w:szCs w:val="15"/>
                <w:color w:val="auto"/>
              </w:rPr>
              <w:t>Voluntary contributons (S/ Millions)</w:t>
            </w:r>
          </w:p>
        </w:tc>
        <w:tc>
          <w:tcPr>
            <w:tcW w:w="66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780" w:type="dxa"/>
            <w:vAlign w:val="bottom"/>
          </w:tcPr>
          <w:p>
            <w:pPr>
              <w:jc w:val="right"/>
              <w:ind w:right="384"/>
              <w:spacing w:after="0"/>
              <w:rPr>
                <w:sz w:val="20"/>
                <w:szCs w:val="20"/>
                <w:color w:val="auto"/>
              </w:rPr>
            </w:pPr>
            <w:r>
              <w:rPr>
                <w:rFonts w:ascii="Calibri" w:cs="Calibri" w:eastAsia="Calibri" w:hAnsi="Calibri"/>
                <w:sz w:val="15"/>
                <w:szCs w:val="15"/>
                <w:color w:val="auto"/>
              </w:rPr>
              <w:t>781</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2,110</w:t>
            </w:r>
          </w:p>
        </w:tc>
        <w:tc>
          <w:tcPr>
            <w:tcW w:w="104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37.0%</w:t>
            </w:r>
          </w:p>
        </w:tc>
        <w:tc>
          <w:tcPr>
            <w:tcW w:w="1560" w:type="dxa"/>
            <w:vAlign w:val="bottom"/>
            <w:gridSpan w:val="2"/>
          </w:tcPr>
          <w:p>
            <w:pPr>
              <w:jc w:val="right"/>
              <w:ind w:right="164"/>
              <w:spacing w:after="0"/>
              <w:rPr>
                <w:sz w:val="20"/>
                <w:szCs w:val="20"/>
                <w:color w:val="auto"/>
              </w:rPr>
            </w:pPr>
            <w:r>
              <w:rPr>
                <w:rFonts w:ascii="Calibri" w:cs="Calibri" w:eastAsia="Calibri" w:hAnsi="Calibri"/>
                <w:sz w:val="15"/>
                <w:szCs w:val="15"/>
                <w:color w:val="auto"/>
              </w:rPr>
              <w:t>800</w:t>
            </w:r>
          </w:p>
        </w:tc>
        <w:tc>
          <w:tcPr>
            <w:tcW w:w="126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2,087</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5"/>
                <w:szCs w:val="15"/>
                <w:color w:val="auto"/>
              </w:rPr>
              <w:t>38.3%</w:t>
            </w:r>
          </w:p>
        </w:tc>
        <w:tc>
          <w:tcPr>
            <w:tcW w:w="0" w:type="dxa"/>
            <w:vAlign w:val="bottom"/>
          </w:tcPr>
          <w:p>
            <w:pPr>
              <w:spacing w:after="0"/>
              <w:rPr>
                <w:sz w:val="1"/>
                <w:szCs w:val="1"/>
                <w:color w:val="auto"/>
              </w:rPr>
            </w:pPr>
          </w:p>
        </w:tc>
      </w:tr>
      <w:tr>
        <w:trPr>
          <w:trHeight w:val="239"/>
        </w:trPr>
        <w:tc>
          <w:tcPr>
            <w:tcW w:w="2740" w:type="dxa"/>
            <w:vAlign w:val="bottom"/>
            <w:tcBorders>
              <w:left w:val="single" w:sz="8" w:color="auto"/>
              <w:bottom w:val="single" w:sz="8" w:color="auto"/>
            </w:tcBorders>
          </w:tcPr>
          <w:p>
            <w:pPr>
              <w:ind w:left="40"/>
              <w:spacing w:after="0" w:line="236" w:lineRule="exact"/>
              <w:rPr>
                <w:sz w:val="20"/>
                <w:szCs w:val="20"/>
                <w:color w:val="auto"/>
              </w:rPr>
            </w:pPr>
            <w:r>
              <w:rPr>
                <w:rFonts w:ascii="Calibri" w:cs="Calibri" w:eastAsia="Calibri" w:hAnsi="Calibri"/>
                <w:sz w:val="15"/>
                <w:szCs w:val="15"/>
                <w:color w:val="auto"/>
              </w:rPr>
              <w:t xml:space="preserve">RAM Flow (S/ Millions) </w:t>
            </w:r>
            <w:r>
              <w:rPr>
                <w:rFonts w:ascii="Calibri" w:cs="Calibri" w:eastAsia="Calibri" w:hAnsi="Calibri"/>
                <w:sz w:val="25"/>
                <w:szCs w:val="25"/>
                <w:color w:val="auto"/>
                <w:vertAlign w:val="superscript"/>
              </w:rPr>
              <w:t>(2)</w:t>
            </w:r>
          </w:p>
        </w:tc>
        <w:tc>
          <w:tcPr>
            <w:tcW w:w="6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tcBorders>
          </w:tcPr>
          <w:p>
            <w:pPr>
              <w:jc w:val="right"/>
              <w:ind w:right="384"/>
              <w:spacing w:after="0"/>
              <w:rPr>
                <w:sz w:val="20"/>
                <w:szCs w:val="20"/>
                <w:color w:val="auto"/>
              </w:rPr>
            </w:pPr>
            <w:r>
              <w:rPr>
                <w:rFonts w:ascii="Calibri" w:cs="Calibri" w:eastAsia="Calibri" w:hAnsi="Calibri"/>
                <w:sz w:val="15"/>
                <w:szCs w:val="15"/>
                <w:color w:val="auto"/>
              </w:rPr>
              <w:t>1,340</w:t>
            </w: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4,452</w:t>
            </w:r>
          </w:p>
        </w:tc>
        <w:tc>
          <w:tcPr>
            <w:tcW w:w="104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5"/>
                <w:szCs w:val="15"/>
                <w:color w:val="auto"/>
              </w:rPr>
              <w:t>30.1%</w:t>
            </w:r>
          </w:p>
        </w:tc>
        <w:tc>
          <w:tcPr>
            <w:tcW w:w="1560" w:type="dxa"/>
            <w:vAlign w:val="bottom"/>
            <w:tcBorders>
              <w:bottom w:val="single" w:sz="8" w:color="auto"/>
            </w:tcBorders>
            <w:gridSpan w:val="2"/>
          </w:tcPr>
          <w:p>
            <w:pPr>
              <w:jc w:val="right"/>
              <w:ind w:right="164"/>
              <w:spacing w:after="0"/>
              <w:rPr>
                <w:sz w:val="20"/>
                <w:szCs w:val="20"/>
                <w:color w:val="auto"/>
              </w:rPr>
            </w:pPr>
            <w:r>
              <w:rPr>
                <w:rFonts w:ascii="Calibri" w:cs="Calibri" w:eastAsia="Calibri" w:hAnsi="Calibri"/>
                <w:sz w:val="15"/>
                <w:szCs w:val="15"/>
                <w:color w:val="auto"/>
              </w:rPr>
              <w:t>1,382</w:t>
            </w:r>
          </w:p>
        </w:tc>
        <w:tc>
          <w:tcPr>
            <w:tcW w:w="1260" w:type="dxa"/>
            <w:vAlign w:val="bottom"/>
            <w:tcBorders>
              <w:bottom w:val="single" w:sz="8" w:color="auto"/>
            </w:tcBorders>
            <w:gridSpan w:val="2"/>
          </w:tcPr>
          <w:p>
            <w:pPr>
              <w:jc w:val="right"/>
              <w:ind w:right="160"/>
              <w:spacing w:after="0"/>
              <w:rPr>
                <w:sz w:val="20"/>
                <w:szCs w:val="20"/>
                <w:color w:val="auto"/>
              </w:rPr>
            </w:pPr>
            <w:r>
              <w:rPr>
                <w:rFonts w:ascii="Calibri" w:cs="Calibri" w:eastAsia="Calibri" w:hAnsi="Calibri"/>
                <w:sz w:val="15"/>
                <w:szCs w:val="15"/>
                <w:color w:val="auto"/>
              </w:rPr>
              <w:t>4,590</w:t>
            </w:r>
          </w:p>
        </w:tc>
        <w:tc>
          <w:tcPr>
            <w:tcW w:w="8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5"/>
                <w:szCs w:val="15"/>
                <w:color w:val="auto"/>
              </w:rPr>
              <w:t>30.1%</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20"/>
        <w:spacing w:after="0"/>
        <w:rPr>
          <w:sz w:val="20"/>
          <w:szCs w:val="20"/>
          <w:color w:val="auto"/>
        </w:rPr>
      </w:pPr>
      <w:r>
        <w:rPr>
          <w:rFonts w:ascii="Calibri" w:cs="Calibri" w:eastAsia="Calibri" w:hAnsi="Calibri"/>
          <w:sz w:val="10"/>
          <w:szCs w:val="10"/>
          <w:color w:val="auto"/>
        </w:rPr>
        <w:t>Source: SBS</w:t>
      </w:r>
    </w:p>
    <w:p>
      <w:pPr>
        <w:ind w:left="140" w:hanging="129"/>
        <w:spacing w:after="0" w:line="223" w:lineRule="auto"/>
        <w:tabs>
          <w:tab w:leader="none" w:pos="140" w:val="left"/>
        </w:tabs>
        <w:numPr>
          <w:ilvl w:val="0"/>
          <w:numId w:val="71"/>
        </w:numPr>
        <w:rPr>
          <w:rFonts w:ascii="Calibri" w:cs="Calibri" w:eastAsia="Calibri" w:hAnsi="Calibri"/>
          <w:sz w:val="10"/>
          <w:szCs w:val="10"/>
          <w:color w:val="auto"/>
        </w:rPr>
      </w:pPr>
      <w:r>
        <w:rPr>
          <w:rFonts w:ascii="Calibri" w:cs="Calibri" w:eastAsia="Calibri" w:hAnsi="Calibri"/>
          <w:sz w:val="10"/>
          <w:szCs w:val="10"/>
          <w:color w:val="auto"/>
        </w:rPr>
        <w:t>As of June 2019, another AFP has the exclusivity of afliatons.</w:t>
      </w:r>
    </w:p>
    <w:p>
      <w:pPr>
        <w:ind w:left="140" w:hanging="129"/>
        <w:spacing w:after="0" w:line="223" w:lineRule="auto"/>
        <w:tabs>
          <w:tab w:leader="none" w:pos="140" w:val="left"/>
        </w:tabs>
        <w:numPr>
          <w:ilvl w:val="0"/>
          <w:numId w:val="71"/>
        </w:numPr>
        <w:rPr>
          <w:rFonts w:ascii="Calibri" w:cs="Calibri" w:eastAsia="Calibri" w:hAnsi="Calibri"/>
          <w:sz w:val="10"/>
          <w:szCs w:val="10"/>
          <w:color w:val="auto"/>
        </w:rPr>
      </w:pPr>
      <w:r>
        <w:rPr>
          <w:rFonts w:ascii="Calibri" w:cs="Calibri" w:eastAsia="Calibri" w:hAnsi="Calibri"/>
          <w:sz w:val="10"/>
          <w:szCs w:val="10"/>
          <w:color w:val="auto"/>
        </w:rPr>
        <w:t>Prima AFP estmate: Average of aggregated income for fow during the last 4 months, excluding special collectons and voluntary contributon fees.</w:t>
      </w:r>
    </w:p>
    <w:p>
      <w:pPr>
        <w:spacing w:after="0" w:line="240"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3910" cy="146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80"/>
          </w:cols>
          <w:pgMar w:left="300" w:top="365" w:right="319" w:bottom="1440" w:gutter="0" w:footer="0" w:header="0"/>
        </w:sectPr>
      </w:pPr>
    </w:p>
    <w:bookmarkStart w:id="78" w:name="page79"/>
    <w:bookmarkEnd w:id="78"/>
    <w:p>
      <w:pPr>
        <w:ind w:left="2720"/>
        <w:spacing w:after="0"/>
        <w:tabs>
          <w:tab w:leader="none" w:pos="2920" w:val="left"/>
          <w:tab w:leader="none" w:pos="858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3910" cy="2305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p>
      <w:pPr>
        <w:ind w:left="20"/>
        <w:spacing w:after="0"/>
        <w:rPr>
          <w:sz w:val="20"/>
          <w:szCs w:val="20"/>
          <w:color w:val="auto"/>
        </w:rPr>
      </w:pPr>
      <w:r>
        <w:rPr>
          <w:rFonts w:ascii="Calibri" w:cs="Calibri" w:eastAsia="Calibri" w:hAnsi="Calibri"/>
          <w:sz w:val="15"/>
          <w:szCs w:val="15"/>
          <w:b w:val="1"/>
          <w:bCs w:val="1"/>
          <w:color w:val="auto"/>
        </w:rPr>
        <w:t>12.6.8. Grupo Pacifco</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GRUPO PACIFICO *</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 in thousands, IFRS 17)</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3940" w:type="dxa"/>
            <w:vAlign w:val="bottom"/>
            <w:tcBorders>
              <w:right w:val="single" w:sz="8" w:color="auto"/>
            </w:tcBorders>
          </w:tcPr>
          <w:p>
            <w:pPr>
              <w:spacing w:after="0"/>
              <w:rPr>
                <w:sz w:val="13"/>
                <w:szCs w:val="13"/>
                <w:color w:val="auto"/>
              </w:rPr>
            </w:pPr>
          </w:p>
        </w:tc>
        <w:tc>
          <w:tcPr>
            <w:tcW w:w="840" w:type="dxa"/>
            <w:vAlign w:val="bottom"/>
            <w:tcBorders>
              <w:top w:val="single" w:sz="8" w:color="auto"/>
            </w:tcBorders>
            <w:shd w:val="clear" w:color="auto" w:fill="40C9D0"/>
          </w:tcPr>
          <w:p>
            <w:pPr>
              <w:spacing w:after="0"/>
              <w:rPr>
                <w:sz w:val="13"/>
                <w:szCs w:val="13"/>
                <w:color w:val="auto"/>
              </w:rPr>
            </w:pPr>
          </w:p>
        </w:tc>
        <w:tc>
          <w:tcPr>
            <w:tcW w:w="1180" w:type="dxa"/>
            <w:vAlign w:val="bottom"/>
            <w:tcBorders>
              <w:top w:val="single" w:sz="8" w:color="auto"/>
              <w:right w:val="single" w:sz="8" w:color="auto"/>
            </w:tcBorders>
            <w:shd w:val="clear" w:color="auto" w:fill="40C9D0"/>
          </w:tcPr>
          <w:p>
            <w:pPr>
              <w:ind w:left="20"/>
              <w:spacing w:after="0"/>
              <w:rPr>
                <w:sz w:val="20"/>
                <w:szCs w:val="20"/>
                <w:color w:val="auto"/>
              </w:rPr>
            </w:pPr>
            <w:r>
              <w:rPr>
                <w:rFonts w:ascii="Arial" w:cs="Arial" w:eastAsia="Arial" w:hAnsi="Arial"/>
                <w:sz w:val="12"/>
                <w:szCs w:val="12"/>
                <w:b w:val="1"/>
                <w:bCs w:val="1"/>
                <w:color w:val="FFFFFF"/>
              </w:rPr>
              <w:t>As of</w:t>
            </w:r>
          </w:p>
        </w:tc>
        <w:tc>
          <w:tcPr>
            <w:tcW w:w="1020" w:type="dxa"/>
            <w:vAlign w:val="bottom"/>
            <w:tcBorders>
              <w:top w:val="single" w:sz="8" w:color="auto"/>
              <w:right w:val="single" w:sz="8" w:color="auto"/>
            </w:tcBorders>
            <w:shd w:val="clear" w:color="auto" w:fill="40C9D0"/>
          </w:tcPr>
          <w:p>
            <w:pPr>
              <w:jc w:val="center"/>
              <w:spacing w:after="0"/>
              <w:rPr>
                <w:sz w:val="20"/>
                <w:szCs w:val="20"/>
                <w:color w:val="auto"/>
              </w:rPr>
            </w:pPr>
            <w:r>
              <w:rPr>
                <w:rFonts w:ascii="Arial" w:cs="Arial" w:eastAsia="Arial" w:hAnsi="Arial"/>
                <w:sz w:val="12"/>
                <w:szCs w:val="12"/>
                <w:b w:val="1"/>
                <w:bCs w:val="1"/>
                <w:color w:val="FFFFFF"/>
                <w:w w:val="99"/>
              </w:rPr>
              <w:t>% change</w:t>
            </w:r>
          </w:p>
        </w:tc>
      </w:tr>
      <w:tr>
        <w:trPr>
          <w:trHeight w:val="147"/>
        </w:trPr>
        <w:tc>
          <w:tcPr>
            <w:tcW w:w="394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shd w:val="clear" w:color="auto" w:fill="40C9D0"/>
          </w:tcPr>
          <w:p>
            <w:pPr>
              <w:ind w:left="320"/>
              <w:spacing w:after="0"/>
              <w:rPr>
                <w:sz w:val="20"/>
                <w:szCs w:val="20"/>
                <w:color w:val="auto"/>
              </w:rPr>
            </w:pPr>
            <w:r>
              <w:rPr>
                <w:rFonts w:ascii="Arial" w:cs="Arial" w:eastAsia="Arial" w:hAnsi="Arial"/>
                <w:sz w:val="12"/>
                <w:szCs w:val="12"/>
                <w:b w:val="1"/>
                <w:bCs w:val="1"/>
                <w:color w:val="FFFFFF"/>
              </w:rPr>
              <w:t>Mar 22</w:t>
            </w:r>
          </w:p>
        </w:tc>
        <w:tc>
          <w:tcPr>
            <w:tcW w:w="1180" w:type="dxa"/>
            <w:vAlign w:val="bottom"/>
            <w:tcBorders>
              <w:bottom w:val="single" w:sz="8" w:color="auto"/>
              <w:right w:val="single" w:sz="8" w:color="auto"/>
            </w:tcBorders>
            <w:shd w:val="clear" w:color="auto" w:fill="40C9D0"/>
          </w:tcPr>
          <w:p>
            <w:pPr>
              <w:ind w:left="480"/>
              <w:spacing w:after="0"/>
              <w:rPr>
                <w:sz w:val="20"/>
                <w:szCs w:val="20"/>
                <w:color w:val="auto"/>
              </w:rPr>
            </w:pPr>
            <w:r>
              <w:rPr>
                <w:rFonts w:ascii="Arial" w:cs="Arial" w:eastAsia="Arial" w:hAnsi="Arial"/>
                <w:sz w:val="12"/>
                <w:szCs w:val="12"/>
                <w:b w:val="1"/>
                <w:bCs w:val="1"/>
                <w:color w:val="FFFFFF"/>
              </w:rPr>
              <w:t>Mar 23</w:t>
            </w:r>
          </w:p>
        </w:tc>
        <w:tc>
          <w:tcPr>
            <w:tcW w:w="1020" w:type="dxa"/>
            <w:vAlign w:val="bottom"/>
            <w:tcBorders>
              <w:bottom w:val="single" w:sz="8" w:color="auto"/>
              <w:right w:val="single" w:sz="8" w:color="auto"/>
            </w:tcBorders>
            <w:shd w:val="clear" w:color="auto" w:fill="40C9D0"/>
          </w:tcPr>
          <w:p>
            <w:pPr>
              <w:jc w:val="center"/>
              <w:spacing w:after="0"/>
              <w:rPr>
                <w:sz w:val="20"/>
                <w:szCs w:val="20"/>
                <w:color w:val="auto"/>
              </w:rPr>
            </w:pPr>
            <w:r>
              <w:rPr>
                <w:rFonts w:ascii="Arial" w:cs="Arial" w:eastAsia="Arial" w:hAnsi="Arial"/>
                <w:sz w:val="12"/>
                <w:szCs w:val="12"/>
                <w:b w:val="1"/>
                <w:bCs w:val="1"/>
                <w:color w:val="FFFFFF"/>
                <w:w w:val="94"/>
              </w:rPr>
              <w:t>YoY</w:t>
            </w:r>
          </w:p>
        </w:tc>
      </w:tr>
      <w:tr>
        <w:trPr>
          <w:trHeight w:val="151"/>
        </w:trPr>
        <w:tc>
          <w:tcPr>
            <w:tcW w:w="3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Balance</w:t>
            </w:r>
          </w:p>
        </w:tc>
        <w:tc>
          <w:tcPr>
            <w:tcW w:w="840" w:type="dxa"/>
            <w:vAlign w:val="bottom"/>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r>
      <w:tr>
        <w:trPr>
          <w:trHeight w:val="121"/>
        </w:trPr>
        <w:tc>
          <w:tcPr>
            <w:tcW w:w="394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2"/>
                <w:szCs w:val="12"/>
                <w:color w:val="auto"/>
              </w:rPr>
              <w:t>Total assets</w:t>
            </w:r>
          </w:p>
        </w:tc>
        <w:tc>
          <w:tcPr>
            <w:tcW w:w="840" w:type="dxa"/>
            <w:vAlign w:val="bottom"/>
          </w:tcPr>
          <w:p>
            <w:pPr>
              <w:jc w:val="center"/>
              <w:ind w:left="100"/>
              <w:spacing w:after="0" w:line="122" w:lineRule="exact"/>
              <w:rPr>
                <w:sz w:val="20"/>
                <w:szCs w:val="20"/>
                <w:color w:val="auto"/>
              </w:rPr>
            </w:pPr>
            <w:r>
              <w:rPr>
                <w:rFonts w:ascii="Arial" w:cs="Arial" w:eastAsia="Arial" w:hAnsi="Arial"/>
                <w:sz w:val="12"/>
                <w:szCs w:val="12"/>
                <w:color w:val="auto"/>
                <w:w w:val="99"/>
              </w:rPr>
              <w:t>15,600,882</w:t>
            </w:r>
          </w:p>
        </w:tc>
        <w:tc>
          <w:tcPr>
            <w:tcW w:w="1180" w:type="dxa"/>
            <w:vAlign w:val="bottom"/>
            <w:tcBorders>
              <w:right w:val="single" w:sz="8" w:color="auto"/>
            </w:tcBorders>
          </w:tcPr>
          <w:p>
            <w:pPr>
              <w:jc w:val="center"/>
              <w:ind w:left="80"/>
              <w:spacing w:after="0" w:line="122" w:lineRule="exact"/>
              <w:rPr>
                <w:sz w:val="20"/>
                <w:szCs w:val="20"/>
                <w:color w:val="auto"/>
              </w:rPr>
            </w:pPr>
            <w:r>
              <w:rPr>
                <w:rFonts w:ascii="Arial" w:cs="Arial" w:eastAsia="Arial" w:hAnsi="Arial"/>
                <w:sz w:val="12"/>
                <w:szCs w:val="12"/>
                <w:color w:val="auto"/>
                <w:w w:val="99"/>
              </w:rPr>
              <w:t>16,302,041</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4.5%</w:t>
            </w:r>
          </w:p>
        </w:tc>
      </w:tr>
      <w:tr>
        <w:trPr>
          <w:trHeight w:val="151"/>
        </w:trPr>
        <w:tc>
          <w:tcPr>
            <w:tcW w:w="394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0"/>
                <w:szCs w:val="10"/>
                <w:color w:val="auto"/>
              </w:rPr>
              <w:t xml:space="preserve">Total Invesment </w:t>
            </w:r>
            <w:r>
              <w:rPr>
                <w:rFonts w:ascii="Calibri" w:cs="Calibri" w:eastAsia="Calibri" w:hAnsi="Calibri"/>
                <w:sz w:val="16"/>
                <w:szCs w:val="16"/>
                <w:color w:val="auto"/>
                <w:vertAlign w:val="superscript"/>
              </w:rPr>
              <w:t>(1)</w:t>
            </w:r>
          </w:p>
        </w:tc>
        <w:tc>
          <w:tcPr>
            <w:tcW w:w="840" w:type="dxa"/>
            <w:vAlign w:val="bottom"/>
          </w:tcPr>
          <w:p>
            <w:pPr>
              <w:jc w:val="center"/>
              <w:ind w:left="100"/>
              <w:spacing w:after="0"/>
              <w:rPr>
                <w:sz w:val="20"/>
                <w:szCs w:val="20"/>
                <w:color w:val="auto"/>
              </w:rPr>
            </w:pPr>
            <w:r>
              <w:rPr>
                <w:rFonts w:ascii="Arial" w:cs="Arial" w:eastAsia="Arial" w:hAnsi="Arial"/>
                <w:sz w:val="12"/>
                <w:szCs w:val="12"/>
                <w:color w:val="auto"/>
                <w:w w:val="99"/>
              </w:rPr>
              <w:t>10,525,652</w:t>
            </w:r>
          </w:p>
        </w:tc>
        <w:tc>
          <w:tcPr>
            <w:tcW w:w="1180" w:type="dxa"/>
            <w:vAlign w:val="bottom"/>
            <w:tcBorders>
              <w:right w:val="single" w:sz="8" w:color="auto"/>
            </w:tcBorders>
          </w:tcPr>
          <w:p>
            <w:pPr>
              <w:jc w:val="center"/>
              <w:ind w:left="80"/>
              <w:spacing w:after="0"/>
              <w:rPr>
                <w:sz w:val="20"/>
                <w:szCs w:val="20"/>
                <w:color w:val="auto"/>
              </w:rPr>
            </w:pPr>
            <w:r>
              <w:rPr>
                <w:rFonts w:ascii="Arial" w:cs="Arial" w:eastAsia="Arial" w:hAnsi="Arial"/>
                <w:sz w:val="12"/>
                <w:szCs w:val="12"/>
                <w:color w:val="auto"/>
                <w:w w:val="99"/>
              </w:rPr>
              <w:t>11,191,968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6.3%</w:t>
            </w:r>
          </w:p>
        </w:tc>
      </w:tr>
      <w:tr>
        <w:trPr>
          <w:trHeight w:val="136"/>
        </w:trPr>
        <w:tc>
          <w:tcPr>
            <w:tcW w:w="394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Total Liabilities</w:t>
            </w:r>
          </w:p>
        </w:tc>
        <w:tc>
          <w:tcPr>
            <w:tcW w:w="840" w:type="dxa"/>
            <w:vAlign w:val="bottom"/>
          </w:tcPr>
          <w:p>
            <w:pPr>
              <w:jc w:val="center"/>
              <w:ind w:left="100"/>
              <w:spacing w:after="0" w:line="136" w:lineRule="exact"/>
              <w:rPr>
                <w:sz w:val="20"/>
                <w:szCs w:val="20"/>
                <w:color w:val="auto"/>
              </w:rPr>
            </w:pPr>
            <w:r>
              <w:rPr>
                <w:rFonts w:ascii="Arial" w:cs="Arial" w:eastAsia="Arial" w:hAnsi="Arial"/>
                <w:sz w:val="12"/>
                <w:szCs w:val="12"/>
                <w:color w:val="auto"/>
                <w:w w:val="99"/>
              </w:rPr>
              <w:t>13,433,886</w:t>
            </w:r>
          </w:p>
        </w:tc>
        <w:tc>
          <w:tcPr>
            <w:tcW w:w="1180" w:type="dxa"/>
            <w:vAlign w:val="bottom"/>
            <w:tcBorders>
              <w:right w:val="single" w:sz="8" w:color="auto"/>
            </w:tcBorders>
          </w:tcPr>
          <w:p>
            <w:pPr>
              <w:jc w:val="center"/>
              <w:ind w:left="80"/>
              <w:spacing w:after="0" w:line="136" w:lineRule="exact"/>
              <w:rPr>
                <w:sz w:val="20"/>
                <w:szCs w:val="20"/>
                <w:color w:val="auto"/>
              </w:rPr>
            </w:pPr>
            <w:r>
              <w:rPr>
                <w:rFonts w:ascii="Arial" w:cs="Arial" w:eastAsia="Arial" w:hAnsi="Arial"/>
                <w:sz w:val="12"/>
                <w:szCs w:val="12"/>
                <w:color w:val="auto"/>
                <w:w w:val="99"/>
              </w:rPr>
              <w:t>13,857,430</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3.2%</w:t>
            </w:r>
          </w:p>
        </w:tc>
      </w:tr>
      <w:tr>
        <w:trPr>
          <w:trHeight w:val="147"/>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Net equity</w:t>
            </w:r>
          </w:p>
        </w:tc>
        <w:tc>
          <w:tcPr>
            <w:tcW w:w="840" w:type="dxa"/>
            <w:vAlign w:val="bottom"/>
            <w:tcBorders>
              <w:bottom w:val="single" w:sz="8" w:color="auto"/>
            </w:tcBorders>
          </w:tcPr>
          <w:p>
            <w:pPr>
              <w:jc w:val="center"/>
              <w:ind w:left="120"/>
              <w:spacing w:after="0"/>
              <w:rPr>
                <w:sz w:val="20"/>
                <w:szCs w:val="20"/>
                <w:color w:val="auto"/>
              </w:rPr>
            </w:pPr>
            <w:r>
              <w:rPr>
                <w:rFonts w:ascii="Arial" w:cs="Arial" w:eastAsia="Arial" w:hAnsi="Arial"/>
                <w:sz w:val="12"/>
                <w:szCs w:val="12"/>
                <w:color w:val="auto"/>
              </w:rPr>
              <w:t>2,149,890</w:t>
            </w:r>
          </w:p>
        </w:tc>
        <w:tc>
          <w:tcPr>
            <w:tcW w:w="1180" w:type="dxa"/>
            <w:vAlign w:val="bottom"/>
            <w:tcBorders>
              <w:bottom w:val="single" w:sz="8" w:color="auto"/>
              <w:right w:val="single" w:sz="8" w:color="auto"/>
            </w:tcBorders>
          </w:tcPr>
          <w:p>
            <w:pPr>
              <w:jc w:val="center"/>
              <w:ind w:left="100"/>
              <w:spacing w:after="0"/>
              <w:rPr>
                <w:sz w:val="20"/>
                <w:szCs w:val="20"/>
                <w:color w:val="auto"/>
              </w:rPr>
            </w:pPr>
            <w:r>
              <w:rPr>
                <w:rFonts w:ascii="Arial" w:cs="Arial" w:eastAsia="Arial" w:hAnsi="Arial"/>
                <w:sz w:val="12"/>
                <w:szCs w:val="12"/>
                <w:color w:val="auto"/>
              </w:rPr>
              <w:t>2,431,696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13.1%</w:t>
            </w:r>
          </w:p>
        </w:tc>
      </w:tr>
    </w:tbl>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3960" w:type="dxa"/>
            <w:vAlign w:val="bottom"/>
            <w:tcBorders>
              <w:right w:val="single" w:sz="8" w:color="auto"/>
            </w:tcBorders>
          </w:tcPr>
          <w:p>
            <w:pPr>
              <w:spacing w:after="0"/>
              <w:rPr>
                <w:sz w:val="16"/>
                <w:szCs w:val="16"/>
                <w:color w:val="auto"/>
              </w:rPr>
            </w:pPr>
          </w:p>
        </w:tc>
        <w:tc>
          <w:tcPr>
            <w:tcW w:w="760" w:type="dxa"/>
            <w:vAlign w:val="bottom"/>
            <w:tcBorders>
              <w:top w:val="single" w:sz="8" w:color="auto"/>
            </w:tcBorders>
            <w:shd w:val="clear" w:color="auto" w:fill="40C9D0"/>
          </w:tcPr>
          <w:p>
            <w:pPr>
              <w:spacing w:after="0"/>
              <w:rPr>
                <w:sz w:val="16"/>
                <w:szCs w:val="16"/>
                <w:color w:val="auto"/>
              </w:rPr>
            </w:pPr>
          </w:p>
        </w:tc>
        <w:tc>
          <w:tcPr>
            <w:tcW w:w="1240" w:type="dxa"/>
            <w:vAlign w:val="bottom"/>
            <w:tcBorders>
              <w:top w:val="single" w:sz="8" w:color="auto"/>
              <w:right w:val="single" w:sz="8" w:color="auto"/>
            </w:tcBorders>
            <w:shd w:val="clear" w:color="auto" w:fill="40C9D0"/>
          </w:tcPr>
          <w:p>
            <w:pPr>
              <w:ind w:left="20"/>
              <w:spacing w:after="0"/>
              <w:rPr>
                <w:sz w:val="20"/>
                <w:szCs w:val="20"/>
                <w:color w:val="auto"/>
              </w:rPr>
            </w:pPr>
            <w:r>
              <w:rPr>
                <w:rFonts w:ascii="Arial" w:cs="Arial" w:eastAsia="Arial" w:hAnsi="Arial"/>
                <w:sz w:val="12"/>
                <w:szCs w:val="12"/>
                <w:b w:val="1"/>
                <w:bCs w:val="1"/>
                <w:color w:val="FFFFFF"/>
              </w:rPr>
              <w:t>Quarter</w:t>
            </w:r>
          </w:p>
        </w:tc>
        <w:tc>
          <w:tcPr>
            <w:tcW w:w="1020" w:type="dxa"/>
            <w:vAlign w:val="bottom"/>
            <w:tcBorders>
              <w:top w:val="single" w:sz="8" w:color="auto"/>
              <w:right w:val="single" w:sz="8" w:color="auto"/>
            </w:tcBorders>
            <w:shd w:val="clear" w:color="auto" w:fill="40C9D0"/>
          </w:tcPr>
          <w:p>
            <w:pPr>
              <w:jc w:val="center"/>
              <w:spacing w:after="0"/>
              <w:rPr>
                <w:sz w:val="20"/>
                <w:szCs w:val="20"/>
                <w:color w:val="auto"/>
              </w:rPr>
            </w:pPr>
            <w:r>
              <w:rPr>
                <w:rFonts w:ascii="Arial" w:cs="Arial" w:eastAsia="Arial" w:hAnsi="Arial"/>
                <w:sz w:val="12"/>
                <w:szCs w:val="12"/>
                <w:b w:val="1"/>
                <w:bCs w:val="1"/>
                <w:color w:val="FFFFFF"/>
                <w:w w:val="99"/>
              </w:rPr>
              <w:t>% change</w:t>
            </w:r>
          </w:p>
        </w:tc>
        <w:tc>
          <w:tcPr>
            <w:tcW w:w="800" w:type="dxa"/>
            <w:vAlign w:val="bottom"/>
            <w:tcBorders>
              <w:top w:val="single" w:sz="8" w:color="auto"/>
            </w:tcBorders>
            <w:shd w:val="clear" w:color="auto" w:fill="40C9D0"/>
          </w:tcPr>
          <w:p>
            <w:pPr>
              <w:spacing w:after="0"/>
              <w:rPr>
                <w:sz w:val="16"/>
                <w:szCs w:val="16"/>
                <w:color w:val="auto"/>
              </w:rPr>
            </w:pPr>
          </w:p>
        </w:tc>
        <w:tc>
          <w:tcPr>
            <w:tcW w:w="1220" w:type="dxa"/>
            <w:vAlign w:val="bottom"/>
            <w:tcBorders>
              <w:top w:val="single" w:sz="8" w:color="auto"/>
              <w:right w:val="single" w:sz="8" w:color="auto"/>
            </w:tcBorders>
            <w:shd w:val="clear" w:color="auto" w:fill="40C9D0"/>
          </w:tcPr>
          <w:p>
            <w:pPr>
              <w:ind w:left="80"/>
              <w:spacing w:after="0"/>
              <w:rPr>
                <w:sz w:val="20"/>
                <w:szCs w:val="20"/>
                <w:color w:val="auto"/>
              </w:rPr>
            </w:pPr>
            <w:r>
              <w:rPr>
                <w:rFonts w:ascii="Arial" w:cs="Arial" w:eastAsia="Arial" w:hAnsi="Arial"/>
                <w:sz w:val="12"/>
                <w:szCs w:val="12"/>
                <w:b w:val="1"/>
                <w:bCs w:val="1"/>
                <w:color w:val="FFFFFF"/>
              </w:rPr>
              <w:t>YTD</w:t>
            </w:r>
          </w:p>
        </w:tc>
        <w:tc>
          <w:tcPr>
            <w:tcW w:w="1140" w:type="dxa"/>
            <w:vAlign w:val="bottom"/>
            <w:tcBorders>
              <w:top w:val="single" w:sz="8" w:color="auto"/>
              <w:right w:val="single" w:sz="8" w:color="auto"/>
            </w:tcBorders>
            <w:shd w:val="clear" w:color="auto" w:fill="40C9D0"/>
          </w:tcPr>
          <w:p>
            <w:pPr>
              <w:jc w:val="center"/>
              <w:spacing w:after="0"/>
              <w:rPr>
                <w:sz w:val="20"/>
                <w:szCs w:val="20"/>
                <w:color w:val="auto"/>
              </w:rPr>
            </w:pPr>
            <w:r>
              <w:rPr>
                <w:rFonts w:ascii="Arial" w:cs="Arial" w:eastAsia="Arial" w:hAnsi="Arial"/>
                <w:sz w:val="12"/>
                <w:szCs w:val="12"/>
                <w:b w:val="1"/>
                <w:bCs w:val="1"/>
                <w:color w:val="FFFFFF"/>
                <w:w w:val="99"/>
              </w:rPr>
              <w:t>% change</w:t>
            </w:r>
          </w:p>
        </w:tc>
      </w:tr>
      <w:tr>
        <w:trPr>
          <w:trHeight w:val="147"/>
        </w:trPr>
        <w:tc>
          <w:tcPr>
            <w:tcW w:w="39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shd w:val="clear" w:color="auto" w:fill="40C9D0"/>
          </w:tcPr>
          <w:p>
            <w:pPr>
              <w:jc w:val="center"/>
              <w:ind w:left="160"/>
              <w:spacing w:after="0"/>
              <w:rPr>
                <w:sz w:val="20"/>
                <w:szCs w:val="20"/>
                <w:color w:val="auto"/>
              </w:rPr>
            </w:pPr>
            <w:r>
              <w:rPr>
                <w:rFonts w:ascii="Arial" w:cs="Arial" w:eastAsia="Arial" w:hAnsi="Arial"/>
                <w:sz w:val="12"/>
                <w:szCs w:val="12"/>
                <w:b w:val="1"/>
                <w:bCs w:val="1"/>
                <w:color w:val="FFFFFF"/>
              </w:rPr>
              <w:t>1Q22</w:t>
            </w:r>
          </w:p>
        </w:tc>
        <w:tc>
          <w:tcPr>
            <w:tcW w:w="1240" w:type="dxa"/>
            <w:vAlign w:val="bottom"/>
            <w:tcBorders>
              <w:bottom w:val="single" w:sz="8" w:color="auto"/>
              <w:right w:val="single" w:sz="8" w:color="auto"/>
            </w:tcBorders>
            <w:shd w:val="clear" w:color="auto" w:fill="40C9D0"/>
          </w:tcPr>
          <w:p>
            <w:pPr>
              <w:jc w:val="center"/>
              <w:ind w:left="160"/>
              <w:spacing w:after="0"/>
              <w:rPr>
                <w:sz w:val="20"/>
                <w:szCs w:val="20"/>
                <w:color w:val="auto"/>
              </w:rPr>
            </w:pPr>
            <w:r>
              <w:rPr>
                <w:rFonts w:ascii="Arial" w:cs="Arial" w:eastAsia="Arial" w:hAnsi="Arial"/>
                <w:sz w:val="12"/>
                <w:szCs w:val="12"/>
                <w:b w:val="1"/>
                <w:bCs w:val="1"/>
                <w:color w:val="FFFFFF"/>
              </w:rPr>
              <w:t>1Q23</w:t>
            </w:r>
          </w:p>
        </w:tc>
        <w:tc>
          <w:tcPr>
            <w:tcW w:w="1020" w:type="dxa"/>
            <w:vAlign w:val="bottom"/>
            <w:tcBorders>
              <w:bottom w:val="single" w:sz="8" w:color="auto"/>
              <w:right w:val="single" w:sz="8" w:color="auto"/>
            </w:tcBorders>
            <w:shd w:val="clear" w:color="auto" w:fill="40C9D0"/>
          </w:tcPr>
          <w:p>
            <w:pPr>
              <w:jc w:val="center"/>
              <w:spacing w:after="0"/>
              <w:rPr>
                <w:sz w:val="20"/>
                <w:szCs w:val="20"/>
                <w:color w:val="auto"/>
              </w:rPr>
            </w:pPr>
            <w:r>
              <w:rPr>
                <w:rFonts w:ascii="Arial" w:cs="Arial" w:eastAsia="Arial" w:hAnsi="Arial"/>
                <w:sz w:val="12"/>
                <w:szCs w:val="12"/>
                <w:b w:val="1"/>
                <w:bCs w:val="1"/>
                <w:color w:val="FFFFFF"/>
              </w:rPr>
              <w:t>YoY</w:t>
            </w:r>
          </w:p>
        </w:tc>
        <w:tc>
          <w:tcPr>
            <w:tcW w:w="800" w:type="dxa"/>
            <w:vAlign w:val="bottom"/>
            <w:tcBorders>
              <w:bottom w:val="single" w:sz="8" w:color="auto"/>
            </w:tcBorders>
            <w:shd w:val="clear" w:color="auto" w:fill="40C9D0"/>
          </w:tcPr>
          <w:p>
            <w:pPr>
              <w:jc w:val="center"/>
              <w:ind w:left="120"/>
              <w:spacing w:after="0"/>
              <w:rPr>
                <w:sz w:val="20"/>
                <w:szCs w:val="20"/>
                <w:color w:val="auto"/>
              </w:rPr>
            </w:pPr>
            <w:r>
              <w:rPr>
                <w:rFonts w:ascii="Arial" w:cs="Arial" w:eastAsia="Arial" w:hAnsi="Arial"/>
                <w:sz w:val="12"/>
                <w:szCs w:val="12"/>
                <w:b w:val="1"/>
                <w:bCs w:val="1"/>
                <w:color w:val="FFFFFF"/>
              </w:rPr>
              <w:t>1Q22</w:t>
            </w:r>
          </w:p>
        </w:tc>
        <w:tc>
          <w:tcPr>
            <w:tcW w:w="1220" w:type="dxa"/>
            <w:vAlign w:val="bottom"/>
            <w:tcBorders>
              <w:bottom w:val="single" w:sz="8" w:color="auto"/>
              <w:right w:val="single" w:sz="8" w:color="auto"/>
            </w:tcBorders>
            <w:shd w:val="clear" w:color="auto" w:fill="40C9D0"/>
          </w:tcPr>
          <w:p>
            <w:pPr>
              <w:jc w:val="center"/>
              <w:ind w:left="100"/>
              <w:spacing w:after="0"/>
              <w:rPr>
                <w:sz w:val="20"/>
                <w:szCs w:val="20"/>
                <w:color w:val="auto"/>
              </w:rPr>
            </w:pPr>
            <w:r>
              <w:rPr>
                <w:rFonts w:ascii="Arial" w:cs="Arial" w:eastAsia="Arial" w:hAnsi="Arial"/>
                <w:sz w:val="12"/>
                <w:szCs w:val="12"/>
                <w:b w:val="1"/>
                <w:bCs w:val="1"/>
                <w:color w:val="FFFFFF"/>
              </w:rPr>
              <w:t>1Q23</w:t>
            </w:r>
          </w:p>
        </w:tc>
        <w:tc>
          <w:tcPr>
            <w:tcW w:w="1140" w:type="dxa"/>
            <w:vAlign w:val="bottom"/>
            <w:tcBorders>
              <w:bottom w:val="single" w:sz="8" w:color="auto"/>
              <w:right w:val="single" w:sz="8" w:color="auto"/>
            </w:tcBorders>
            <w:shd w:val="clear" w:color="auto" w:fill="40C9D0"/>
          </w:tcPr>
          <w:p>
            <w:pPr>
              <w:jc w:val="center"/>
              <w:spacing w:after="0"/>
              <w:rPr>
                <w:sz w:val="20"/>
                <w:szCs w:val="20"/>
                <w:color w:val="auto"/>
              </w:rPr>
            </w:pPr>
            <w:r>
              <w:rPr>
                <w:rFonts w:ascii="Arial" w:cs="Arial" w:eastAsia="Arial" w:hAnsi="Arial"/>
                <w:sz w:val="12"/>
                <w:szCs w:val="12"/>
                <w:b w:val="1"/>
                <w:bCs w:val="1"/>
                <w:color w:val="FFFFFF"/>
              </w:rPr>
              <w:t>YoY</w:t>
            </w:r>
          </w:p>
        </w:tc>
      </w:tr>
      <w:tr>
        <w:trPr>
          <w:trHeight w:val="128"/>
        </w:trPr>
        <w:tc>
          <w:tcPr>
            <w:tcW w:w="396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2"/>
                <w:szCs w:val="12"/>
                <w:color w:val="auto"/>
              </w:rPr>
              <w:t>Insurance Service Result</w:t>
            </w:r>
          </w:p>
        </w:tc>
        <w:tc>
          <w:tcPr>
            <w:tcW w:w="760" w:type="dxa"/>
            <w:vAlign w:val="bottom"/>
          </w:tcPr>
          <w:p>
            <w:pPr>
              <w:jc w:val="center"/>
              <w:ind w:left="180"/>
              <w:spacing w:after="0" w:line="128" w:lineRule="exact"/>
              <w:rPr>
                <w:sz w:val="20"/>
                <w:szCs w:val="20"/>
                <w:color w:val="auto"/>
              </w:rPr>
            </w:pPr>
            <w:r>
              <w:rPr>
                <w:rFonts w:ascii="Arial" w:cs="Arial" w:eastAsia="Arial" w:hAnsi="Arial"/>
                <w:sz w:val="12"/>
                <w:szCs w:val="12"/>
                <w:color w:val="auto"/>
              </w:rPr>
              <w:t>209,092</w:t>
            </w:r>
          </w:p>
        </w:tc>
        <w:tc>
          <w:tcPr>
            <w:tcW w:w="1240" w:type="dxa"/>
            <w:vAlign w:val="bottom"/>
            <w:tcBorders>
              <w:right w:val="single" w:sz="8" w:color="auto"/>
            </w:tcBorders>
          </w:tcPr>
          <w:p>
            <w:pPr>
              <w:jc w:val="center"/>
              <w:ind w:left="140"/>
              <w:spacing w:after="0" w:line="128" w:lineRule="exact"/>
              <w:rPr>
                <w:sz w:val="20"/>
                <w:szCs w:val="20"/>
                <w:color w:val="auto"/>
              </w:rPr>
            </w:pPr>
            <w:r>
              <w:rPr>
                <w:rFonts w:ascii="Arial" w:cs="Arial" w:eastAsia="Arial" w:hAnsi="Arial"/>
                <w:sz w:val="12"/>
                <w:szCs w:val="12"/>
                <w:color w:val="auto"/>
              </w:rPr>
              <w:t>296,390</w:t>
            </w:r>
          </w:p>
        </w:tc>
        <w:tc>
          <w:tcPr>
            <w:tcW w:w="10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rPr>
              <w:t>41.8%</w:t>
            </w:r>
          </w:p>
        </w:tc>
        <w:tc>
          <w:tcPr>
            <w:tcW w:w="800" w:type="dxa"/>
            <w:vAlign w:val="bottom"/>
          </w:tcPr>
          <w:p>
            <w:pPr>
              <w:jc w:val="center"/>
              <w:ind w:left="140"/>
              <w:spacing w:after="0" w:line="128" w:lineRule="exact"/>
              <w:rPr>
                <w:sz w:val="20"/>
                <w:szCs w:val="20"/>
                <w:color w:val="auto"/>
              </w:rPr>
            </w:pPr>
            <w:r>
              <w:rPr>
                <w:rFonts w:ascii="Arial" w:cs="Arial" w:eastAsia="Arial" w:hAnsi="Arial"/>
                <w:sz w:val="12"/>
                <w:szCs w:val="12"/>
                <w:color w:val="auto"/>
              </w:rPr>
              <w:t>209,092</w:t>
            </w:r>
          </w:p>
        </w:tc>
        <w:tc>
          <w:tcPr>
            <w:tcW w:w="1220" w:type="dxa"/>
            <w:vAlign w:val="bottom"/>
            <w:tcBorders>
              <w:right w:val="single" w:sz="8" w:color="auto"/>
            </w:tcBorders>
          </w:tcPr>
          <w:p>
            <w:pPr>
              <w:jc w:val="center"/>
              <w:ind w:left="120"/>
              <w:spacing w:after="0" w:line="128" w:lineRule="exact"/>
              <w:rPr>
                <w:sz w:val="20"/>
                <w:szCs w:val="20"/>
                <w:color w:val="auto"/>
              </w:rPr>
            </w:pPr>
            <w:r>
              <w:rPr>
                <w:rFonts w:ascii="Arial" w:cs="Arial" w:eastAsia="Arial" w:hAnsi="Arial"/>
                <w:sz w:val="12"/>
                <w:szCs w:val="12"/>
                <w:color w:val="auto"/>
              </w:rPr>
              <w:t>296,390</w:t>
            </w:r>
          </w:p>
        </w:tc>
        <w:tc>
          <w:tcPr>
            <w:tcW w:w="11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9"/>
              </w:rPr>
              <w:t>41.8%</w:t>
            </w:r>
          </w:p>
        </w:tc>
      </w:tr>
      <w:tr>
        <w:trPr>
          <w:trHeight w:val="136"/>
        </w:trPr>
        <w:tc>
          <w:tcPr>
            <w:tcW w:w="39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Reinsurance Result</w:t>
            </w:r>
          </w:p>
        </w:tc>
        <w:tc>
          <w:tcPr>
            <w:tcW w:w="760" w:type="dxa"/>
            <w:vAlign w:val="bottom"/>
          </w:tcPr>
          <w:p>
            <w:pPr>
              <w:jc w:val="center"/>
              <w:ind w:left="180"/>
              <w:spacing w:after="0" w:line="136" w:lineRule="exact"/>
              <w:rPr>
                <w:sz w:val="20"/>
                <w:szCs w:val="20"/>
                <w:color w:val="auto"/>
              </w:rPr>
            </w:pPr>
            <w:r>
              <w:rPr>
                <w:rFonts w:ascii="Arial" w:cs="Arial" w:eastAsia="Arial" w:hAnsi="Arial"/>
                <w:sz w:val="12"/>
                <w:szCs w:val="12"/>
                <w:color w:val="auto"/>
              </w:rPr>
              <w:t>-102,591</w:t>
            </w:r>
          </w:p>
        </w:tc>
        <w:tc>
          <w:tcPr>
            <w:tcW w:w="1240" w:type="dxa"/>
            <w:vAlign w:val="bottom"/>
            <w:tcBorders>
              <w:right w:val="single" w:sz="8" w:color="auto"/>
            </w:tcBorders>
          </w:tcPr>
          <w:p>
            <w:pPr>
              <w:jc w:val="center"/>
              <w:ind w:left="160"/>
              <w:spacing w:after="0" w:line="136" w:lineRule="exact"/>
              <w:rPr>
                <w:sz w:val="20"/>
                <w:szCs w:val="20"/>
                <w:color w:val="auto"/>
              </w:rPr>
            </w:pPr>
            <w:r>
              <w:rPr>
                <w:rFonts w:ascii="Arial" w:cs="Arial" w:eastAsia="Arial" w:hAnsi="Arial"/>
                <w:sz w:val="12"/>
                <w:szCs w:val="12"/>
                <w:color w:val="auto"/>
                <w:w w:val="97"/>
              </w:rPr>
              <w:t>-114,009</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3"/>
              </w:rPr>
              <w:t>11.1%</w:t>
            </w:r>
          </w:p>
        </w:tc>
        <w:tc>
          <w:tcPr>
            <w:tcW w:w="800" w:type="dxa"/>
            <w:vAlign w:val="bottom"/>
          </w:tcPr>
          <w:p>
            <w:pPr>
              <w:jc w:val="center"/>
              <w:ind w:left="140"/>
              <w:spacing w:after="0" w:line="136" w:lineRule="exact"/>
              <w:rPr>
                <w:sz w:val="20"/>
                <w:szCs w:val="20"/>
                <w:color w:val="auto"/>
              </w:rPr>
            </w:pPr>
            <w:r>
              <w:rPr>
                <w:rFonts w:ascii="Arial" w:cs="Arial" w:eastAsia="Arial" w:hAnsi="Arial"/>
                <w:sz w:val="12"/>
                <w:szCs w:val="12"/>
                <w:color w:val="auto"/>
              </w:rPr>
              <w:t>-102,591</w:t>
            </w:r>
          </w:p>
        </w:tc>
        <w:tc>
          <w:tcPr>
            <w:tcW w:w="1220" w:type="dxa"/>
            <w:vAlign w:val="bottom"/>
            <w:tcBorders>
              <w:right w:val="single" w:sz="8" w:color="auto"/>
            </w:tcBorders>
          </w:tcPr>
          <w:p>
            <w:pPr>
              <w:jc w:val="center"/>
              <w:ind w:left="100"/>
              <w:spacing w:after="0" w:line="136" w:lineRule="exact"/>
              <w:rPr>
                <w:sz w:val="20"/>
                <w:szCs w:val="20"/>
                <w:color w:val="auto"/>
              </w:rPr>
            </w:pPr>
            <w:r>
              <w:rPr>
                <w:rFonts w:ascii="Arial" w:cs="Arial" w:eastAsia="Arial" w:hAnsi="Arial"/>
                <w:sz w:val="12"/>
                <w:szCs w:val="12"/>
                <w:color w:val="auto"/>
                <w:w w:val="97"/>
              </w:rPr>
              <w:t>-114,009</w:t>
            </w:r>
          </w:p>
        </w:tc>
        <w:tc>
          <w:tcPr>
            <w:tcW w:w="11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3"/>
              </w:rPr>
              <w:t>11.1%</w:t>
            </w:r>
          </w:p>
        </w:tc>
      </w:tr>
      <w:tr>
        <w:trPr>
          <w:trHeight w:val="136"/>
        </w:trPr>
        <w:tc>
          <w:tcPr>
            <w:tcW w:w="39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b w:val="1"/>
                <w:bCs w:val="1"/>
                <w:color w:val="auto"/>
              </w:rPr>
              <w:t>Insurance underwriting result</w:t>
            </w:r>
          </w:p>
        </w:tc>
        <w:tc>
          <w:tcPr>
            <w:tcW w:w="760" w:type="dxa"/>
            <w:vAlign w:val="bottom"/>
          </w:tcPr>
          <w:p>
            <w:pPr>
              <w:jc w:val="center"/>
              <w:ind w:left="180"/>
              <w:spacing w:after="0" w:line="136" w:lineRule="exact"/>
              <w:rPr>
                <w:sz w:val="20"/>
                <w:szCs w:val="20"/>
                <w:color w:val="auto"/>
              </w:rPr>
            </w:pPr>
            <w:r>
              <w:rPr>
                <w:rFonts w:ascii="Arial" w:cs="Arial" w:eastAsia="Arial" w:hAnsi="Arial"/>
                <w:sz w:val="12"/>
                <w:szCs w:val="12"/>
                <w:b w:val="1"/>
                <w:bCs w:val="1"/>
                <w:color w:val="auto"/>
              </w:rPr>
              <w:t>106,501</w:t>
            </w:r>
          </w:p>
        </w:tc>
        <w:tc>
          <w:tcPr>
            <w:tcW w:w="1240" w:type="dxa"/>
            <w:vAlign w:val="bottom"/>
            <w:tcBorders>
              <w:right w:val="single" w:sz="8" w:color="auto"/>
            </w:tcBorders>
          </w:tcPr>
          <w:p>
            <w:pPr>
              <w:jc w:val="center"/>
              <w:ind w:left="140"/>
              <w:spacing w:after="0" w:line="136" w:lineRule="exact"/>
              <w:rPr>
                <w:sz w:val="20"/>
                <w:szCs w:val="20"/>
                <w:color w:val="auto"/>
              </w:rPr>
            </w:pPr>
            <w:r>
              <w:rPr>
                <w:rFonts w:ascii="Arial" w:cs="Arial" w:eastAsia="Arial" w:hAnsi="Arial"/>
                <w:sz w:val="12"/>
                <w:szCs w:val="12"/>
                <w:b w:val="1"/>
                <w:bCs w:val="1"/>
                <w:color w:val="auto"/>
              </w:rPr>
              <w:t>182,381</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rPr>
              <w:t>71.2%</w:t>
            </w:r>
          </w:p>
        </w:tc>
        <w:tc>
          <w:tcPr>
            <w:tcW w:w="800" w:type="dxa"/>
            <w:vAlign w:val="bottom"/>
          </w:tcPr>
          <w:p>
            <w:pPr>
              <w:jc w:val="center"/>
              <w:ind w:left="140"/>
              <w:spacing w:after="0" w:line="136" w:lineRule="exact"/>
              <w:rPr>
                <w:sz w:val="20"/>
                <w:szCs w:val="20"/>
                <w:color w:val="auto"/>
              </w:rPr>
            </w:pPr>
            <w:r>
              <w:rPr>
                <w:rFonts w:ascii="Arial" w:cs="Arial" w:eastAsia="Arial" w:hAnsi="Arial"/>
                <w:sz w:val="12"/>
                <w:szCs w:val="12"/>
                <w:b w:val="1"/>
                <w:bCs w:val="1"/>
                <w:color w:val="auto"/>
              </w:rPr>
              <w:t>106,501</w:t>
            </w:r>
          </w:p>
        </w:tc>
        <w:tc>
          <w:tcPr>
            <w:tcW w:w="1220" w:type="dxa"/>
            <w:vAlign w:val="bottom"/>
            <w:tcBorders>
              <w:right w:val="single" w:sz="8" w:color="auto"/>
            </w:tcBorders>
          </w:tcPr>
          <w:p>
            <w:pPr>
              <w:jc w:val="center"/>
              <w:ind w:left="120"/>
              <w:spacing w:after="0" w:line="136" w:lineRule="exact"/>
              <w:rPr>
                <w:sz w:val="20"/>
                <w:szCs w:val="20"/>
                <w:color w:val="auto"/>
              </w:rPr>
            </w:pPr>
            <w:r>
              <w:rPr>
                <w:rFonts w:ascii="Arial" w:cs="Arial" w:eastAsia="Arial" w:hAnsi="Arial"/>
                <w:sz w:val="12"/>
                <w:szCs w:val="12"/>
                <w:b w:val="1"/>
                <w:bCs w:val="1"/>
                <w:color w:val="auto"/>
              </w:rPr>
              <w:t>182,381</w:t>
            </w:r>
          </w:p>
        </w:tc>
        <w:tc>
          <w:tcPr>
            <w:tcW w:w="11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9"/>
              </w:rPr>
              <w:t>71.2%</w:t>
            </w:r>
          </w:p>
        </w:tc>
      </w:tr>
      <w:tr>
        <w:trPr>
          <w:trHeight w:val="136"/>
        </w:trPr>
        <w:tc>
          <w:tcPr>
            <w:tcW w:w="39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Interest income</w:t>
            </w:r>
          </w:p>
        </w:tc>
        <w:tc>
          <w:tcPr>
            <w:tcW w:w="760" w:type="dxa"/>
            <w:vAlign w:val="bottom"/>
          </w:tcPr>
          <w:p>
            <w:pPr>
              <w:jc w:val="center"/>
              <w:ind w:left="180"/>
              <w:spacing w:after="0" w:line="136" w:lineRule="exact"/>
              <w:rPr>
                <w:sz w:val="20"/>
                <w:szCs w:val="20"/>
                <w:color w:val="auto"/>
              </w:rPr>
            </w:pPr>
            <w:r>
              <w:rPr>
                <w:rFonts w:ascii="Arial" w:cs="Arial" w:eastAsia="Arial" w:hAnsi="Arial"/>
                <w:sz w:val="12"/>
                <w:szCs w:val="12"/>
                <w:color w:val="auto"/>
              </w:rPr>
              <w:t>170,571</w:t>
            </w:r>
          </w:p>
        </w:tc>
        <w:tc>
          <w:tcPr>
            <w:tcW w:w="1240" w:type="dxa"/>
            <w:vAlign w:val="bottom"/>
            <w:tcBorders>
              <w:right w:val="single" w:sz="8" w:color="auto"/>
            </w:tcBorders>
          </w:tcPr>
          <w:p>
            <w:pPr>
              <w:jc w:val="center"/>
              <w:ind w:left="140"/>
              <w:spacing w:after="0" w:line="136" w:lineRule="exact"/>
              <w:rPr>
                <w:sz w:val="20"/>
                <w:szCs w:val="20"/>
                <w:color w:val="auto"/>
              </w:rPr>
            </w:pPr>
            <w:r>
              <w:rPr>
                <w:rFonts w:ascii="Arial" w:cs="Arial" w:eastAsia="Arial" w:hAnsi="Arial"/>
                <w:sz w:val="12"/>
                <w:szCs w:val="12"/>
                <w:color w:val="auto"/>
              </w:rPr>
              <w:t>189,963</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3"/>
              </w:rPr>
              <w:t>11.4%</w:t>
            </w:r>
          </w:p>
        </w:tc>
        <w:tc>
          <w:tcPr>
            <w:tcW w:w="800" w:type="dxa"/>
            <w:vAlign w:val="bottom"/>
          </w:tcPr>
          <w:p>
            <w:pPr>
              <w:jc w:val="center"/>
              <w:ind w:left="140"/>
              <w:spacing w:after="0" w:line="136" w:lineRule="exact"/>
              <w:rPr>
                <w:sz w:val="20"/>
                <w:szCs w:val="20"/>
                <w:color w:val="auto"/>
              </w:rPr>
            </w:pPr>
            <w:r>
              <w:rPr>
                <w:rFonts w:ascii="Arial" w:cs="Arial" w:eastAsia="Arial" w:hAnsi="Arial"/>
                <w:sz w:val="12"/>
                <w:szCs w:val="12"/>
                <w:color w:val="auto"/>
              </w:rPr>
              <w:t>170,571</w:t>
            </w:r>
          </w:p>
        </w:tc>
        <w:tc>
          <w:tcPr>
            <w:tcW w:w="1220" w:type="dxa"/>
            <w:vAlign w:val="bottom"/>
            <w:tcBorders>
              <w:right w:val="single" w:sz="8" w:color="auto"/>
            </w:tcBorders>
          </w:tcPr>
          <w:p>
            <w:pPr>
              <w:jc w:val="center"/>
              <w:ind w:left="120"/>
              <w:spacing w:after="0" w:line="136" w:lineRule="exact"/>
              <w:rPr>
                <w:sz w:val="20"/>
                <w:szCs w:val="20"/>
                <w:color w:val="auto"/>
              </w:rPr>
            </w:pPr>
            <w:r>
              <w:rPr>
                <w:rFonts w:ascii="Arial" w:cs="Arial" w:eastAsia="Arial" w:hAnsi="Arial"/>
                <w:sz w:val="12"/>
                <w:szCs w:val="12"/>
                <w:color w:val="auto"/>
              </w:rPr>
              <w:t>189,963</w:t>
            </w:r>
          </w:p>
        </w:tc>
        <w:tc>
          <w:tcPr>
            <w:tcW w:w="11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3"/>
              </w:rPr>
              <w:t>11.4%</w:t>
            </w:r>
          </w:p>
        </w:tc>
      </w:tr>
      <w:tr>
        <w:trPr>
          <w:trHeight w:val="136"/>
        </w:trPr>
        <w:tc>
          <w:tcPr>
            <w:tcW w:w="39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Interest Expenses</w:t>
            </w:r>
          </w:p>
        </w:tc>
        <w:tc>
          <w:tcPr>
            <w:tcW w:w="760" w:type="dxa"/>
            <w:vAlign w:val="bottom"/>
          </w:tcPr>
          <w:p>
            <w:pPr>
              <w:jc w:val="center"/>
              <w:ind w:left="160"/>
              <w:spacing w:after="0" w:line="136" w:lineRule="exact"/>
              <w:rPr>
                <w:sz w:val="20"/>
                <w:szCs w:val="20"/>
                <w:color w:val="auto"/>
              </w:rPr>
            </w:pPr>
            <w:r>
              <w:rPr>
                <w:rFonts w:ascii="Arial" w:cs="Arial" w:eastAsia="Arial" w:hAnsi="Arial"/>
                <w:sz w:val="12"/>
                <w:szCs w:val="12"/>
                <w:color w:val="auto"/>
                <w:w w:val="97"/>
              </w:rPr>
              <w:t>-108,711</w:t>
            </w:r>
          </w:p>
        </w:tc>
        <w:tc>
          <w:tcPr>
            <w:tcW w:w="1240" w:type="dxa"/>
            <w:vAlign w:val="bottom"/>
            <w:tcBorders>
              <w:right w:val="single" w:sz="8" w:color="auto"/>
            </w:tcBorders>
          </w:tcPr>
          <w:p>
            <w:pPr>
              <w:jc w:val="center"/>
              <w:ind w:left="140"/>
              <w:spacing w:after="0" w:line="136" w:lineRule="exact"/>
              <w:rPr>
                <w:sz w:val="20"/>
                <w:szCs w:val="20"/>
                <w:color w:val="auto"/>
              </w:rPr>
            </w:pPr>
            <w:r>
              <w:rPr>
                <w:rFonts w:ascii="Arial" w:cs="Arial" w:eastAsia="Arial" w:hAnsi="Arial"/>
                <w:sz w:val="12"/>
                <w:szCs w:val="12"/>
                <w:color w:val="auto"/>
              </w:rPr>
              <w:t>-102,453</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-5.8%</w:t>
            </w:r>
          </w:p>
        </w:tc>
        <w:tc>
          <w:tcPr>
            <w:tcW w:w="800" w:type="dxa"/>
            <w:vAlign w:val="bottom"/>
          </w:tcPr>
          <w:p>
            <w:pPr>
              <w:jc w:val="center"/>
              <w:ind w:left="140"/>
              <w:spacing w:after="0" w:line="136" w:lineRule="exact"/>
              <w:rPr>
                <w:sz w:val="20"/>
                <w:szCs w:val="20"/>
                <w:color w:val="auto"/>
              </w:rPr>
            </w:pPr>
            <w:r>
              <w:rPr>
                <w:rFonts w:ascii="Arial" w:cs="Arial" w:eastAsia="Arial" w:hAnsi="Arial"/>
                <w:sz w:val="12"/>
                <w:szCs w:val="12"/>
                <w:color w:val="auto"/>
              </w:rPr>
              <w:t>-108,711</w:t>
            </w:r>
          </w:p>
        </w:tc>
        <w:tc>
          <w:tcPr>
            <w:tcW w:w="1220" w:type="dxa"/>
            <w:vAlign w:val="bottom"/>
            <w:tcBorders>
              <w:right w:val="single" w:sz="8" w:color="auto"/>
            </w:tcBorders>
          </w:tcPr>
          <w:p>
            <w:pPr>
              <w:jc w:val="center"/>
              <w:ind w:left="120"/>
              <w:spacing w:after="0" w:line="136" w:lineRule="exact"/>
              <w:rPr>
                <w:sz w:val="20"/>
                <w:szCs w:val="20"/>
                <w:color w:val="auto"/>
              </w:rPr>
            </w:pPr>
            <w:r>
              <w:rPr>
                <w:rFonts w:ascii="Arial" w:cs="Arial" w:eastAsia="Arial" w:hAnsi="Arial"/>
                <w:sz w:val="12"/>
                <w:szCs w:val="12"/>
                <w:color w:val="auto"/>
              </w:rPr>
              <w:t>-102,453</w:t>
            </w:r>
          </w:p>
        </w:tc>
        <w:tc>
          <w:tcPr>
            <w:tcW w:w="11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-5.8%</w:t>
            </w:r>
          </w:p>
        </w:tc>
      </w:tr>
      <w:tr>
        <w:trPr>
          <w:trHeight w:val="136"/>
        </w:trPr>
        <w:tc>
          <w:tcPr>
            <w:tcW w:w="39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b w:val="1"/>
                <w:bCs w:val="1"/>
                <w:color w:val="auto"/>
              </w:rPr>
              <w:t>Net Interest Income</w:t>
            </w:r>
          </w:p>
        </w:tc>
        <w:tc>
          <w:tcPr>
            <w:tcW w:w="760" w:type="dxa"/>
            <w:vAlign w:val="bottom"/>
          </w:tcPr>
          <w:p>
            <w:pPr>
              <w:jc w:val="center"/>
              <w:ind w:left="160"/>
              <w:spacing w:after="0" w:line="136" w:lineRule="exact"/>
              <w:rPr>
                <w:sz w:val="20"/>
                <w:szCs w:val="20"/>
                <w:color w:val="auto"/>
              </w:rPr>
            </w:pPr>
            <w:r>
              <w:rPr>
                <w:rFonts w:ascii="Arial" w:cs="Arial" w:eastAsia="Arial" w:hAnsi="Arial"/>
                <w:sz w:val="12"/>
                <w:szCs w:val="12"/>
                <w:b w:val="1"/>
                <w:bCs w:val="1"/>
                <w:color w:val="auto"/>
              </w:rPr>
              <w:t>61,860</w:t>
            </w:r>
          </w:p>
        </w:tc>
        <w:tc>
          <w:tcPr>
            <w:tcW w:w="1240" w:type="dxa"/>
            <w:vAlign w:val="bottom"/>
            <w:tcBorders>
              <w:right w:val="single" w:sz="8" w:color="auto"/>
            </w:tcBorders>
          </w:tcPr>
          <w:p>
            <w:pPr>
              <w:jc w:val="center"/>
              <w:ind w:left="160"/>
              <w:spacing w:after="0" w:line="136" w:lineRule="exact"/>
              <w:rPr>
                <w:sz w:val="20"/>
                <w:szCs w:val="20"/>
                <w:color w:val="auto"/>
              </w:rPr>
            </w:pPr>
            <w:r>
              <w:rPr>
                <w:rFonts w:ascii="Arial" w:cs="Arial" w:eastAsia="Arial" w:hAnsi="Arial"/>
                <w:sz w:val="12"/>
                <w:szCs w:val="12"/>
                <w:b w:val="1"/>
                <w:bCs w:val="1"/>
                <w:color w:val="auto"/>
              </w:rPr>
              <w:t>87,510</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rPr>
              <w:t>41.5%</w:t>
            </w:r>
          </w:p>
        </w:tc>
        <w:tc>
          <w:tcPr>
            <w:tcW w:w="800" w:type="dxa"/>
            <w:vAlign w:val="bottom"/>
          </w:tcPr>
          <w:p>
            <w:pPr>
              <w:jc w:val="center"/>
              <w:ind w:left="140"/>
              <w:spacing w:after="0" w:line="136" w:lineRule="exact"/>
              <w:rPr>
                <w:sz w:val="20"/>
                <w:szCs w:val="20"/>
                <w:color w:val="auto"/>
              </w:rPr>
            </w:pPr>
            <w:r>
              <w:rPr>
                <w:rFonts w:ascii="Arial" w:cs="Arial" w:eastAsia="Arial" w:hAnsi="Arial"/>
                <w:sz w:val="12"/>
                <w:szCs w:val="12"/>
                <w:b w:val="1"/>
                <w:bCs w:val="1"/>
                <w:color w:val="auto"/>
                <w:w w:val="97"/>
              </w:rPr>
              <w:t>61,860</w:t>
            </w:r>
          </w:p>
        </w:tc>
        <w:tc>
          <w:tcPr>
            <w:tcW w:w="1220" w:type="dxa"/>
            <w:vAlign w:val="bottom"/>
            <w:tcBorders>
              <w:right w:val="single" w:sz="8" w:color="auto"/>
            </w:tcBorders>
          </w:tcPr>
          <w:p>
            <w:pPr>
              <w:jc w:val="center"/>
              <w:ind w:left="100"/>
              <w:spacing w:after="0" w:line="136" w:lineRule="exact"/>
              <w:rPr>
                <w:sz w:val="20"/>
                <w:szCs w:val="20"/>
                <w:color w:val="auto"/>
              </w:rPr>
            </w:pPr>
            <w:r>
              <w:rPr>
                <w:rFonts w:ascii="Arial" w:cs="Arial" w:eastAsia="Arial" w:hAnsi="Arial"/>
                <w:sz w:val="12"/>
                <w:szCs w:val="12"/>
                <w:b w:val="1"/>
                <w:bCs w:val="1"/>
                <w:color w:val="auto"/>
              </w:rPr>
              <w:t>87,510</w:t>
            </w:r>
          </w:p>
        </w:tc>
        <w:tc>
          <w:tcPr>
            <w:tcW w:w="11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9"/>
              </w:rPr>
              <w:t>41.5%</w:t>
            </w:r>
          </w:p>
        </w:tc>
      </w:tr>
      <w:tr>
        <w:trPr>
          <w:trHeight w:val="159"/>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Fee Income and Gain in FX</w:t>
            </w:r>
          </w:p>
        </w:tc>
        <w:tc>
          <w:tcPr>
            <w:tcW w:w="760" w:type="dxa"/>
            <w:vAlign w:val="bottom"/>
          </w:tcPr>
          <w:p>
            <w:pPr>
              <w:jc w:val="center"/>
              <w:ind w:left="160"/>
              <w:spacing w:after="0"/>
              <w:rPr>
                <w:sz w:val="20"/>
                <w:szCs w:val="20"/>
                <w:color w:val="auto"/>
              </w:rPr>
            </w:pPr>
            <w:r>
              <w:rPr>
                <w:rFonts w:ascii="Arial" w:cs="Arial" w:eastAsia="Arial" w:hAnsi="Arial"/>
                <w:sz w:val="12"/>
                <w:szCs w:val="12"/>
                <w:color w:val="auto"/>
                <w:w w:val="99"/>
              </w:rPr>
              <w:t>-2,863</w:t>
            </w:r>
          </w:p>
        </w:tc>
        <w:tc>
          <w:tcPr>
            <w:tcW w:w="1240" w:type="dxa"/>
            <w:vAlign w:val="bottom"/>
            <w:tcBorders>
              <w:right w:val="single" w:sz="8" w:color="auto"/>
            </w:tcBorders>
          </w:tcPr>
          <w:p>
            <w:pPr>
              <w:jc w:val="center"/>
              <w:ind w:left="160"/>
              <w:spacing w:after="0"/>
              <w:rPr>
                <w:sz w:val="20"/>
                <w:szCs w:val="20"/>
                <w:color w:val="auto"/>
              </w:rPr>
            </w:pPr>
            <w:r>
              <w:rPr>
                <w:rFonts w:ascii="Arial" w:cs="Arial" w:eastAsia="Arial" w:hAnsi="Arial"/>
                <w:sz w:val="12"/>
                <w:szCs w:val="12"/>
                <w:color w:val="auto"/>
                <w:w w:val="99"/>
              </w:rPr>
              <w:t>-3,184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11.2%</w:t>
            </w:r>
          </w:p>
        </w:tc>
        <w:tc>
          <w:tcPr>
            <w:tcW w:w="800" w:type="dxa"/>
            <w:vAlign w:val="bottom"/>
          </w:tcPr>
          <w:p>
            <w:pPr>
              <w:jc w:val="center"/>
              <w:ind w:left="120"/>
              <w:spacing w:after="0"/>
              <w:rPr>
                <w:sz w:val="20"/>
                <w:szCs w:val="20"/>
                <w:color w:val="auto"/>
              </w:rPr>
            </w:pPr>
            <w:r>
              <w:rPr>
                <w:rFonts w:ascii="Arial" w:cs="Arial" w:eastAsia="Arial" w:hAnsi="Arial"/>
                <w:sz w:val="12"/>
                <w:szCs w:val="12"/>
                <w:color w:val="auto"/>
                <w:w w:val="99"/>
              </w:rPr>
              <w:t>-2,863</w:t>
            </w:r>
          </w:p>
        </w:tc>
        <w:tc>
          <w:tcPr>
            <w:tcW w:w="1220" w:type="dxa"/>
            <w:vAlign w:val="bottom"/>
            <w:tcBorders>
              <w:right w:val="single" w:sz="8" w:color="auto"/>
            </w:tcBorders>
          </w:tcPr>
          <w:p>
            <w:pPr>
              <w:jc w:val="center"/>
              <w:ind w:left="100"/>
              <w:spacing w:after="0"/>
              <w:rPr>
                <w:sz w:val="20"/>
                <w:szCs w:val="20"/>
                <w:color w:val="auto"/>
              </w:rPr>
            </w:pPr>
            <w:r>
              <w:rPr>
                <w:rFonts w:ascii="Arial" w:cs="Arial" w:eastAsia="Arial" w:hAnsi="Arial"/>
                <w:sz w:val="12"/>
                <w:szCs w:val="12"/>
                <w:color w:val="auto"/>
                <w:w w:val="99"/>
              </w:rPr>
              <w:t>-3,184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11.2%</w:t>
            </w:r>
          </w:p>
        </w:tc>
      </w:tr>
      <w:tr>
        <w:trPr>
          <w:trHeight w:val="136"/>
        </w:trPr>
        <w:tc>
          <w:tcPr>
            <w:tcW w:w="39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Other Income No Core:</w:t>
            </w:r>
          </w:p>
        </w:tc>
        <w:tc>
          <w:tcPr>
            <w:tcW w:w="76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Pr>
          <w:p>
            <w:pPr>
              <w:jc w:val="center"/>
              <w:ind w:left="140"/>
              <w:spacing w:after="0" w:line="136" w:lineRule="exact"/>
              <w:rPr>
                <w:sz w:val="20"/>
                <w:szCs w:val="20"/>
                <w:color w:val="auto"/>
              </w:rPr>
            </w:pPr>
            <w:r>
              <w:rPr>
                <w:rFonts w:ascii="Arial" w:cs="Arial" w:eastAsia="Arial" w:hAnsi="Arial"/>
                <w:sz w:val="12"/>
                <w:szCs w:val="12"/>
                <w:color w:val="auto"/>
                <w:w w:val="98"/>
              </w:rPr>
              <w:t>-</w:t>
            </w:r>
          </w:p>
        </w:tc>
        <w:tc>
          <w:tcPr>
            <w:tcW w:w="12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136"/>
        </w:trPr>
        <w:tc>
          <w:tcPr>
            <w:tcW w:w="3960" w:type="dxa"/>
            <w:vAlign w:val="bottom"/>
            <w:tcBorders>
              <w:left w:val="single" w:sz="8" w:color="auto"/>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Net gain (loss) from exchange differences</w:t>
            </w:r>
          </w:p>
        </w:tc>
        <w:tc>
          <w:tcPr>
            <w:tcW w:w="760" w:type="dxa"/>
            <w:vAlign w:val="bottom"/>
          </w:tcPr>
          <w:p>
            <w:pPr>
              <w:jc w:val="center"/>
              <w:ind w:left="160"/>
              <w:spacing w:after="0" w:line="136" w:lineRule="exact"/>
              <w:rPr>
                <w:sz w:val="20"/>
                <w:szCs w:val="20"/>
                <w:color w:val="auto"/>
              </w:rPr>
            </w:pPr>
            <w:r>
              <w:rPr>
                <w:rFonts w:ascii="Arial" w:cs="Arial" w:eastAsia="Arial" w:hAnsi="Arial"/>
                <w:sz w:val="12"/>
                <w:szCs w:val="12"/>
                <w:color w:val="auto"/>
                <w:w w:val="99"/>
              </w:rPr>
              <w:t>3,360</w:t>
            </w:r>
          </w:p>
        </w:tc>
        <w:tc>
          <w:tcPr>
            <w:tcW w:w="1240" w:type="dxa"/>
            <w:vAlign w:val="bottom"/>
            <w:tcBorders>
              <w:right w:val="single" w:sz="8" w:color="auto"/>
            </w:tcBorders>
          </w:tcPr>
          <w:p>
            <w:pPr>
              <w:jc w:val="center"/>
              <w:ind w:left="160"/>
              <w:spacing w:after="0" w:line="136" w:lineRule="exact"/>
              <w:rPr>
                <w:sz w:val="20"/>
                <w:szCs w:val="20"/>
                <w:color w:val="auto"/>
              </w:rPr>
            </w:pPr>
            <w:r>
              <w:rPr>
                <w:rFonts w:ascii="Arial" w:cs="Arial" w:eastAsia="Arial" w:hAnsi="Arial"/>
                <w:sz w:val="12"/>
                <w:szCs w:val="12"/>
                <w:color w:val="auto"/>
                <w:w w:val="99"/>
              </w:rPr>
              <w:t>-1,343</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8"/>
              </w:rPr>
              <w:t>-140.0%</w:t>
            </w:r>
          </w:p>
        </w:tc>
        <w:tc>
          <w:tcPr>
            <w:tcW w:w="800" w:type="dxa"/>
            <w:vAlign w:val="bottom"/>
          </w:tcPr>
          <w:p>
            <w:pPr>
              <w:jc w:val="center"/>
              <w:ind w:left="120"/>
              <w:spacing w:after="0" w:line="136" w:lineRule="exact"/>
              <w:rPr>
                <w:sz w:val="20"/>
                <w:szCs w:val="20"/>
                <w:color w:val="auto"/>
              </w:rPr>
            </w:pPr>
            <w:r>
              <w:rPr>
                <w:rFonts w:ascii="Arial" w:cs="Arial" w:eastAsia="Arial" w:hAnsi="Arial"/>
                <w:sz w:val="12"/>
                <w:szCs w:val="12"/>
                <w:color w:val="auto"/>
                <w:w w:val="99"/>
              </w:rPr>
              <w:t>3,360</w:t>
            </w:r>
          </w:p>
        </w:tc>
        <w:tc>
          <w:tcPr>
            <w:tcW w:w="1220" w:type="dxa"/>
            <w:vAlign w:val="bottom"/>
            <w:tcBorders>
              <w:right w:val="single" w:sz="8" w:color="auto"/>
            </w:tcBorders>
          </w:tcPr>
          <w:p>
            <w:pPr>
              <w:jc w:val="center"/>
              <w:ind w:left="100"/>
              <w:spacing w:after="0" w:line="136" w:lineRule="exact"/>
              <w:rPr>
                <w:sz w:val="20"/>
                <w:szCs w:val="20"/>
                <w:color w:val="auto"/>
              </w:rPr>
            </w:pPr>
            <w:r>
              <w:rPr>
                <w:rFonts w:ascii="Arial" w:cs="Arial" w:eastAsia="Arial" w:hAnsi="Arial"/>
                <w:sz w:val="12"/>
                <w:szCs w:val="12"/>
                <w:color w:val="auto"/>
                <w:w w:val="99"/>
              </w:rPr>
              <w:t>-1,343</w:t>
            </w:r>
          </w:p>
        </w:tc>
        <w:tc>
          <w:tcPr>
            <w:tcW w:w="11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8"/>
              </w:rPr>
              <w:t>-140.0%</w:t>
            </w:r>
          </w:p>
        </w:tc>
      </w:tr>
      <w:tr>
        <w:trPr>
          <w:trHeight w:val="136"/>
        </w:trPr>
        <w:tc>
          <w:tcPr>
            <w:tcW w:w="3960" w:type="dxa"/>
            <w:vAlign w:val="bottom"/>
            <w:tcBorders>
              <w:left w:val="single" w:sz="8" w:color="auto"/>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Net loss on securities and associates</w:t>
            </w:r>
          </w:p>
        </w:tc>
        <w:tc>
          <w:tcPr>
            <w:tcW w:w="760" w:type="dxa"/>
            <w:vAlign w:val="bottom"/>
          </w:tcPr>
          <w:p>
            <w:pPr>
              <w:jc w:val="center"/>
              <w:ind w:left="160"/>
              <w:spacing w:after="0" w:line="136" w:lineRule="exact"/>
              <w:rPr>
                <w:sz w:val="20"/>
                <w:szCs w:val="20"/>
                <w:color w:val="auto"/>
              </w:rPr>
            </w:pPr>
            <w:r>
              <w:rPr>
                <w:rFonts w:ascii="Arial" w:cs="Arial" w:eastAsia="Arial" w:hAnsi="Arial"/>
                <w:sz w:val="12"/>
                <w:szCs w:val="12"/>
                <w:color w:val="auto"/>
              </w:rPr>
              <w:t>-10,387</w:t>
            </w:r>
          </w:p>
        </w:tc>
        <w:tc>
          <w:tcPr>
            <w:tcW w:w="1240" w:type="dxa"/>
            <w:vAlign w:val="bottom"/>
            <w:tcBorders>
              <w:right w:val="single" w:sz="8" w:color="auto"/>
            </w:tcBorders>
          </w:tcPr>
          <w:p>
            <w:pPr>
              <w:jc w:val="center"/>
              <w:ind w:left="160"/>
              <w:spacing w:after="0" w:line="136" w:lineRule="exact"/>
              <w:rPr>
                <w:sz w:val="20"/>
                <w:szCs w:val="20"/>
                <w:color w:val="auto"/>
              </w:rPr>
            </w:pPr>
            <w:r>
              <w:rPr>
                <w:rFonts w:ascii="Arial" w:cs="Arial" w:eastAsia="Arial" w:hAnsi="Arial"/>
                <w:sz w:val="12"/>
                <w:szCs w:val="12"/>
                <w:color w:val="auto"/>
              </w:rPr>
              <w:t>30,090</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8"/>
              </w:rPr>
              <w:t>-389.7%</w:t>
            </w:r>
          </w:p>
        </w:tc>
        <w:tc>
          <w:tcPr>
            <w:tcW w:w="800" w:type="dxa"/>
            <w:vAlign w:val="bottom"/>
          </w:tcPr>
          <w:p>
            <w:pPr>
              <w:jc w:val="center"/>
              <w:ind w:left="140"/>
              <w:spacing w:after="0" w:line="136" w:lineRule="exact"/>
              <w:rPr>
                <w:sz w:val="20"/>
                <w:szCs w:val="20"/>
                <w:color w:val="auto"/>
              </w:rPr>
            </w:pPr>
            <w:r>
              <w:rPr>
                <w:rFonts w:ascii="Arial" w:cs="Arial" w:eastAsia="Arial" w:hAnsi="Arial"/>
                <w:sz w:val="12"/>
                <w:szCs w:val="12"/>
                <w:color w:val="auto"/>
                <w:w w:val="98"/>
              </w:rPr>
              <w:t>-10,387</w:t>
            </w:r>
          </w:p>
        </w:tc>
        <w:tc>
          <w:tcPr>
            <w:tcW w:w="1220" w:type="dxa"/>
            <w:vAlign w:val="bottom"/>
            <w:tcBorders>
              <w:right w:val="single" w:sz="8" w:color="auto"/>
            </w:tcBorders>
          </w:tcPr>
          <w:p>
            <w:pPr>
              <w:jc w:val="center"/>
              <w:ind w:left="100"/>
              <w:spacing w:after="0" w:line="136" w:lineRule="exact"/>
              <w:rPr>
                <w:sz w:val="20"/>
                <w:szCs w:val="20"/>
                <w:color w:val="auto"/>
              </w:rPr>
            </w:pPr>
            <w:r>
              <w:rPr>
                <w:rFonts w:ascii="Arial" w:cs="Arial" w:eastAsia="Arial" w:hAnsi="Arial"/>
                <w:sz w:val="12"/>
                <w:szCs w:val="12"/>
                <w:color w:val="auto"/>
              </w:rPr>
              <w:t>30,090</w:t>
            </w:r>
          </w:p>
        </w:tc>
        <w:tc>
          <w:tcPr>
            <w:tcW w:w="11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8"/>
              </w:rPr>
              <w:t>-389.7%</w:t>
            </w:r>
          </w:p>
        </w:tc>
      </w:tr>
      <w:tr>
        <w:trPr>
          <w:trHeight w:val="136"/>
        </w:trPr>
        <w:tc>
          <w:tcPr>
            <w:tcW w:w="3960" w:type="dxa"/>
            <w:vAlign w:val="bottom"/>
            <w:tcBorders>
              <w:left w:val="single" w:sz="8" w:color="auto"/>
              <w:right w:val="single" w:sz="8" w:color="auto"/>
            </w:tcBorders>
          </w:tcPr>
          <w:p>
            <w:pPr>
              <w:ind w:left="160"/>
              <w:spacing w:after="0" w:line="136" w:lineRule="exact"/>
              <w:rPr>
                <w:sz w:val="20"/>
                <w:szCs w:val="20"/>
                <w:color w:val="auto"/>
              </w:rPr>
            </w:pPr>
            <w:r>
              <w:rPr>
                <w:rFonts w:ascii="Arial" w:cs="Arial" w:eastAsia="Arial" w:hAnsi="Arial"/>
                <w:sz w:val="12"/>
                <w:szCs w:val="12"/>
                <w:color w:val="auto"/>
              </w:rPr>
              <w:t>Other Income not operational</w:t>
            </w:r>
          </w:p>
        </w:tc>
        <w:tc>
          <w:tcPr>
            <w:tcW w:w="760" w:type="dxa"/>
            <w:vAlign w:val="bottom"/>
          </w:tcPr>
          <w:p>
            <w:pPr>
              <w:jc w:val="center"/>
              <w:ind w:left="180"/>
              <w:spacing w:after="0" w:line="136" w:lineRule="exact"/>
              <w:rPr>
                <w:sz w:val="20"/>
                <w:szCs w:val="20"/>
                <w:color w:val="auto"/>
              </w:rPr>
            </w:pPr>
            <w:r>
              <w:rPr>
                <w:rFonts w:ascii="Arial" w:cs="Arial" w:eastAsia="Arial" w:hAnsi="Arial"/>
                <w:sz w:val="12"/>
                <w:szCs w:val="12"/>
                <w:color w:val="auto"/>
                <w:w w:val="97"/>
              </w:rPr>
              <w:t>11,313</w:t>
            </w:r>
          </w:p>
        </w:tc>
        <w:tc>
          <w:tcPr>
            <w:tcW w:w="1240" w:type="dxa"/>
            <w:vAlign w:val="bottom"/>
            <w:tcBorders>
              <w:right w:val="single" w:sz="8" w:color="auto"/>
            </w:tcBorders>
          </w:tcPr>
          <w:p>
            <w:pPr>
              <w:jc w:val="center"/>
              <w:ind w:left="160"/>
              <w:spacing w:after="0" w:line="136" w:lineRule="exact"/>
              <w:rPr>
                <w:sz w:val="20"/>
                <w:szCs w:val="20"/>
                <w:color w:val="auto"/>
              </w:rPr>
            </w:pPr>
            <w:r>
              <w:rPr>
                <w:rFonts w:ascii="Arial" w:cs="Arial" w:eastAsia="Arial" w:hAnsi="Arial"/>
                <w:sz w:val="12"/>
                <w:szCs w:val="12"/>
                <w:color w:val="auto"/>
              </w:rPr>
              <w:t>12,501</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10.5%</w:t>
            </w:r>
          </w:p>
        </w:tc>
        <w:tc>
          <w:tcPr>
            <w:tcW w:w="800" w:type="dxa"/>
            <w:vAlign w:val="bottom"/>
          </w:tcPr>
          <w:p>
            <w:pPr>
              <w:jc w:val="center"/>
              <w:ind w:left="140"/>
              <w:spacing w:after="0" w:line="136" w:lineRule="exact"/>
              <w:rPr>
                <w:sz w:val="20"/>
                <w:szCs w:val="20"/>
                <w:color w:val="auto"/>
              </w:rPr>
            </w:pPr>
            <w:r>
              <w:rPr>
                <w:rFonts w:ascii="Arial" w:cs="Arial" w:eastAsia="Arial" w:hAnsi="Arial"/>
                <w:sz w:val="12"/>
                <w:szCs w:val="12"/>
                <w:color w:val="auto"/>
                <w:w w:val="97"/>
              </w:rPr>
              <w:t>11,313</w:t>
            </w:r>
          </w:p>
        </w:tc>
        <w:tc>
          <w:tcPr>
            <w:tcW w:w="1220" w:type="dxa"/>
            <w:vAlign w:val="bottom"/>
            <w:tcBorders>
              <w:right w:val="single" w:sz="8" w:color="auto"/>
            </w:tcBorders>
          </w:tcPr>
          <w:p>
            <w:pPr>
              <w:jc w:val="center"/>
              <w:ind w:left="100"/>
              <w:spacing w:after="0" w:line="136" w:lineRule="exact"/>
              <w:rPr>
                <w:sz w:val="20"/>
                <w:szCs w:val="20"/>
                <w:color w:val="auto"/>
              </w:rPr>
            </w:pPr>
            <w:r>
              <w:rPr>
                <w:rFonts w:ascii="Arial" w:cs="Arial" w:eastAsia="Arial" w:hAnsi="Arial"/>
                <w:sz w:val="12"/>
                <w:szCs w:val="12"/>
                <w:color w:val="auto"/>
              </w:rPr>
              <w:t>12,501</w:t>
            </w:r>
          </w:p>
        </w:tc>
        <w:tc>
          <w:tcPr>
            <w:tcW w:w="11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10.5%</w:t>
            </w:r>
          </w:p>
        </w:tc>
      </w:tr>
      <w:tr>
        <w:trPr>
          <w:trHeight w:val="136"/>
        </w:trPr>
        <w:tc>
          <w:tcPr>
            <w:tcW w:w="39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b w:val="1"/>
                <w:bCs w:val="1"/>
                <w:color w:val="auto"/>
              </w:rPr>
              <w:t>Other Income</w:t>
            </w:r>
          </w:p>
        </w:tc>
        <w:tc>
          <w:tcPr>
            <w:tcW w:w="760" w:type="dxa"/>
            <w:vAlign w:val="bottom"/>
          </w:tcPr>
          <w:p>
            <w:pPr>
              <w:jc w:val="center"/>
              <w:ind w:left="160"/>
              <w:spacing w:after="0" w:line="136" w:lineRule="exact"/>
              <w:rPr>
                <w:sz w:val="20"/>
                <w:szCs w:val="20"/>
                <w:color w:val="auto"/>
              </w:rPr>
            </w:pPr>
            <w:r>
              <w:rPr>
                <w:rFonts w:ascii="Arial" w:cs="Arial" w:eastAsia="Arial" w:hAnsi="Arial"/>
                <w:sz w:val="12"/>
                <w:szCs w:val="12"/>
                <w:b w:val="1"/>
                <w:bCs w:val="1"/>
                <w:color w:val="auto"/>
                <w:w w:val="99"/>
              </w:rPr>
              <w:t>1,423</w:t>
            </w:r>
          </w:p>
        </w:tc>
        <w:tc>
          <w:tcPr>
            <w:tcW w:w="1240" w:type="dxa"/>
            <w:vAlign w:val="bottom"/>
            <w:tcBorders>
              <w:right w:val="single" w:sz="8" w:color="auto"/>
            </w:tcBorders>
          </w:tcPr>
          <w:p>
            <w:pPr>
              <w:jc w:val="center"/>
              <w:ind w:left="160"/>
              <w:spacing w:after="0" w:line="136" w:lineRule="exact"/>
              <w:rPr>
                <w:sz w:val="20"/>
                <w:szCs w:val="20"/>
                <w:color w:val="auto"/>
              </w:rPr>
            </w:pPr>
            <w:r>
              <w:rPr>
                <w:rFonts w:ascii="Arial" w:cs="Arial" w:eastAsia="Arial" w:hAnsi="Arial"/>
                <w:sz w:val="12"/>
                <w:szCs w:val="12"/>
                <w:b w:val="1"/>
                <w:bCs w:val="1"/>
                <w:color w:val="auto"/>
              </w:rPr>
              <w:t>38,064</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6"/>
              </w:rPr>
              <w:t>N/A</w:t>
            </w:r>
          </w:p>
        </w:tc>
        <w:tc>
          <w:tcPr>
            <w:tcW w:w="80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w w:val="99"/>
              </w:rPr>
              <w:t>1,423</w:t>
            </w:r>
          </w:p>
        </w:tc>
        <w:tc>
          <w:tcPr>
            <w:tcW w:w="1220" w:type="dxa"/>
            <w:vAlign w:val="bottom"/>
            <w:tcBorders>
              <w:right w:val="single" w:sz="8" w:color="auto"/>
            </w:tcBorders>
          </w:tcPr>
          <w:p>
            <w:pPr>
              <w:jc w:val="center"/>
              <w:ind w:left="100"/>
              <w:spacing w:after="0" w:line="136" w:lineRule="exact"/>
              <w:rPr>
                <w:sz w:val="20"/>
                <w:szCs w:val="20"/>
                <w:color w:val="auto"/>
              </w:rPr>
            </w:pPr>
            <w:r>
              <w:rPr>
                <w:rFonts w:ascii="Arial" w:cs="Arial" w:eastAsia="Arial" w:hAnsi="Arial"/>
                <w:sz w:val="12"/>
                <w:szCs w:val="12"/>
                <w:b w:val="1"/>
                <w:bCs w:val="1"/>
                <w:color w:val="auto"/>
              </w:rPr>
              <w:t>38,064</w:t>
            </w:r>
          </w:p>
        </w:tc>
        <w:tc>
          <w:tcPr>
            <w:tcW w:w="11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6"/>
              </w:rPr>
              <w:t>N/A</w:t>
            </w:r>
          </w:p>
        </w:tc>
      </w:tr>
      <w:tr>
        <w:trPr>
          <w:trHeight w:val="136"/>
        </w:trPr>
        <w:tc>
          <w:tcPr>
            <w:tcW w:w="39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Operating expenses</w:t>
            </w:r>
          </w:p>
        </w:tc>
        <w:tc>
          <w:tcPr>
            <w:tcW w:w="760" w:type="dxa"/>
            <w:vAlign w:val="bottom"/>
          </w:tcPr>
          <w:p>
            <w:pPr>
              <w:jc w:val="center"/>
              <w:ind w:left="160"/>
              <w:spacing w:after="0" w:line="136" w:lineRule="exact"/>
              <w:rPr>
                <w:sz w:val="20"/>
                <w:szCs w:val="20"/>
                <w:color w:val="auto"/>
              </w:rPr>
            </w:pPr>
            <w:r>
              <w:rPr>
                <w:rFonts w:ascii="Arial" w:cs="Arial" w:eastAsia="Arial" w:hAnsi="Arial"/>
                <w:sz w:val="12"/>
                <w:szCs w:val="12"/>
                <w:color w:val="auto"/>
              </w:rPr>
              <w:t>-58,769</w:t>
            </w:r>
          </w:p>
        </w:tc>
        <w:tc>
          <w:tcPr>
            <w:tcW w:w="1240" w:type="dxa"/>
            <w:vAlign w:val="bottom"/>
            <w:tcBorders>
              <w:right w:val="single" w:sz="8" w:color="auto"/>
            </w:tcBorders>
          </w:tcPr>
          <w:p>
            <w:pPr>
              <w:jc w:val="center"/>
              <w:ind w:left="160"/>
              <w:spacing w:after="0" w:line="136" w:lineRule="exact"/>
              <w:rPr>
                <w:sz w:val="20"/>
                <w:szCs w:val="20"/>
                <w:color w:val="auto"/>
              </w:rPr>
            </w:pPr>
            <w:r>
              <w:rPr>
                <w:rFonts w:ascii="Arial" w:cs="Arial" w:eastAsia="Arial" w:hAnsi="Arial"/>
                <w:sz w:val="12"/>
                <w:szCs w:val="12"/>
                <w:color w:val="auto"/>
              </w:rPr>
              <w:t>-64,268</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9.4%</w:t>
            </w:r>
          </w:p>
        </w:tc>
        <w:tc>
          <w:tcPr>
            <w:tcW w:w="800" w:type="dxa"/>
            <w:vAlign w:val="bottom"/>
          </w:tcPr>
          <w:p>
            <w:pPr>
              <w:jc w:val="center"/>
              <w:ind w:left="140"/>
              <w:spacing w:after="0" w:line="136" w:lineRule="exact"/>
              <w:rPr>
                <w:sz w:val="20"/>
                <w:szCs w:val="20"/>
                <w:color w:val="auto"/>
              </w:rPr>
            </w:pPr>
            <w:r>
              <w:rPr>
                <w:rFonts w:ascii="Arial" w:cs="Arial" w:eastAsia="Arial" w:hAnsi="Arial"/>
                <w:sz w:val="12"/>
                <w:szCs w:val="12"/>
                <w:color w:val="auto"/>
                <w:w w:val="98"/>
              </w:rPr>
              <w:t>-58,769</w:t>
            </w:r>
          </w:p>
        </w:tc>
        <w:tc>
          <w:tcPr>
            <w:tcW w:w="1220" w:type="dxa"/>
            <w:vAlign w:val="bottom"/>
            <w:tcBorders>
              <w:right w:val="single" w:sz="8" w:color="auto"/>
            </w:tcBorders>
          </w:tcPr>
          <w:p>
            <w:pPr>
              <w:jc w:val="center"/>
              <w:ind w:left="100"/>
              <w:spacing w:after="0" w:line="136" w:lineRule="exact"/>
              <w:rPr>
                <w:sz w:val="20"/>
                <w:szCs w:val="20"/>
                <w:color w:val="auto"/>
              </w:rPr>
            </w:pPr>
            <w:r>
              <w:rPr>
                <w:rFonts w:ascii="Arial" w:cs="Arial" w:eastAsia="Arial" w:hAnsi="Arial"/>
                <w:sz w:val="12"/>
                <w:szCs w:val="12"/>
                <w:color w:val="auto"/>
              </w:rPr>
              <w:t>-64,268</w:t>
            </w:r>
          </w:p>
        </w:tc>
        <w:tc>
          <w:tcPr>
            <w:tcW w:w="11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9.4%</w:t>
            </w:r>
          </w:p>
        </w:tc>
      </w:tr>
      <w:tr>
        <w:trPr>
          <w:trHeight w:val="136"/>
        </w:trPr>
        <w:tc>
          <w:tcPr>
            <w:tcW w:w="39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Other expenses</w:t>
            </w:r>
          </w:p>
        </w:tc>
        <w:tc>
          <w:tcPr>
            <w:tcW w:w="760" w:type="dxa"/>
            <w:vAlign w:val="bottom"/>
          </w:tcPr>
          <w:p>
            <w:pPr>
              <w:jc w:val="center"/>
              <w:ind w:left="180"/>
              <w:spacing w:after="0" w:line="136" w:lineRule="exact"/>
              <w:rPr>
                <w:sz w:val="20"/>
                <w:szCs w:val="20"/>
                <w:color w:val="auto"/>
              </w:rPr>
            </w:pPr>
            <w:r>
              <w:rPr>
                <w:rFonts w:ascii="Arial" w:cs="Arial" w:eastAsia="Arial" w:hAnsi="Arial"/>
                <w:sz w:val="12"/>
                <w:szCs w:val="12"/>
                <w:color w:val="auto"/>
                <w:w w:val="99"/>
              </w:rPr>
              <w:t>-984</w:t>
            </w:r>
          </w:p>
        </w:tc>
        <w:tc>
          <w:tcPr>
            <w:tcW w:w="1240" w:type="dxa"/>
            <w:vAlign w:val="bottom"/>
            <w:tcBorders>
              <w:right w:val="single" w:sz="8" w:color="auto"/>
            </w:tcBorders>
          </w:tcPr>
          <w:p>
            <w:pPr>
              <w:jc w:val="center"/>
              <w:ind w:left="140"/>
              <w:spacing w:after="0" w:line="136" w:lineRule="exact"/>
              <w:rPr>
                <w:sz w:val="20"/>
                <w:szCs w:val="20"/>
                <w:color w:val="auto"/>
              </w:rPr>
            </w:pPr>
            <w:r>
              <w:rPr>
                <w:rFonts w:ascii="Arial" w:cs="Arial" w:eastAsia="Arial" w:hAnsi="Arial"/>
                <w:sz w:val="12"/>
                <w:szCs w:val="12"/>
                <w:color w:val="auto"/>
                <w:w w:val="99"/>
              </w:rPr>
              <w:t>654</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8"/>
              </w:rPr>
              <w:t>-166.5%</w:t>
            </w:r>
          </w:p>
        </w:tc>
        <w:tc>
          <w:tcPr>
            <w:tcW w:w="800" w:type="dxa"/>
            <w:vAlign w:val="bottom"/>
          </w:tcPr>
          <w:p>
            <w:pPr>
              <w:jc w:val="center"/>
              <w:ind w:left="140"/>
              <w:spacing w:after="0" w:line="136" w:lineRule="exact"/>
              <w:rPr>
                <w:sz w:val="20"/>
                <w:szCs w:val="20"/>
                <w:color w:val="auto"/>
              </w:rPr>
            </w:pPr>
            <w:r>
              <w:rPr>
                <w:rFonts w:ascii="Arial" w:cs="Arial" w:eastAsia="Arial" w:hAnsi="Arial"/>
                <w:sz w:val="12"/>
                <w:szCs w:val="12"/>
                <w:color w:val="auto"/>
                <w:w w:val="99"/>
              </w:rPr>
              <w:t>-984</w:t>
            </w:r>
          </w:p>
        </w:tc>
        <w:tc>
          <w:tcPr>
            <w:tcW w:w="1220" w:type="dxa"/>
            <w:vAlign w:val="bottom"/>
            <w:tcBorders>
              <w:right w:val="single" w:sz="8" w:color="auto"/>
            </w:tcBorders>
          </w:tcPr>
          <w:p>
            <w:pPr>
              <w:jc w:val="center"/>
              <w:ind w:left="120"/>
              <w:spacing w:after="0" w:line="136" w:lineRule="exact"/>
              <w:rPr>
                <w:sz w:val="20"/>
                <w:szCs w:val="20"/>
                <w:color w:val="auto"/>
              </w:rPr>
            </w:pPr>
            <w:r>
              <w:rPr>
                <w:rFonts w:ascii="Arial" w:cs="Arial" w:eastAsia="Arial" w:hAnsi="Arial"/>
                <w:sz w:val="12"/>
                <w:szCs w:val="12"/>
                <w:color w:val="auto"/>
                <w:w w:val="99"/>
              </w:rPr>
              <w:t>654</w:t>
            </w:r>
          </w:p>
        </w:tc>
        <w:tc>
          <w:tcPr>
            <w:tcW w:w="11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8"/>
              </w:rPr>
              <w:t>-166.5%</w:t>
            </w:r>
          </w:p>
        </w:tc>
      </w:tr>
      <w:tr>
        <w:trPr>
          <w:trHeight w:val="136"/>
        </w:trPr>
        <w:tc>
          <w:tcPr>
            <w:tcW w:w="39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b w:val="1"/>
                <w:bCs w:val="1"/>
                <w:color w:val="auto"/>
              </w:rPr>
              <w:t>Total Expenses</w:t>
            </w:r>
          </w:p>
        </w:tc>
        <w:tc>
          <w:tcPr>
            <w:tcW w:w="760" w:type="dxa"/>
            <w:vAlign w:val="bottom"/>
          </w:tcPr>
          <w:p>
            <w:pPr>
              <w:jc w:val="center"/>
              <w:ind w:left="160"/>
              <w:spacing w:after="0" w:line="136" w:lineRule="exact"/>
              <w:rPr>
                <w:sz w:val="20"/>
                <w:szCs w:val="20"/>
                <w:color w:val="auto"/>
              </w:rPr>
            </w:pPr>
            <w:r>
              <w:rPr>
                <w:rFonts w:ascii="Arial" w:cs="Arial" w:eastAsia="Arial" w:hAnsi="Arial"/>
                <w:sz w:val="12"/>
                <w:szCs w:val="12"/>
                <w:b w:val="1"/>
                <w:bCs w:val="1"/>
                <w:color w:val="auto"/>
              </w:rPr>
              <w:t>-59,753</w:t>
            </w:r>
          </w:p>
        </w:tc>
        <w:tc>
          <w:tcPr>
            <w:tcW w:w="1240" w:type="dxa"/>
            <w:vAlign w:val="bottom"/>
            <w:tcBorders>
              <w:right w:val="single" w:sz="8" w:color="auto"/>
            </w:tcBorders>
          </w:tcPr>
          <w:p>
            <w:pPr>
              <w:jc w:val="center"/>
              <w:ind w:left="160"/>
              <w:spacing w:after="0" w:line="136" w:lineRule="exact"/>
              <w:rPr>
                <w:sz w:val="20"/>
                <w:szCs w:val="20"/>
                <w:color w:val="auto"/>
              </w:rPr>
            </w:pPr>
            <w:r>
              <w:rPr>
                <w:rFonts w:ascii="Arial" w:cs="Arial" w:eastAsia="Arial" w:hAnsi="Arial"/>
                <w:sz w:val="12"/>
                <w:szCs w:val="12"/>
                <w:b w:val="1"/>
                <w:bCs w:val="1"/>
                <w:color w:val="auto"/>
              </w:rPr>
              <w:t>-63,614</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rPr>
              <w:t>6.5%</w:t>
            </w:r>
          </w:p>
        </w:tc>
        <w:tc>
          <w:tcPr>
            <w:tcW w:w="800" w:type="dxa"/>
            <w:vAlign w:val="bottom"/>
          </w:tcPr>
          <w:p>
            <w:pPr>
              <w:jc w:val="center"/>
              <w:ind w:left="140"/>
              <w:spacing w:after="0" w:line="136" w:lineRule="exact"/>
              <w:rPr>
                <w:sz w:val="20"/>
                <w:szCs w:val="20"/>
                <w:color w:val="auto"/>
              </w:rPr>
            </w:pPr>
            <w:r>
              <w:rPr>
                <w:rFonts w:ascii="Arial" w:cs="Arial" w:eastAsia="Arial" w:hAnsi="Arial"/>
                <w:sz w:val="12"/>
                <w:szCs w:val="12"/>
                <w:b w:val="1"/>
                <w:bCs w:val="1"/>
                <w:color w:val="auto"/>
                <w:w w:val="98"/>
              </w:rPr>
              <w:t>-59,753</w:t>
            </w:r>
          </w:p>
        </w:tc>
        <w:tc>
          <w:tcPr>
            <w:tcW w:w="1220" w:type="dxa"/>
            <w:vAlign w:val="bottom"/>
            <w:tcBorders>
              <w:right w:val="single" w:sz="8" w:color="auto"/>
            </w:tcBorders>
          </w:tcPr>
          <w:p>
            <w:pPr>
              <w:jc w:val="center"/>
              <w:ind w:left="100"/>
              <w:spacing w:after="0" w:line="136" w:lineRule="exact"/>
              <w:rPr>
                <w:sz w:val="20"/>
                <w:szCs w:val="20"/>
                <w:color w:val="auto"/>
              </w:rPr>
            </w:pPr>
            <w:r>
              <w:rPr>
                <w:rFonts w:ascii="Arial" w:cs="Arial" w:eastAsia="Arial" w:hAnsi="Arial"/>
                <w:sz w:val="12"/>
                <w:szCs w:val="12"/>
                <w:b w:val="1"/>
                <w:bCs w:val="1"/>
                <w:color w:val="auto"/>
              </w:rPr>
              <w:t>-63,614</w:t>
            </w:r>
          </w:p>
        </w:tc>
        <w:tc>
          <w:tcPr>
            <w:tcW w:w="11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rPr>
              <w:t>6.5%</w:t>
            </w:r>
          </w:p>
        </w:tc>
      </w:tr>
      <w:tr>
        <w:trPr>
          <w:trHeight w:val="136"/>
        </w:trPr>
        <w:tc>
          <w:tcPr>
            <w:tcW w:w="39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Income tax</w:t>
            </w:r>
          </w:p>
        </w:tc>
        <w:tc>
          <w:tcPr>
            <w:tcW w:w="760" w:type="dxa"/>
            <w:vAlign w:val="bottom"/>
          </w:tcPr>
          <w:p>
            <w:pPr>
              <w:jc w:val="center"/>
              <w:ind w:left="160"/>
              <w:spacing w:after="0" w:line="136" w:lineRule="exact"/>
              <w:rPr>
                <w:sz w:val="20"/>
                <w:szCs w:val="20"/>
                <w:color w:val="auto"/>
              </w:rPr>
            </w:pPr>
            <w:r>
              <w:rPr>
                <w:rFonts w:ascii="Arial" w:cs="Arial" w:eastAsia="Arial" w:hAnsi="Arial"/>
                <w:sz w:val="12"/>
                <w:szCs w:val="12"/>
                <w:color w:val="auto"/>
                <w:w w:val="99"/>
              </w:rPr>
              <w:t>-2,684</w:t>
            </w:r>
          </w:p>
        </w:tc>
        <w:tc>
          <w:tcPr>
            <w:tcW w:w="1240" w:type="dxa"/>
            <w:vAlign w:val="bottom"/>
            <w:tcBorders>
              <w:right w:val="single" w:sz="8" w:color="auto"/>
            </w:tcBorders>
          </w:tcPr>
          <w:p>
            <w:pPr>
              <w:jc w:val="center"/>
              <w:ind w:left="160"/>
              <w:spacing w:after="0" w:line="136" w:lineRule="exact"/>
              <w:rPr>
                <w:sz w:val="20"/>
                <w:szCs w:val="20"/>
                <w:color w:val="auto"/>
              </w:rPr>
            </w:pPr>
            <w:r>
              <w:rPr>
                <w:rFonts w:ascii="Arial" w:cs="Arial" w:eastAsia="Arial" w:hAnsi="Arial"/>
                <w:sz w:val="12"/>
                <w:szCs w:val="12"/>
                <w:color w:val="auto"/>
                <w:w w:val="99"/>
              </w:rPr>
              <w:t>-3,200</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19.2%</w:t>
            </w:r>
          </w:p>
        </w:tc>
        <w:tc>
          <w:tcPr>
            <w:tcW w:w="800" w:type="dxa"/>
            <w:vAlign w:val="bottom"/>
          </w:tcPr>
          <w:p>
            <w:pPr>
              <w:jc w:val="center"/>
              <w:ind w:left="120"/>
              <w:spacing w:after="0" w:line="136" w:lineRule="exact"/>
              <w:rPr>
                <w:sz w:val="20"/>
                <w:szCs w:val="20"/>
                <w:color w:val="auto"/>
              </w:rPr>
            </w:pPr>
            <w:r>
              <w:rPr>
                <w:rFonts w:ascii="Arial" w:cs="Arial" w:eastAsia="Arial" w:hAnsi="Arial"/>
                <w:sz w:val="12"/>
                <w:szCs w:val="12"/>
                <w:color w:val="auto"/>
                <w:w w:val="99"/>
              </w:rPr>
              <w:t>-2,684</w:t>
            </w:r>
          </w:p>
        </w:tc>
        <w:tc>
          <w:tcPr>
            <w:tcW w:w="1220" w:type="dxa"/>
            <w:vAlign w:val="bottom"/>
            <w:tcBorders>
              <w:right w:val="single" w:sz="8" w:color="auto"/>
            </w:tcBorders>
          </w:tcPr>
          <w:p>
            <w:pPr>
              <w:jc w:val="center"/>
              <w:ind w:left="100"/>
              <w:spacing w:after="0" w:line="136" w:lineRule="exact"/>
              <w:rPr>
                <w:sz w:val="20"/>
                <w:szCs w:val="20"/>
                <w:color w:val="auto"/>
              </w:rPr>
            </w:pPr>
            <w:r>
              <w:rPr>
                <w:rFonts w:ascii="Arial" w:cs="Arial" w:eastAsia="Arial" w:hAnsi="Arial"/>
                <w:sz w:val="12"/>
                <w:szCs w:val="12"/>
                <w:color w:val="auto"/>
                <w:w w:val="99"/>
              </w:rPr>
              <w:t>-3,200</w:t>
            </w:r>
          </w:p>
        </w:tc>
        <w:tc>
          <w:tcPr>
            <w:tcW w:w="11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19.2%</w:t>
            </w:r>
          </w:p>
        </w:tc>
      </w:tr>
      <w:tr>
        <w:trPr>
          <w:trHeight w:val="147"/>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Income</w:t>
            </w:r>
          </w:p>
        </w:tc>
        <w:tc>
          <w:tcPr>
            <w:tcW w:w="760" w:type="dxa"/>
            <w:vAlign w:val="bottom"/>
            <w:tcBorders>
              <w:bottom w:val="single" w:sz="8" w:color="auto"/>
            </w:tcBorders>
          </w:tcPr>
          <w:p>
            <w:pPr>
              <w:jc w:val="center"/>
              <w:ind w:left="180"/>
              <w:spacing w:after="0"/>
              <w:rPr>
                <w:sz w:val="20"/>
                <w:szCs w:val="20"/>
                <w:color w:val="auto"/>
              </w:rPr>
            </w:pPr>
            <w:r>
              <w:rPr>
                <w:rFonts w:ascii="Arial" w:cs="Arial" w:eastAsia="Arial" w:hAnsi="Arial"/>
                <w:sz w:val="12"/>
                <w:szCs w:val="12"/>
                <w:b w:val="1"/>
                <w:bCs w:val="1"/>
                <w:color w:val="auto"/>
              </w:rPr>
              <w:t>107,347</w:t>
            </w:r>
          </w:p>
        </w:tc>
        <w:tc>
          <w:tcPr>
            <w:tcW w:w="1240" w:type="dxa"/>
            <w:vAlign w:val="bottom"/>
            <w:tcBorders>
              <w:bottom w:val="single" w:sz="8" w:color="auto"/>
              <w:right w:val="single" w:sz="8" w:color="auto"/>
            </w:tcBorders>
          </w:tcPr>
          <w:p>
            <w:pPr>
              <w:jc w:val="center"/>
              <w:ind w:left="140"/>
              <w:spacing w:after="0"/>
              <w:rPr>
                <w:sz w:val="20"/>
                <w:szCs w:val="20"/>
                <w:color w:val="auto"/>
              </w:rPr>
            </w:pPr>
            <w:r>
              <w:rPr>
                <w:rFonts w:ascii="Arial" w:cs="Arial" w:eastAsia="Arial" w:hAnsi="Arial"/>
                <w:sz w:val="12"/>
                <w:szCs w:val="12"/>
                <w:b w:val="1"/>
                <w:bCs w:val="1"/>
                <w:color w:val="auto"/>
              </w:rPr>
              <w:t>241,141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124.6%</w:t>
            </w:r>
          </w:p>
        </w:tc>
        <w:tc>
          <w:tcPr>
            <w:tcW w:w="80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b w:val="1"/>
                <w:bCs w:val="1"/>
                <w:color w:val="auto"/>
              </w:rPr>
              <w:t>107,347</w:t>
            </w:r>
          </w:p>
        </w:tc>
        <w:tc>
          <w:tcPr>
            <w:tcW w:w="1220" w:type="dxa"/>
            <w:vAlign w:val="bottom"/>
            <w:tcBorders>
              <w:bottom w:val="single" w:sz="8" w:color="auto"/>
              <w:right w:val="single" w:sz="8" w:color="auto"/>
            </w:tcBorders>
          </w:tcPr>
          <w:p>
            <w:pPr>
              <w:jc w:val="center"/>
              <w:ind w:left="120"/>
              <w:spacing w:after="0"/>
              <w:rPr>
                <w:sz w:val="20"/>
                <w:szCs w:val="20"/>
                <w:color w:val="auto"/>
              </w:rPr>
            </w:pPr>
            <w:r>
              <w:rPr>
                <w:rFonts w:ascii="Arial" w:cs="Arial" w:eastAsia="Arial" w:hAnsi="Arial"/>
                <w:sz w:val="12"/>
                <w:szCs w:val="12"/>
                <w:b w:val="1"/>
                <w:bCs w:val="1"/>
                <w:color w:val="auto"/>
              </w:rPr>
              <w:t>241,141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124.6%</w:t>
            </w:r>
          </w:p>
        </w:tc>
      </w:tr>
    </w:tbl>
    <w:p>
      <w:pPr>
        <w:ind w:left="20"/>
        <w:spacing w:after="0" w:line="203" w:lineRule="auto"/>
        <w:rPr>
          <w:sz w:val="20"/>
          <w:szCs w:val="20"/>
          <w:color w:val="auto"/>
        </w:rPr>
      </w:pPr>
      <w:r>
        <w:rPr>
          <w:rFonts w:ascii="Calibri" w:cs="Calibri" w:eastAsia="Calibri" w:hAnsi="Calibri"/>
          <w:sz w:val="10"/>
          <w:szCs w:val="10"/>
          <w:color w:val="auto"/>
        </w:rPr>
        <w:t>*Financial statements without consolidaton adjustments.</w:t>
      </w:r>
    </w:p>
    <w:p>
      <w:pPr>
        <w:ind w:left="20"/>
        <w:spacing w:after="0" w:line="223" w:lineRule="auto"/>
        <w:rPr>
          <w:sz w:val="20"/>
          <w:szCs w:val="20"/>
          <w:color w:val="auto"/>
        </w:rPr>
      </w:pPr>
      <w:r>
        <w:rPr>
          <w:rFonts w:ascii="Calibri" w:cs="Calibri" w:eastAsia="Calibri" w:hAnsi="Calibri"/>
          <w:sz w:val="10"/>
          <w:szCs w:val="10"/>
          <w:color w:val="auto"/>
        </w:rPr>
        <w:t>(1) Excluding investments in real estate.</w:t>
      </w:r>
    </w:p>
    <w:p>
      <w:pPr>
        <w:spacing w:after="0" w:line="10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From 1Q15 and on, Grupo Pacifco’s fnancial statements refect the agreement with Banmedica (in equal parts) of the businesses of:</w:t>
      </w:r>
    </w:p>
    <w:p>
      <w:pPr>
        <w:ind w:left="560" w:hanging="277"/>
        <w:spacing w:after="0" w:line="224" w:lineRule="auto"/>
        <w:tabs>
          <w:tab w:leader="none" w:pos="560" w:val="left"/>
        </w:tabs>
        <w:numPr>
          <w:ilvl w:val="0"/>
          <w:numId w:val="72"/>
        </w:numPr>
        <w:rPr>
          <w:rFonts w:ascii="Calibri" w:cs="Calibri" w:eastAsia="Calibri" w:hAnsi="Calibri"/>
          <w:sz w:val="15"/>
          <w:szCs w:val="15"/>
          <w:color w:val="auto"/>
        </w:rPr>
      </w:pPr>
      <w:r>
        <w:rPr>
          <w:rFonts w:ascii="Calibri" w:cs="Calibri" w:eastAsia="Calibri" w:hAnsi="Calibri"/>
          <w:sz w:val="14"/>
          <w:szCs w:val="14"/>
          <w:color w:val="auto"/>
        </w:rPr>
        <w:t>private health insurance managed by Grupo Pacifco and included in its Financial Statements in each of the accountng lines;</w:t>
      </w:r>
    </w:p>
    <w:p>
      <w:pPr>
        <w:spacing w:after="0" w:line="13" w:lineRule="exact"/>
        <w:rPr>
          <w:rFonts w:ascii="Calibri" w:cs="Calibri" w:eastAsia="Calibri" w:hAnsi="Calibri"/>
          <w:sz w:val="15"/>
          <w:szCs w:val="15"/>
          <w:color w:val="auto"/>
        </w:rPr>
      </w:pPr>
    </w:p>
    <w:p>
      <w:pPr>
        <w:ind w:left="560" w:hanging="277"/>
        <w:spacing w:after="0" w:line="220" w:lineRule="auto"/>
        <w:tabs>
          <w:tab w:leader="none" w:pos="560" w:val="left"/>
        </w:tabs>
        <w:numPr>
          <w:ilvl w:val="0"/>
          <w:numId w:val="72"/>
        </w:numPr>
        <w:rPr>
          <w:rFonts w:ascii="Calibri" w:cs="Calibri" w:eastAsia="Calibri" w:hAnsi="Calibri"/>
          <w:sz w:val="15"/>
          <w:szCs w:val="15"/>
          <w:color w:val="auto"/>
        </w:rPr>
      </w:pPr>
      <w:r>
        <w:rPr>
          <w:rFonts w:ascii="Calibri" w:cs="Calibri" w:eastAsia="Calibri" w:hAnsi="Calibri"/>
          <w:sz w:val="14"/>
          <w:szCs w:val="14"/>
          <w:color w:val="auto"/>
        </w:rPr>
        <w:t>corporate health insurance (dependent workers); and</w:t>
      </w:r>
    </w:p>
    <w:p>
      <w:pPr>
        <w:spacing w:after="0" w:line="13" w:lineRule="exact"/>
        <w:rPr>
          <w:rFonts w:ascii="Calibri" w:cs="Calibri" w:eastAsia="Calibri" w:hAnsi="Calibri"/>
          <w:sz w:val="15"/>
          <w:szCs w:val="15"/>
          <w:color w:val="auto"/>
        </w:rPr>
      </w:pPr>
    </w:p>
    <w:p>
      <w:pPr>
        <w:ind w:left="560" w:hanging="277"/>
        <w:spacing w:after="0" w:line="220" w:lineRule="auto"/>
        <w:tabs>
          <w:tab w:leader="none" w:pos="560" w:val="left"/>
        </w:tabs>
        <w:numPr>
          <w:ilvl w:val="0"/>
          <w:numId w:val="72"/>
        </w:numPr>
        <w:rPr>
          <w:rFonts w:ascii="Calibri" w:cs="Calibri" w:eastAsia="Calibri" w:hAnsi="Calibri"/>
          <w:sz w:val="15"/>
          <w:szCs w:val="15"/>
          <w:color w:val="auto"/>
        </w:rPr>
      </w:pPr>
      <w:r>
        <w:rPr>
          <w:rFonts w:ascii="Calibri" w:cs="Calibri" w:eastAsia="Calibri" w:hAnsi="Calibri"/>
          <w:sz w:val="14"/>
          <w:szCs w:val="14"/>
          <w:color w:val="auto"/>
        </w:rPr>
        <w:t>medical services.</w:t>
      </w:r>
    </w:p>
    <w:p>
      <w:pPr>
        <w:spacing w:after="0" w:line="248" w:lineRule="exact"/>
        <w:rPr>
          <w:sz w:val="20"/>
          <w:szCs w:val="20"/>
          <w:color w:val="auto"/>
        </w:rPr>
      </w:pPr>
    </w:p>
    <w:p>
      <w:pPr>
        <w:ind w:left="20" w:right="40"/>
        <w:spacing w:after="0" w:line="243" w:lineRule="auto"/>
        <w:rPr>
          <w:sz w:val="20"/>
          <w:szCs w:val="20"/>
          <w:color w:val="auto"/>
        </w:rPr>
      </w:pPr>
      <w:r>
        <w:rPr>
          <w:rFonts w:ascii="Calibri" w:cs="Calibri" w:eastAsia="Calibri" w:hAnsi="Calibri"/>
          <w:sz w:val="18"/>
          <w:szCs w:val="18"/>
          <w:color w:val="auto"/>
        </w:rPr>
        <w:t>The businesses described in ii) and iii) are managed by Banmedica, therefore they do not consolidate in Grupo Pacifco’s fnancial statements. The 50% of net income generated by Banmedica is recorded in Grupo Pacifco’s Income Statement as a gain/loss on investments in subsidiaries.</w:t>
      </w:r>
    </w:p>
    <w:p>
      <w:pPr>
        <w:spacing w:after="0" w:line="236" w:lineRule="exact"/>
        <w:rPr>
          <w:sz w:val="20"/>
          <w:szCs w:val="20"/>
          <w:color w:val="auto"/>
        </w:rPr>
      </w:pPr>
    </w:p>
    <w:p>
      <w:pPr>
        <w:ind w:left="20" w:right="640"/>
        <w:spacing w:after="0" w:line="243" w:lineRule="auto"/>
        <w:rPr>
          <w:sz w:val="20"/>
          <w:szCs w:val="20"/>
          <w:color w:val="auto"/>
        </w:rPr>
      </w:pPr>
      <w:r>
        <w:rPr>
          <w:rFonts w:ascii="Calibri" w:cs="Calibri" w:eastAsia="Calibri" w:hAnsi="Calibri"/>
          <w:sz w:val="18"/>
          <w:szCs w:val="18"/>
          <w:color w:val="auto"/>
        </w:rPr>
        <w:t>As explained before, corporate health insurance and medical services businesses are consolidated by Banmedica. The following table refects the consolidated results from which Grupo Pacifco receives the 50% net income.</w:t>
      </w: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3910" cy="146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80"/>
          </w:cols>
          <w:pgMar w:left="300" w:top="365" w:right="319" w:bottom="1440" w:gutter="0" w:footer="0" w:header="0"/>
        </w:sectPr>
      </w:pPr>
    </w:p>
    <w:bookmarkStart w:id="79" w:name="page80"/>
    <w:bookmarkEnd w:id="79"/>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12. Appendix</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Corporate health insurance and Medical services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 in thousands )</w:t>
      </w:r>
    </w:p>
    <w:p>
      <w:pPr>
        <w:spacing w:after="0" w:line="177" w:lineRule="exact"/>
        <w:rPr>
          <w:sz w:val="20"/>
          <w:szCs w:val="20"/>
          <w:color w:val="auto"/>
        </w:rPr>
      </w:pPr>
    </w:p>
    <w:tbl>
      <w:tblPr>
        <w:tblLayout w:type="fixed"/>
        <w:tblInd w:w="1670" w:type="dxa"/>
        <w:tblCellMar>
          <w:top w:w="0" w:type="dxa"/>
          <w:left w:w="0" w:type="dxa"/>
          <w:bottom w:w="0" w:type="dxa"/>
          <w:right w:w="0" w:type="dxa"/>
        </w:tblCellMar>
      </w:tblPr>
      <w:tr>
        <w:trPr>
          <w:trHeight w:val="174"/>
        </w:trPr>
        <w:tc>
          <w:tcPr>
            <w:tcW w:w="4200" w:type="dxa"/>
            <w:vAlign w:val="bottom"/>
            <w:tcBorders>
              <w:right w:val="single" w:sz="8" w:color="auto"/>
            </w:tcBorders>
          </w:tcPr>
          <w:p>
            <w:pPr>
              <w:spacing w:after="0"/>
              <w:rPr>
                <w:sz w:val="15"/>
                <w:szCs w:val="15"/>
                <w:color w:val="auto"/>
              </w:rPr>
            </w:pPr>
          </w:p>
        </w:tc>
        <w:tc>
          <w:tcPr>
            <w:tcW w:w="1660" w:type="dxa"/>
            <w:vAlign w:val="bottom"/>
            <w:tcBorders>
              <w:top w:val="single" w:sz="8" w:color="auto"/>
            </w:tcBorders>
            <w:shd w:val="clear" w:color="auto" w:fill="2AD2C9"/>
          </w:tcPr>
          <w:p>
            <w:pPr>
              <w:ind w:left="1120"/>
              <w:spacing w:after="0"/>
              <w:rPr>
                <w:sz w:val="20"/>
                <w:szCs w:val="20"/>
                <w:color w:val="auto"/>
              </w:rPr>
            </w:pPr>
            <w:r>
              <w:rPr>
                <w:rFonts w:ascii="Arial" w:cs="Arial" w:eastAsia="Arial" w:hAnsi="Arial"/>
                <w:sz w:val="12"/>
                <w:szCs w:val="12"/>
                <w:b w:val="1"/>
                <w:bCs w:val="1"/>
                <w:color w:val="FFFFFF"/>
              </w:rPr>
              <w:t>Quarter</w:t>
            </w:r>
          </w:p>
        </w:tc>
        <w:tc>
          <w:tcPr>
            <w:tcW w:w="1040" w:type="dxa"/>
            <w:vAlign w:val="bottom"/>
            <w:tcBorders>
              <w:top w:val="single" w:sz="8" w:color="auto"/>
              <w:right w:val="single" w:sz="8" w:color="auto"/>
            </w:tcBorders>
            <w:shd w:val="clear" w:color="auto" w:fill="2AD2C9"/>
          </w:tcPr>
          <w:p>
            <w:pPr>
              <w:spacing w:after="0"/>
              <w:rPr>
                <w:sz w:val="15"/>
                <w:szCs w:val="15"/>
                <w:color w:val="auto"/>
              </w:rPr>
            </w:pPr>
          </w:p>
        </w:tc>
        <w:tc>
          <w:tcPr>
            <w:tcW w:w="10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2"/>
                <w:szCs w:val="12"/>
                <w:b w:val="1"/>
                <w:bCs w:val="1"/>
                <w:color w:val="FFFFFF"/>
                <w:w w:val="99"/>
              </w:rPr>
              <w:t>% change</w:t>
            </w:r>
          </w:p>
        </w:tc>
      </w:tr>
      <w:tr>
        <w:trPr>
          <w:trHeight w:val="214"/>
        </w:trPr>
        <w:tc>
          <w:tcPr>
            <w:tcW w:w="42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tcBorders>
            <w:shd w:val="clear" w:color="auto" w:fill="2AD2C9"/>
          </w:tcPr>
          <w:p>
            <w:pPr>
              <w:jc w:val="center"/>
              <w:ind w:right="260"/>
              <w:spacing w:after="0"/>
              <w:rPr>
                <w:sz w:val="20"/>
                <w:szCs w:val="20"/>
                <w:color w:val="auto"/>
              </w:rPr>
            </w:pPr>
            <w:r>
              <w:rPr>
                <w:rFonts w:ascii="Arial" w:cs="Arial" w:eastAsia="Arial" w:hAnsi="Arial"/>
                <w:sz w:val="12"/>
                <w:szCs w:val="12"/>
                <w:b w:val="1"/>
                <w:bCs w:val="1"/>
                <w:color w:val="FFFFFF"/>
              </w:rPr>
              <w:t>1Q22</w:t>
            </w:r>
          </w:p>
        </w:tc>
        <w:tc>
          <w:tcPr>
            <w:tcW w:w="1040" w:type="dxa"/>
            <w:vAlign w:val="bottom"/>
            <w:tcBorders>
              <w:bottom w:val="single" w:sz="8" w:color="auto"/>
              <w:right w:val="single" w:sz="8" w:color="auto"/>
            </w:tcBorders>
            <w:shd w:val="clear" w:color="auto" w:fill="2AD2C9"/>
          </w:tcPr>
          <w:p>
            <w:pPr>
              <w:jc w:val="center"/>
              <w:ind w:right="280"/>
              <w:spacing w:after="0"/>
              <w:rPr>
                <w:sz w:val="20"/>
                <w:szCs w:val="20"/>
                <w:color w:val="auto"/>
              </w:rPr>
            </w:pPr>
            <w:r>
              <w:rPr>
                <w:rFonts w:ascii="Arial" w:cs="Arial" w:eastAsia="Arial" w:hAnsi="Arial"/>
                <w:sz w:val="12"/>
                <w:szCs w:val="12"/>
                <w:b w:val="1"/>
                <w:bCs w:val="1"/>
                <w:color w:val="FFFFFF"/>
              </w:rPr>
              <w:t>1Q23</w:t>
            </w:r>
          </w:p>
        </w:tc>
        <w:tc>
          <w:tcPr>
            <w:tcW w:w="1000" w:type="dxa"/>
            <w:vAlign w:val="bottom"/>
            <w:tcBorders>
              <w:bottom w:val="single" w:sz="8" w:color="auto"/>
              <w:right w:val="single" w:sz="8" w:color="auto"/>
            </w:tcBorders>
            <w:shd w:val="clear" w:color="auto" w:fill="2AD2C9"/>
          </w:tcPr>
          <w:p>
            <w:pPr>
              <w:jc w:val="center"/>
              <w:spacing w:after="0" w:line="180" w:lineRule="exact"/>
              <w:rPr>
                <w:sz w:val="20"/>
                <w:szCs w:val="20"/>
                <w:color w:val="auto"/>
              </w:rPr>
            </w:pPr>
            <w:r>
              <w:rPr>
                <w:rFonts w:ascii="Calibri" w:cs="Calibri" w:eastAsia="Calibri" w:hAnsi="Calibri"/>
                <w:sz w:val="15"/>
                <w:szCs w:val="15"/>
                <w:b w:val="1"/>
                <w:bCs w:val="1"/>
                <w:color w:val="FFFFFF"/>
                <w:w w:val="92"/>
              </w:rPr>
              <w:t>YoY</w:t>
            </w:r>
          </w:p>
        </w:tc>
      </w:tr>
      <w:tr>
        <w:trPr>
          <w:trHeight w:val="180"/>
        </w:trPr>
        <w:tc>
          <w:tcPr>
            <w:tcW w:w="4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Results</w:t>
            </w:r>
          </w:p>
        </w:tc>
        <w:tc>
          <w:tcPr>
            <w:tcW w:w="166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r>
      <w:tr>
        <w:trPr>
          <w:trHeight w:val="164"/>
        </w:trPr>
        <w:tc>
          <w:tcPr>
            <w:tcW w:w="4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Net earned premiums</w:t>
            </w:r>
          </w:p>
        </w:tc>
        <w:tc>
          <w:tcPr>
            <w:tcW w:w="1660" w:type="dxa"/>
            <w:vAlign w:val="bottom"/>
          </w:tcPr>
          <w:p>
            <w:pPr>
              <w:jc w:val="center"/>
              <w:ind w:right="280"/>
              <w:spacing w:after="0"/>
              <w:rPr>
                <w:sz w:val="20"/>
                <w:szCs w:val="20"/>
                <w:color w:val="auto"/>
              </w:rPr>
            </w:pPr>
            <w:r>
              <w:rPr>
                <w:rFonts w:ascii="Arial" w:cs="Arial" w:eastAsia="Arial" w:hAnsi="Arial"/>
                <w:sz w:val="12"/>
                <w:szCs w:val="12"/>
                <w:color w:val="auto"/>
              </w:rPr>
              <w:t>314,362</w:t>
            </w:r>
          </w:p>
        </w:tc>
        <w:tc>
          <w:tcPr>
            <w:tcW w:w="1040" w:type="dxa"/>
            <w:vAlign w:val="bottom"/>
            <w:tcBorders>
              <w:right w:val="single" w:sz="8" w:color="auto"/>
            </w:tcBorders>
          </w:tcPr>
          <w:p>
            <w:pPr>
              <w:jc w:val="center"/>
              <w:ind w:right="300"/>
              <w:spacing w:after="0"/>
              <w:rPr>
                <w:sz w:val="20"/>
                <w:szCs w:val="20"/>
                <w:color w:val="auto"/>
              </w:rPr>
            </w:pPr>
            <w:r>
              <w:rPr>
                <w:rFonts w:ascii="Arial" w:cs="Arial" w:eastAsia="Arial" w:hAnsi="Arial"/>
                <w:sz w:val="12"/>
                <w:szCs w:val="12"/>
                <w:color w:val="auto"/>
              </w:rPr>
              <w:t>340,905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8.4%</w:t>
            </w:r>
          </w:p>
        </w:tc>
      </w:tr>
      <w:tr>
        <w:trPr>
          <w:trHeight w:val="159"/>
        </w:trPr>
        <w:tc>
          <w:tcPr>
            <w:tcW w:w="4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Net claims</w:t>
            </w:r>
          </w:p>
        </w:tc>
        <w:tc>
          <w:tcPr>
            <w:tcW w:w="1660" w:type="dxa"/>
            <w:vAlign w:val="bottom"/>
          </w:tcPr>
          <w:p>
            <w:pPr>
              <w:jc w:val="center"/>
              <w:ind w:right="280"/>
              <w:spacing w:after="0"/>
              <w:rPr>
                <w:sz w:val="20"/>
                <w:szCs w:val="20"/>
                <w:color w:val="auto"/>
              </w:rPr>
            </w:pPr>
            <w:r>
              <w:rPr>
                <w:rFonts w:ascii="Arial" w:cs="Arial" w:eastAsia="Arial" w:hAnsi="Arial"/>
                <w:sz w:val="12"/>
                <w:szCs w:val="12"/>
                <w:color w:val="auto"/>
              </w:rPr>
              <w:t>-276,082</w:t>
            </w:r>
          </w:p>
        </w:tc>
        <w:tc>
          <w:tcPr>
            <w:tcW w:w="1040" w:type="dxa"/>
            <w:vAlign w:val="bottom"/>
            <w:tcBorders>
              <w:right w:val="single" w:sz="8" w:color="auto"/>
            </w:tcBorders>
          </w:tcPr>
          <w:p>
            <w:pPr>
              <w:jc w:val="center"/>
              <w:ind w:right="300"/>
              <w:spacing w:after="0"/>
              <w:rPr>
                <w:sz w:val="20"/>
                <w:szCs w:val="20"/>
                <w:color w:val="auto"/>
              </w:rPr>
            </w:pPr>
            <w:r>
              <w:rPr>
                <w:rFonts w:ascii="Arial" w:cs="Arial" w:eastAsia="Arial" w:hAnsi="Arial"/>
                <w:sz w:val="12"/>
                <w:szCs w:val="12"/>
                <w:color w:val="auto"/>
              </w:rPr>
              <w:t>-259,039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-6.2%</w:t>
            </w:r>
          </w:p>
        </w:tc>
      </w:tr>
      <w:tr>
        <w:trPr>
          <w:trHeight w:val="159"/>
        </w:trPr>
        <w:tc>
          <w:tcPr>
            <w:tcW w:w="4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Net fees</w:t>
            </w:r>
          </w:p>
        </w:tc>
        <w:tc>
          <w:tcPr>
            <w:tcW w:w="1660" w:type="dxa"/>
            <w:vAlign w:val="bottom"/>
          </w:tcPr>
          <w:p>
            <w:pPr>
              <w:jc w:val="center"/>
              <w:ind w:right="260"/>
              <w:spacing w:after="0"/>
              <w:rPr>
                <w:sz w:val="20"/>
                <w:szCs w:val="20"/>
                <w:color w:val="auto"/>
              </w:rPr>
            </w:pPr>
            <w:r>
              <w:rPr>
                <w:rFonts w:ascii="Arial" w:cs="Arial" w:eastAsia="Arial" w:hAnsi="Arial"/>
                <w:sz w:val="12"/>
                <w:szCs w:val="12"/>
                <w:color w:val="auto"/>
              </w:rPr>
              <w:t>-13,671</w:t>
            </w:r>
          </w:p>
        </w:tc>
        <w:tc>
          <w:tcPr>
            <w:tcW w:w="1040" w:type="dxa"/>
            <w:vAlign w:val="bottom"/>
            <w:tcBorders>
              <w:right w:val="single" w:sz="8" w:color="auto"/>
            </w:tcBorders>
          </w:tcPr>
          <w:p>
            <w:pPr>
              <w:jc w:val="center"/>
              <w:ind w:right="300"/>
              <w:spacing w:after="0"/>
              <w:rPr>
                <w:sz w:val="20"/>
                <w:szCs w:val="20"/>
                <w:color w:val="auto"/>
              </w:rPr>
            </w:pPr>
            <w:r>
              <w:rPr>
                <w:rFonts w:ascii="Arial" w:cs="Arial" w:eastAsia="Arial" w:hAnsi="Arial"/>
                <w:sz w:val="12"/>
                <w:szCs w:val="12"/>
                <w:color w:val="auto"/>
                <w:w w:val="98"/>
              </w:rPr>
              <w:t>-14,627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7.0%</w:t>
            </w:r>
          </w:p>
        </w:tc>
      </w:tr>
      <w:tr>
        <w:trPr>
          <w:trHeight w:val="159"/>
        </w:trPr>
        <w:tc>
          <w:tcPr>
            <w:tcW w:w="4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Net underwriting expenses</w:t>
            </w:r>
          </w:p>
        </w:tc>
        <w:tc>
          <w:tcPr>
            <w:tcW w:w="1660" w:type="dxa"/>
            <w:vAlign w:val="bottom"/>
          </w:tcPr>
          <w:p>
            <w:pPr>
              <w:jc w:val="center"/>
              <w:ind w:right="260"/>
              <w:spacing w:after="0"/>
              <w:rPr>
                <w:sz w:val="20"/>
                <w:szCs w:val="20"/>
                <w:color w:val="auto"/>
              </w:rPr>
            </w:pPr>
            <w:r>
              <w:rPr>
                <w:rFonts w:ascii="Arial" w:cs="Arial" w:eastAsia="Arial" w:hAnsi="Arial"/>
                <w:sz w:val="12"/>
                <w:szCs w:val="12"/>
                <w:color w:val="auto"/>
                <w:w w:val="99"/>
              </w:rPr>
              <w:t>-3,263</w:t>
            </w:r>
          </w:p>
        </w:tc>
        <w:tc>
          <w:tcPr>
            <w:tcW w:w="104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w w:val="99"/>
              </w:rPr>
              <w:t>-2,995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-8.2%</w:t>
            </w:r>
          </w:p>
        </w:tc>
      </w:tr>
      <w:tr>
        <w:trPr>
          <w:trHeight w:val="165"/>
        </w:trPr>
        <w:tc>
          <w:tcPr>
            <w:tcW w:w="4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Underwriting result</w:t>
            </w:r>
          </w:p>
        </w:tc>
        <w:tc>
          <w:tcPr>
            <w:tcW w:w="1660" w:type="dxa"/>
            <w:vAlign w:val="bottom"/>
          </w:tcPr>
          <w:p>
            <w:pPr>
              <w:jc w:val="center"/>
              <w:ind w:right="260"/>
              <w:spacing w:after="0"/>
              <w:rPr>
                <w:sz w:val="20"/>
                <w:szCs w:val="20"/>
                <w:color w:val="auto"/>
              </w:rPr>
            </w:pPr>
            <w:r>
              <w:rPr>
                <w:rFonts w:ascii="Arial" w:cs="Arial" w:eastAsia="Arial" w:hAnsi="Arial"/>
                <w:sz w:val="12"/>
                <w:szCs w:val="12"/>
                <w:b w:val="1"/>
                <w:bCs w:val="1"/>
                <w:color w:val="auto"/>
              </w:rPr>
              <w:t>21,346</w:t>
            </w:r>
          </w:p>
        </w:tc>
        <w:tc>
          <w:tcPr>
            <w:tcW w:w="1040" w:type="dxa"/>
            <w:vAlign w:val="bottom"/>
            <w:tcBorders>
              <w:right w:val="single" w:sz="8" w:color="auto"/>
            </w:tcBorders>
          </w:tcPr>
          <w:p>
            <w:pPr>
              <w:jc w:val="center"/>
              <w:ind w:right="300"/>
              <w:spacing w:after="0"/>
              <w:rPr>
                <w:sz w:val="20"/>
                <w:szCs w:val="20"/>
                <w:color w:val="auto"/>
              </w:rPr>
            </w:pPr>
            <w:r>
              <w:rPr>
                <w:rFonts w:ascii="Arial" w:cs="Arial" w:eastAsia="Arial" w:hAnsi="Arial"/>
                <w:sz w:val="12"/>
                <w:szCs w:val="12"/>
                <w:b w:val="1"/>
                <w:bCs w:val="1"/>
                <w:color w:val="auto"/>
                <w:w w:val="97"/>
              </w:rPr>
              <w:t>64,243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201.0%</w:t>
            </w:r>
          </w:p>
        </w:tc>
      </w:tr>
      <w:tr>
        <w:trPr>
          <w:trHeight w:val="334"/>
        </w:trPr>
        <w:tc>
          <w:tcPr>
            <w:tcW w:w="4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Net financial income</w:t>
            </w:r>
          </w:p>
        </w:tc>
        <w:tc>
          <w:tcPr>
            <w:tcW w:w="1660" w:type="dxa"/>
            <w:vAlign w:val="bottom"/>
          </w:tcPr>
          <w:p>
            <w:pPr>
              <w:jc w:val="center"/>
              <w:ind w:right="260"/>
              <w:spacing w:after="0"/>
              <w:rPr>
                <w:sz w:val="20"/>
                <w:szCs w:val="20"/>
                <w:color w:val="auto"/>
              </w:rPr>
            </w:pPr>
            <w:r>
              <w:rPr>
                <w:rFonts w:ascii="Arial" w:cs="Arial" w:eastAsia="Arial" w:hAnsi="Arial"/>
                <w:sz w:val="12"/>
                <w:szCs w:val="12"/>
                <w:color w:val="auto"/>
                <w:w w:val="99"/>
              </w:rPr>
              <w:t>1,883</w:t>
            </w:r>
          </w:p>
        </w:tc>
        <w:tc>
          <w:tcPr>
            <w:tcW w:w="104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w w:val="99"/>
              </w:rPr>
              <w:t>4,133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119.5%</w:t>
            </w:r>
          </w:p>
        </w:tc>
      </w:tr>
      <w:tr>
        <w:trPr>
          <w:trHeight w:val="159"/>
        </w:trPr>
        <w:tc>
          <w:tcPr>
            <w:tcW w:w="4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Total expenses</w:t>
            </w:r>
          </w:p>
        </w:tc>
        <w:tc>
          <w:tcPr>
            <w:tcW w:w="1660" w:type="dxa"/>
            <w:vAlign w:val="bottom"/>
          </w:tcPr>
          <w:p>
            <w:pPr>
              <w:jc w:val="center"/>
              <w:ind w:right="260"/>
              <w:spacing w:after="0"/>
              <w:rPr>
                <w:sz w:val="20"/>
                <w:szCs w:val="20"/>
                <w:color w:val="auto"/>
              </w:rPr>
            </w:pPr>
            <w:r>
              <w:rPr>
                <w:rFonts w:ascii="Arial" w:cs="Arial" w:eastAsia="Arial" w:hAnsi="Arial"/>
                <w:sz w:val="12"/>
                <w:szCs w:val="12"/>
                <w:color w:val="auto"/>
              </w:rPr>
              <w:t>-18,870</w:t>
            </w:r>
          </w:p>
        </w:tc>
        <w:tc>
          <w:tcPr>
            <w:tcW w:w="1040" w:type="dxa"/>
            <w:vAlign w:val="bottom"/>
            <w:tcBorders>
              <w:right w:val="single" w:sz="8" w:color="auto"/>
            </w:tcBorders>
          </w:tcPr>
          <w:p>
            <w:pPr>
              <w:jc w:val="center"/>
              <w:ind w:right="300"/>
              <w:spacing w:after="0"/>
              <w:rPr>
                <w:sz w:val="20"/>
                <w:szCs w:val="20"/>
                <w:color w:val="auto"/>
              </w:rPr>
            </w:pPr>
            <w:r>
              <w:rPr>
                <w:rFonts w:ascii="Arial" w:cs="Arial" w:eastAsia="Arial" w:hAnsi="Arial"/>
                <w:sz w:val="12"/>
                <w:szCs w:val="12"/>
                <w:color w:val="auto"/>
                <w:w w:val="98"/>
              </w:rPr>
              <w:t>-22,469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19.1%</w:t>
            </w:r>
          </w:p>
        </w:tc>
      </w:tr>
      <w:tr>
        <w:trPr>
          <w:trHeight w:val="159"/>
        </w:trPr>
        <w:tc>
          <w:tcPr>
            <w:tcW w:w="4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Other income</w:t>
            </w:r>
          </w:p>
        </w:tc>
        <w:tc>
          <w:tcPr>
            <w:tcW w:w="1660" w:type="dxa"/>
            <w:vAlign w:val="bottom"/>
          </w:tcPr>
          <w:p>
            <w:pPr>
              <w:jc w:val="center"/>
              <w:ind w:right="260"/>
              <w:spacing w:after="0"/>
              <w:rPr>
                <w:sz w:val="20"/>
                <w:szCs w:val="20"/>
                <w:color w:val="auto"/>
              </w:rPr>
            </w:pPr>
            <w:r>
              <w:rPr>
                <w:rFonts w:ascii="Arial" w:cs="Arial" w:eastAsia="Arial" w:hAnsi="Arial"/>
                <w:sz w:val="12"/>
                <w:szCs w:val="12"/>
                <w:color w:val="auto"/>
                <w:w w:val="99"/>
              </w:rPr>
              <w:t>1,226</w:t>
            </w:r>
          </w:p>
        </w:tc>
        <w:tc>
          <w:tcPr>
            <w:tcW w:w="104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w w:val="99"/>
              </w:rPr>
              <w:t>2,709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121.0%</w:t>
            </w:r>
          </w:p>
        </w:tc>
      </w:tr>
      <w:tr>
        <w:trPr>
          <w:trHeight w:val="159"/>
        </w:trPr>
        <w:tc>
          <w:tcPr>
            <w:tcW w:w="4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Traslations results</w:t>
            </w:r>
          </w:p>
        </w:tc>
        <w:tc>
          <w:tcPr>
            <w:tcW w:w="1660" w:type="dxa"/>
            <w:vAlign w:val="bottom"/>
          </w:tcPr>
          <w:p>
            <w:pPr>
              <w:jc w:val="center"/>
              <w:ind w:right="260"/>
              <w:spacing w:after="0"/>
              <w:rPr>
                <w:sz w:val="20"/>
                <w:szCs w:val="20"/>
                <w:color w:val="auto"/>
              </w:rPr>
            </w:pPr>
            <w:r>
              <w:rPr>
                <w:rFonts w:ascii="Arial" w:cs="Arial" w:eastAsia="Arial" w:hAnsi="Arial"/>
                <w:sz w:val="12"/>
                <w:szCs w:val="12"/>
                <w:color w:val="auto"/>
                <w:w w:val="99"/>
              </w:rPr>
              <w:t>-4,397</w:t>
            </w:r>
          </w:p>
        </w:tc>
        <w:tc>
          <w:tcPr>
            <w:tcW w:w="104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w w:val="99"/>
              </w:rPr>
              <w:t>-1,180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-73.2%</w:t>
            </w:r>
          </w:p>
        </w:tc>
      </w:tr>
      <w:tr>
        <w:trPr>
          <w:trHeight w:val="159"/>
        </w:trPr>
        <w:tc>
          <w:tcPr>
            <w:tcW w:w="4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Income tax</w:t>
            </w:r>
          </w:p>
        </w:tc>
        <w:tc>
          <w:tcPr>
            <w:tcW w:w="1660" w:type="dxa"/>
            <w:vAlign w:val="bottom"/>
          </w:tcPr>
          <w:p>
            <w:pPr>
              <w:jc w:val="center"/>
              <w:ind w:right="280"/>
              <w:spacing w:after="0"/>
              <w:rPr>
                <w:sz w:val="20"/>
                <w:szCs w:val="20"/>
                <w:color w:val="auto"/>
              </w:rPr>
            </w:pPr>
            <w:r>
              <w:rPr>
                <w:rFonts w:ascii="Arial" w:cs="Arial" w:eastAsia="Arial" w:hAnsi="Arial"/>
                <w:sz w:val="12"/>
                <w:szCs w:val="12"/>
                <w:color w:val="auto"/>
                <w:w w:val="99"/>
              </w:rPr>
              <w:t>-424</w:t>
            </w:r>
          </w:p>
        </w:tc>
        <w:tc>
          <w:tcPr>
            <w:tcW w:w="1040" w:type="dxa"/>
            <w:vAlign w:val="bottom"/>
            <w:tcBorders>
              <w:right w:val="single" w:sz="8" w:color="auto"/>
            </w:tcBorders>
          </w:tcPr>
          <w:p>
            <w:pPr>
              <w:jc w:val="center"/>
              <w:ind w:right="300"/>
              <w:spacing w:after="0"/>
              <w:rPr>
                <w:sz w:val="20"/>
                <w:szCs w:val="20"/>
                <w:color w:val="auto"/>
              </w:rPr>
            </w:pPr>
            <w:r>
              <w:rPr>
                <w:rFonts w:ascii="Arial" w:cs="Arial" w:eastAsia="Arial" w:hAnsi="Arial"/>
                <w:sz w:val="12"/>
                <w:szCs w:val="12"/>
                <w:color w:val="auto"/>
                <w:w w:val="98"/>
              </w:rPr>
              <w:t>-15,249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N/A</w:t>
            </w:r>
          </w:p>
        </w:tc>
      </w:tr>
      <w:tr>
        <w:trPr>
          <w:trHeight w:val="346"/>
        </w:trPr>
        <w:tc>
          <w:tcPr>
            <w:tcW w:w="4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Net income before Medical services</w:t>
            </w:r>
          </w:p>
        </w:tc>
        <w:tc>
          <w:tcPr>
            <w:tcW w:w="1660" w:type="dxa"/>
            <w:vAlign w:val="bottom"/>
          </w:tcPr>
          <w:p>
            <w:pPr>
              <w:jc w:val="center"/>
              <w:ind w:right="280"/>
              <w:spacing w:after="0"/>
              <w:rPr>
                <w:sz w:val="20"/>
                <w:szCs w:val="20"/>
                <w:color w:val="auto"/>
              </w:rPr>
            </w:pPr>
            <w:r>
              <w:rPr>
                <w:rFonts w:ascii="Arial" w:cs="Arial" w:eastAsia="Arial" w:hAnsi="Arial"/>
                <w:sz w:val="12"/>
                <w:szCs w:val="12"/>
                <w:b w:val="1"/>
                <w:bCs w:val="1"/>
                <w:color w:val="auto"/>
                <w:w w:val="99"/>
              </w:rPr>
              <w:t>763</w:t>
            </w:r>
          </w:p>
        </w:tc>
        <w:tc>
          <w:tcPr>
            <w:tcW w:w="1040" w:type="dxa"/>
            <w:vAlign w:val="bottom"/>
            <w:tcBorders>
              <w:right w:val="single" w:sz="8" w:color="auto"/>
            </w:tcBorders>
          </w:tcPr>
          <w:p>
            <w:pPr>
              <w:jc w:val="center"/>
              <w:ind w:right="300"/>
              <w:spacing w:after="0"/>
              <w:rPr>
                <w:sz w:val="20"/>
                <w:szCs w:val="20"/>
                <w:color w:val="auto"/>
              </w:rPr>
            </w:pPr>
            <w:r>
              <w:rPr>
                <w:rFonts w:ascii="Arial" w:cs="Arial" w:eastAsia="Arial" w:hAnsi="Arial"/>
                <w:sz w:val="12"/>
                <w:szCs w:val="12"/>
                <w:b w:val="1"/>
                <w:bCs w:val="1"/>
                <w:color w:val="auto"/>
                <w:w w:val="97"/>
              </w:rPr>
              <w:t>32,187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N/A</w:t>
            </w:r>
          </w:p>
        </w:tc>
      </w:tr>
      <w:tr>
        <w:trPr>
          <w:trHeight w:val="340"/>
        </w:trPr>
        <w:tc>
          <w:tcPr>
            <w:tcW w:w="4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Net income of Medical services</w:t>
            </w:r>
          </w:p>
        </w:tc>
        <w:tc>
          <w:tcPr>
            <w:tcW w:w="1660" w:type="dxa"/>
            <w:vAlign w:val="bottom"/>
          </w:tcPr>
          <w:p>
            <w:pPr>
              <w:jc w:val="center"/>
              <w:ind w:right="260"/>
              <w:spacing w:after="0"/>
              <w:rPr>
                <w:sz w:val="20"/>
                <w:szCs w:val="20"/>
                <w:color w:val="auto"/>
              </w:rPr>
            </w:pPr>
            <w:r>
              <w:rPr>
                <w:rFonts w:ascii="Arial" w:cs="Arial" w:eastAsia="Arial" w:hAnsi="Arial"/>
                <w:sz w:val="12"/>
                <w:szCs w:val="12"/>
                <w:b w:val="1"/>
                <w:bCs w:val="1"/>
                <w:color w:val="auto"/>
              </w:rPr>
              <w:t>28,460</w:t>
            </w:r>
          </w:p>
        </w:tc>
        <w:tc>
          <w:tcPr>
            <w:tcW w:w="1040" w:type="dxa"/>
            <w:vAlign w:val="bottom"/>
            <w:tcBorders>
              <w:right w:val="single" w:sz="8" w:color="auto"/>
            </w:tcBorders>
          </w:tcPr>
          <w:p>
            <w:pPr>
              <w:jc w:val="center"/>
              <w:ind w:right="300"/>
              <w:spacing w:after="0"/>
              <w:rPr>
                <w:sz w:val="20"/>
                <w:szCs w:val="20"/>
                <w:color w:val="auto"/>
              </w:rPr>
            </w:pPr>
            <w:r>
              <w:rPr>
                <w:rFonts w:ascii="Arial" w:cs="Arial" w:eastAsia="Arial" w:hAnsi="Arial"/>
                <w:sz w:val="12"/>
                <w:szCs w:val="12"/>
                <w:b w:val="1"/>
                <w:bCs w:val="1"/>
                <w:color w:val="auto"/>
                <w:w w:val="97"/>
              </w:rPr>
              <w:t>28,462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0.0%</w:t>
            </w:r>
          </w:p>
        </w:tc>
      </w:tr>
      <w:tr>
        <w:trPr>
          <w:trHeight w:val="333"/>
        </w:trPr>
        <w:tc>
          <w:tcPr>
            <w:tcW w:w="4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Net income</w:t>
            </w:r>
          </w:p>
        </w:tc>
        <w:tc>
          <w:tcPr>
            <w:tcW w:w="1660" w:type="dxa"/>
            <w:vAlign w:val="bottom"/>
            <w:tcBorders>
              <w:bottom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rPr>
              <w:t>29,222</w:t>
            </w:r>
          </w:p>
        </w:tc>
        <w:tc>
          <w:tcPr>
            <w:tcW w:w="1040" w:type="dxa"/>
            <w:vAlign w:val="bottom"/>
            <w:tcBorders>
              <w:bottom w:val="single" w:sz="8" w:color="auto"/>
              <w:right w:val="single" w:sz="8" w:color="auto"/>
            </w:tcBorders>
          </w:tcPr>
          <w:p>
            <w:pPr>
              <w:jc w:val="center"/>
              <w:ind w:right="300"/>
              <w:spacing w:after="0"/>
              <w:rPr>
                <w:sz w:val="20"/>
                <w:szCs w:val="20"/>
                <w:color w:val="auto"/>
              </w:rPr>
            </w:pPr>
            <w:r>
              <w:rPr>
                <w:rFonts w:ascii="Arial" w:cs="Arial" w:eastAsia="Arial" w:hAnsi="Arial"/>
                <w:sz w:val="12"/>
                <w:szCs w:val="12"/>
                <w:b w:val="1"/>
                <w:bCs w:val="1"/>
                <w:color w:val="auto"/>
                <w:w w:val="97"/>
              </w:rPr>
              <w:t>60,649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107.5%</w:t>
            </w:r>
          </w:p>
        </w:tc>
      </w:tr>
    </w:tbl>
    <w:p>
      <w:pPr>
        <w:spacing w:after="0" w:line="90" w:lineRule="exact"/>
        <w:rPr>
          <w:sz w:val="20"/>
          <w:szCs w:val="20"/>
          <w:color w:val="auto"/>
        </w:rPr>
      </w:pPr>
    </w:p>
    <w:p>
      <w:pPr>
        <w:ind w:left="1860"/>
        <w:spacing w:after="0"/>
        <w:tabs>
          <w:tab w:leader="none" w:pos="2120" w:val="left"/>
        </w:tabs>
        <w:rPr>
          <w:sz w:val="20"/>
          <w:szCs w:val="20"/>
          <w:color w:val="auto"/>
        </w:rPr>
      </w:pPr>
      <w:r>
        <w:rPr>
          <w:rFonts w:ascii="Calibri" w:cs="Calibri" w:eastAsia="Calibri" w:hAnsi="Calibri"/>
          <w:sz w:val="14"/>
          <w:szCs w:val="14"/>
          <w:color w:val="auto"/>
        </w:rPr>
        <w:t>(1)</w:t>
      </w:r>
      <w:r>
        <w:rPr>
          <w:sz w:val="20"/>
          <w:szCs w:val="20"/>
          <w:color w:val="auto"/>
        </w:rPr>
        <w:tab/>
      </w:r>
      <w:r>
        <w:rPr>
          <w:rFonts w:ascii="Calibri" w:cs="Calibri" w:eastAsia="Calibri" w:hAnsi="Calibri"/>
          <w:sz w:val="12"/>
          <w:szCs w:val="12"/>
          <w:color w:val="auto"/>
        </w:rPr>
        <w:t>Reported under IFRS 4 standards.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53910" cy="146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65" w:right="319" w:bottom="1440" w:gutter="0" w:footer="0" w:header="0"/>
        </w:sectPr>
      </w:pPr>
    </w:p>
    <w:bookmarkStart w:id="80" w:name="page81"/>
    <w:bookmarkEnd w:id="80"/>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153910" cy="2305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p>
      <w:pPr>
        <w:ind w:left="9"/>
        <w:spacing w:after="0"/>
        <w:rPr>
          <w:sz w:val="20"/>
          <w:szCs w:val="20"/>
          <w:color w:val="auto"/>
        </w:rPr>
      </w:pPr>
      <w:r>
        <w:rPr>
          <w:rFonts w:ascii="Calibri" w:cs="Calibri" w:eastAsia="Calibri" w:hAnsi="Calibri"/>
          <w:sz w:val="15"/>
          <w:szCs w:val="15"/>
          <w:b w:val="1"/>
          <w:bCs w:val="1"/>
          <w:color w:val="auto"/>
        </w:rPr>
        <w:t>12.6.9. Investment Banking &amp; Wealth Management</w:t>
      </w:r>
    </w:p>
    <w:p>
      <w:pPr>
        <w:spacing w:after="0" w:line="318" w:lineRule="exact"/>
        <w:rPr>
          <w:sz w:val="20"/>
          <w:szCs w:val="20"/>
          <w:color w:val="auto"/>
        </w:rPr>
      </w:pPr>
    </w:p>
    <w:tbl>
      <w:tblPr>
        <w:tblLayout w:type="fixed"/>
        <w:tblInd w:w="19" w:type="dxa"/>
        <w:tblCellMar>
          <w:top w:w="0" w:type="dxa"/>
          <w:left w:w="0" w:type="dxa"/>
          <w:bottom w:w="0" w:type="dxa"/>
          <w:right w:w="0" w:type="dxa"/>
        </w:tblCellMar>
      </w:tblPr>
      <w:tr>
        <w:trPr>
          <w:trHeight w:val="219"/>
        </w:trPr>
        <w:tc>
          <w:tcPr>
            <w:tcW w:w="51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7"/>
                <w:szCs w:val="17"/>
                <w:b w:val="1"/>
                <w:bCs w:val="1"/>
                <w:color w:val="FFFFFF"/>
              </w:rPr>
              <w:t>Investment Banking and Wealth Management</w:t>
            </w:r>
          </w:p>
        </w:tc>
        <w:tc>
          <w:tcPr>
            <w:tcW w:w="1340" w:type="dxa"/>
            <w:vAlign w:val="bottom"/>
            <w:tcBorders>
              <w:top w:val="single" w:sz="8" w:color="auto"/>
            </w:tcBorders>
            <w:shd w:val="clear" w:color="auto" w:fill="2AD2C9"/>
          </w:tcPr>
          <w:p>
            <w:pPr>
              <w:spacing w:after="0"/>
              <w:rPr>
                <w:sz w:val="19"/>
                <w:szCs w:val="19"/>
                <w:color w:val="auto"/>
              </w:rPr>
            </w:pPr>
          </w:p>
        </w:tc>
        <w:tc>
          <w:tcPr>
            <w:tcW w:w="1360" w:type="dxa"/>
            <w:vAlign w:val="bottom"/>
            <w:tcBorders>
              <w:top w:val="single" w:sz="8" w:color="auto"/>
            </w:tcBorders>
            <w:shd w:val="clear" w:color="auto" w:fill="2AD2C9"/>
          </w:tcPr>
          <w:p>
            <w:pPr>
              <w:ind w:left="400"/>
              <w:spacing w:after="0"/>
              <w:rPr>
                <w:sz w:val="20"/>
                <w:szCs w:val="20"/>
                <w:color w:val="auto"/>
              </w:rPr>
            </w:pPr>
            <w:r>
              <w:rPr>
                <w:rFonts w:ascii="Calibri" w:cs="Calibri" w:eastAsia="Calibri" w:hAnsi="Calibri"/>
                <w:sz w:val="17"/>
                <w:szCs w:val="17"/>
                <w:b w:val="1"/>
                <w:bCs w:val="1"/>
                <w:color w:val="FFFFFF"/>
              </w:rPr>
              <w:t>Quarter</w:t>
            </w:r>
          </w:p>
        </w:tc>
        <w:tc>
          <w:tcPr>
            <w:tcW w:w="1360" w:type="dxa"/>
            <w:vAlign w:val="bottom"/>
            <w:tcBorders>
              <w:top w:val="single" w:sz="8" w:color="auto"/>
              <w:right w:val="single" w:sz="8" w:color="auto"/>
            </w:tcBorders>
            <w:shd w:val="clear" w:color="auto" w:fill="2AD2C9"/>
          </w:tcPr>
          <w:p>
            <w:pPr>
              <w:spacing w:after="0"/>
              <w:rPr>
                <w:sz w:val="19"/>
                <w:szCs w:val="19"/>
                <w:color w:val="auto"/>
              </w:rPr>
            </w:pPr>
          </w:p>
        </w:tc>
        <w:tc>
          <w:tcPr>
            <w:tcW w:w="2020" w:type="dxa"/>
            <w:vAlign w:val="bottom"/>
            <w:tcBorders>
              <w:top w:val="single" w:sz="8" w:color="auto"/>
              <w:right w:val="single" w:sz="8" w:color="auto"/>
            </w:tcBorders>
            <w:gridSpan w:val="2"/>
            <w:shd w:val="clear" w:color="auto" w:fill="2AD2C9"/>
          </w:tcPr>
          <w:p>
            <w:pPr>
              <w:ind w:left="660"/>
              <w:spacing w:after="0"/>
              <w:rPr>
                <w:sz w:val="20"/>
                <w:szCs w:val="20"/>
                <w:color w:val="auto"/>
              </w:rPr>
            </w:pPr>
            <w:r>
              <w:rPr>
                <w:rFonts w:ascii="Calibri" w:cs="Calibri" w:eastAsia="Calibri" w:hAnsi="Calibri"/>
                <w:sz w:val="17"/>
                <w:szCs w:val="17"/>
                <w:b w:val="1"/>
                <w:bCs w:val="1"/>
                <w:color w:val="FFFFFF"/>
              </w:rPr>
              <w:t>% change</w:t>
            </w:r>
          </w:p>
        </w:tc>
      </w:tr>
      <w:tr>
        <w:trPr>
          <w:trHeight w:val="265"/>
        </w:trPr>
        <w:tc>
          <w:tcPr>
            <w:tcW w:w="5180" w:type="dxa"/>
            <w:vAlign w:val="bottom"/>
            <w:tcBorders>
              <w:left w:val="single" w:sz="8" w:color="auto"/>
              <w:bottom w:val="single" w:sz="8" w:color="2AD2C9"/>
              <w:right w:val="single" w:sz="8" w:color="auto"/>
            </w:tcBorders>
            <w:shd w:val="clear" w:color="auto" w:fill="2AD2C9"/>
          </w:tcPr>
          <w:p>
            <w:pPr>
              <w:ind w:left="20"/>
              <w:spacing w:after="0"/>
              <w:rPr>
                <w:sz w:val="20"/>
                <w:szCs w:val="20"/>
                <w:color w:val="auto"/>
              </w:rPr>
            </w:pPr>
            <w:r>
              <w:rPr>
                <w:rFonts w:ascii="Calibri" w:cs="Calibri" w:eastAsia="Calibri" w:hAnsi="Calibri"/>
                <w:sz w:val="17"/>
                <w:szCs w:val="17"/>
                <w:b w:val="1"/>
                <w:bCs w:val="1"/>
                <w:color w:val="FFFFFF"/>
              </w:rPr>
              <w:t>S/ 000</w:t>
            </w:r>
          </w:p>
        </w:tc>
        <w:tc>
          <w:tcPr>
            <w:tcW w:w="1340" w:type="dxa"/>
            <w:vAlign w:val="bottom"/>
            <w:tcBorders>
              <w:bottom w:val="single" w:sz="8" w:color="2AD2C9"/>
            </w:tcBorders>
            <w:shd w:val="clear" w:color="auto" w:fill="2AD2C9"/>
          </w:tcPr>
          <w:p>
            <w:pPr>
              <w:jc w:val="center"/>
              <w:spacing w:after="0"/>
              <w:rPr>
                <w:sz w:val="20"/>
                <w:szCs w:val="20"/>
                <w:color w:val="auto"/>
              </w:rPr>
            </w:pPr>
            <w:r>
              <w:rPr>
                <w:rFonts w:ascii="Calibri" w:cs="Calibri" w:eastAsia="Calibri" w:hAnsi="Calibri"/>
                <w:sz w:val="17"/>
                <w:szCs w:val="17"/>
                <w:b w:val="1"/>
                <w:bCs w:val="1"/>
                <w:color w:val="FFFFFF"/>
              </w:rPr>
              <w:t>1Q22</w:t>
            </w:r>
          </w:p>
        </w:tc>
        <w:tc>
          <w:tcPr>
            <w:tcW w:w="1360" w:type="dxa"/>
            <w:vAlign w:val="bottom"/>
            <w:tcBorders>
              <w:bottom w:val="single" w:sz="8" w:color="2AD2C9"/>
            </w:tcBorders>
            <w:shd w:val="clear" w:color="auto" w:fill="2AD2C9"/>
          </w:tcPr>
          <w:p>
            <w:pPr>
              <w:jc w:val="center"/>
              <w:spacing w:after="0"/>
              <w:rPr>
                <w:sz w:val="20"/>
                <w:szCs w:val="20"/>
                <w:color w:val="auto"/>
              </w:rPr>
            </w:pPr>
            <w:r>
              <w:rPr>
                <w:rFonts w:ascii="Calibri" w:cs="Calibri" w:eastAsia="Calibri" w:hAnsi="Calibri"/>
                <w:sz w:val="17"/>
                <w:szCs w:val="17"/>
                <w:b w:val="1"/>
                <w:bCs w:val="1"/>
                <w:color w:val="FFFFFF"/>
                <w:w w:val="95"/>
              </w:rPr>
              <w:t>4Q22</w:t>
            </w:r>
          </w:p>
        </w:tc>
        <w:tc>
          <w:tcPr>
            <w:tcW w:w="1360" w:type="dxa"/>
            <w:vAlign w:val="bottom"/>
            <w:tcBorders>
              <w:bottom w:val="single" w:sz="8" w:color="2AD2C9"/>
              <w:right w:val="single" w:sz="8" w:color="auto"/>
            </w:tcBorders>
            <w:shd w:val="clear" w:color="auto" w:fill="2AD2C9"/>
          </w:tcPr>
          <w:p>
            <w:pPr>
              <w:jc w:val="center"/>
              <w:spacing w:after="0"/>
              <w:rPr>
                <w:sz w:val="20"/>
                <w:szCs w:val="20"/>
                <w:color w:val="auto"/>
              </w:rPr>
            </w:pPr>
            <w:r>
              <w:rPr>
                <w:rFonts w:ascii="Calibri" w:cs="Calibri" w:eastAsia="Calibri" w:hAnsi="Calibri"/>
                <w:sz w:val="17"/>
                <w:szCs w:val="17"/>
                <w:b w:val="1"/>
                <w:bCs w:val="1"/>
                <w:color w:val="FFFFFF"/>
              </w:rPr>
              <w:t>1Q23</w:t>
            </w:r>
          </w:p>
        </w:tc>
        <w:tc>
          <w:tcPr>
            <w:tcW w:w="980" w:type="dxa"/>
            <w:vAlign w:val="bottom"/>
            <w:tcBorders>
              <w:bottom w:val="single" w:sz="8" w:color="2AD2C9"/>
            </w:tcBorders>
            <w:shd w:val="clear" w:color="auto" w:fill="2AD2C9"/>
          </w:tcPr>
          <w:p>
            <w:pPr>
              <w:ind w:left="340"/>
              <w:spacing w:after="0"/>
              <w:rPr>
                <w:sz w:val="20"/>
                <w:szCs w:val="20"/>
                <w:color w:val="auto"/>
              </w:rPr>
            </w:pPr>
            <w:r>
              <w:rPr>
                <w:rFonts w:ascii="Calibri" w:cs="Calibri" w:eastAsia="Calibri" w:hAnsi="Calibri"/>
                <w:sz w:val="17"/>
                <w:szCs w:val="17"/>
                <w:b w:val="1"/>
                <w:bCs w:val="1"/>
                <w:color w:val="FFFFFF"/>
              </w:rPr>
              <w:t>QoQ</w:t>
            </w:r>
          </w:p>
        </w:tc>
        <w:tc>
          <w:tcPr>
            <w:tcW w:w="1040" w:type="dxa"/>
            <w:vAlign w:val="bottom"/>
            <w:tcBorders>
              <w:bottom w:val="single" w:sz="8" w:color="2AD2C9"/>
              <w:right w:val="single" w:sz="8" w:color="auto"/>
            </w:tcBorders>
            <w:shd w:val="clear" w:color="auto" w:fill="2AD2C9"/>
          </w:tcPr>
          <w:p>
            <w:pPr>
              <w:ind w:left="380"/>
              <w:spacing w:after="0"/>
              <w:rPr>
                <w:sz w:val="20"/>
                <w:szCs w:val="20"/>
                <w:color w:val="auto"/>
              </w:rPr>
            </w:pPr>
            <w:r>
              <w:rPr>
                <w:rFonts w:ascii="Calibri" w:cs="Calibri" w:eastAsia="Calibri" w:hAnsi="Calibri"/>
                <w:sz w:val="17"/>
                <w:szCs w:val="17"/>
                <w:b w:val="1"/>
                <w:bCs w:val="1"/>
                <w:color w:val="FFFFFF"/>
              </w:rPr>
              <w:t>YoY</w:t>
            </w:r>
          </w:p>
        </w:tc>
      </w:tr>
      <w:tr>
        <w:trPr>
          <w:trHeight w:val="197"/>
        </w:trPr>
        <w:tc>
          <w:tcPr>
            <w:tcW w:w="5180" w:type="dxa"/>
            <w:vAlign w:val="bottom"/>
            <w:tcBorders>
              <w:top w:val="single" w:sz="8" w:color="auto"/>
              <w:left w:val="single" w:sz="8" w:color="auto"/>
              <w:right w:val="single" w:sz="8" w:color="auto"/>
            </w:tcBorders>
          </w:tcPr>
          <w:p>
            <w:pPr>
              <w:ind w:left="20"/>
              <w:spacing w:after="0" w:line="197" w:lineRule="exact"/>
              <w:rPr>
                <w:sz w:val="20"/>
                <w:szCs w:val="20"/>
                <w:color w:val="auto"/>
              </w:rPr>
            </w:pPr>
            <w:r>
              <w:rPr>
                <w:rFonts w:ascii="Calibri" w:cs="Calibri" w:eastAsia="Calibri" w:hAnsi="Calibri"/>
                <w:sz w:val="17"/>
                <w:szCs w:val="17"/>
                <w:color w:val="auto"/>
              </w:rPr>
              <w:t>Net interest income</w:t>
            </w:r>
          </w:p>
        </w:tc>
        <w:tc>
          <w:tcPr>
            <w:tcW w:w="1340" w:type="dxa"/>
            <w:vAlign w:val="bottom"/>
            <w:tcBorders>
              <w:top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19,340</w:t>
            </w:r>
          </w:p>
        </w:tc>
        <w:tc>
          <w:tcPr>
            <w:tcW w:w="1360" w:type="dxa"/>
            <w:vAlign w:val="bottom"/>
            <w:tcBorders>
              <w:top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22,012</w:t>
            </w:r>
          </w:p>
        </w:tc>
        <w:tc>
          <w:tcPr>
            <w:tcW w:w="1360" w:type="dxa"/>
            <w:vAlign w:val="bottom"/>
            <w:tcBorders>
              <w:top w:val="single" w:sz="8" w:color="auto"/>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22,042</w:t>
            </w:r>
          </w:p>
        </w:tc>
        <w:tc>
          <w:tcPr>
            <w:tcW w:w="980" w:type="dxa"/>
            <w:vAlign w:val="bottom"/>
            <w:tcBorders>
              <w:top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0.1%</w:t>
            </w:r>
          </w:p>
        </w:tc>
        <w:tc>
          <w:tcPr>
            <w:tcW w:w="1040" w:type="dxa"/>
            <w:vAlign w:val="bottom"/>
            <w:tcBorders>
              <w:top w:val="single" w:sz="8" w:color="auto"/>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14%</w:t>
            </w:r>
          </w:p>
        </w:tc>
      </w:tr>
      <w:tr>
        <w:trPr>
          <w:trHeight w:val="218"/>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color w:val="auto"/>
              </w:rPr>
              <w:t>Non-fnancial income</w:t>
            </w:r>
          </w:p>
        </w:tc>
        <w:tc>
          <w:tcPr>
            <w:tcW w:w="1340" w:type="dxa"/>
            <w:vAlign w:val="bottom"/>
          </w:tcPr>
          <w:p>
            <w:pPr>
              <w:jc w:val="center"/>
              <w:spacing w:after="0"/>
              <w:rPr>
                <w:sz w:val="20"/>
                <w:szCs w:val="20"/>
                <w:color w:val="auto"/>
              </w:rPr>
            </w:pPr>
            <w:r>
              <w:rPr>
                <w:rFonts w:ascii="Calibri" w:cs="Calibri" w:eastAsia="Calibri" w:hAnsi="Calibri"/>
                <w:sz w:val="17"/>
                <w:szCs w:val="17"/>
                <w:color w:val="auto"/>
                <w:w w:val="99"/>
              </w:rPr>
              <w:t>179,997</w:t>
            </w:r>
          </w:p>
        </w:tc>
        <w:tc>
          <w:tcPr>
            <w:tcW w:w="1360" w:type="dxa"/>
            <w:vAlign w:val="bottom"/>
          </w:tcPr>
          <w:p>
            <w:pPr>
              <w:jc w:val="center"/>
              <w:spacing w:after="0"/>
              <w:rPr>
                <w:sz w:val="20"/>
                <w:szCs w:val="20"/>
                <w:color w:val="auto"/>
              </w:rPr>
            </w:pPr>
            <w:r>
              <w:rPr>
                <w:rFonts w:ascii="Calibri" w:cs="Calibri" w:eastAsia="Calibri" w:hAnsi="Calibri"/>
                <w:sz w:val="17"/>
                <w:szCs w:val="17"/>
                <w:color w:val="auto"/>
                <w:w w:val="99"/>
              </w:rPr>
              <w:t>190,667</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192,785</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1.1%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7.1%</w:t>
            </w:r>
          </w:p>
        </w:tc>
      </w:tr>
      <w:tr>
        <w:trPr>
          <w:trHeight w:val="227"/>
        </w:trPr>
        <w:tc>
          <w:tcPr>
            <w:tcW w:w="518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Fee income</w:t>
            </w:r>
          </w:p>
        </w:tc>
        <w:tc>
          <w:tcPr>
            <w:tcW w:w="1340" w:type="dxa"/>
            <w:vAlign w:val="bottom"/>
          </w:tcPr>
          <w:p>
            <w:pPr>
              <w:jc w:val="center"/>
              <w:spacing w:after="0"/>
              <w:rPr>
                <w:sz w:val="20"/>
                <w:szCs w:val="20"/>
                <w:color w:val="auto"/>
              </w:rPr>
            </w:pPr>
            <w:r>
              <w:rPr>
                <w:rFonts w:ascii="Calibri" w:cs="Calibri" w:eastAsia="Calibri" w:hAnsi="Calibri"/>
                <w:sz w:val="17"/>
                <w:szCs w:val="17"/>
                <w:color w:val="auto"/>
                <w:w w:val="99"/>
              </w:rPr>
              <w:t>137,586</w:t>
            </w:r>
          </w:p>
        </w:tc>
        <w:tc>
          <w:tcPr>
            <w:tcW w:w="1360" w:type="dxa"/>
            <w:vAlign w:val="bottom"/>
          </w:tcPr>
          <w:p>
            <w:pPr>
              <w:jc w:val="center"/>
              <w:spacing w:after="0"/>
              <w:rPr>
                <w:sz w:val="20"/>
                <w:szCs w:val="20"/>
                <w:color w:val="auto"/>
              </w:rPr>
            </w:pPr>
            <w:r>
              <w:rPr>
                <w:rFonts w:ascii="Calibri" w:cs="Calibri" w:eastAsia="Calibri" w:hAnsi="Calibri"/>
                <w:sz w:val="17"/>
                <w:szCs w:val="17"/>
                <w:color w:val="auto"/>
                <w:w w:val="99"/>
              </w:rPr>
              <w:t>124,761</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122,861</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7"/>
              </w:rPr>
              <w:t>-1.5%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-10.7%</w:t>
            </w:r>
          </w:p>
        </w:tc>
      </w:tr>
      <w:tr>
        <w:trPr>
          <w:trHeight w:val="227"/>
        </w:trPr>
        <w:tc>
          <w:tcPr>
            <w:tcW w:w="518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Net gain on foreign exchange transactons</w:t>
            </w:r>
          </w:p>
        </w:tc>
        <w:tc>
          <w:tcPr>
            <w:tcW w:w="1340" w:type="dxa"/>
            <w:vAlign w:val="bottom"/>
          </w:tcPr>
          <w:p>
            <w:pPr>
              <w:jc w:val="center"/>
              <w:spacing w:after="0"/>
              <w:rPr>
                <w:sz w:val="20"/>
                <w:szCs w:val="20"/>
                <w:color w:val="auto"/>
              </w:rPr>
            </w:pPr>
            <w:r>
              <w:rPr>
                <w:rFonts w:ascii="Calibri" w:cs="Calibri" w:eastAsia="Calibri" w:hAnsi="Calibri"/>
                <w:sz w:val="17"/>
                <w:szCs w:val="17"/>
                <w:color w:val="auto"/>
              </w:rPr>
              <w:t>10,646</w:t>
            </w:r>
          </w:p>
        </w:tc>
        <w:tc>
          <w:tcPr>
            <w:tcW w:w="1360" w:type="dxa"/>
            <w:vAlign w:val="bottom"/>
          </w:tcPr>
          <w:p>
            <w:pPr>
              <w:jc w:val="center"/>
              <w:spacing w:after="0"/>
              <w:rPr>
                <w:sz w:val="20"/>
                <w:szCs w:val="20"/>
                <w:color w:val="auto"/>
              </w:rPr>
            </w:pPr>
            <w:r>
              <w:rPr>
                <w:rFonts w:ascii="Calibri" w:cs="Calibri" w:eastAsia="Calibri" w:hAnsi="Calibri"/>
                <w:sz w:val="17"/>
                <w:szCs w:val="17"/>
                <w:color w:val="auto"/>
              </w:rPr>
              <w:t>9,758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16,084</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9"/>
              </w:rPr>
              <w:t>64.8%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51.1%</w:t>
            </w:r>
          </w:p>
        </w:tc>
      </w:tr>
      <w:tr>
        <w:trPr>
          <w:trHeight w:val="227"/>
        </w:trPr>
        <w:tc>
          <w:tcPr>
            <w:tcW w:w="518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Net gain on sales of securites</w:t>
            </w:r>
          </w:p>
        </w:tc>
        <w:tc>
          <w:tcPr>
            <w:tcW w:w="1340" w:type="dxa"/>
            <w:vAlign w:val="bottom"/>
          </w:tcPr>
          <w:p>
            <w:pPr>
              <w:jc w:val="center"/>
              <w:spacing w:after="0"/>
              <w:rPr>
                <w:sz w:val="20"/>
                <w:szCs w:val="20"/>
                <w:color w:val="auto"/>
              </w:rPr>
            </w:pPr>
            <w:r>
              <w:rPr>
                <w:rFonts w:ascii="Calibri" w:cs="Calibri" w:eastAsia="Calibri" w:hAnsi="Calibri"/>
                <w:sz w:val="17"/>
                <w:szCs w:val="17"/>
                <w:color w:val="auto"/>
              </w:rPr>
              <w:t>10,696</w:t>
            </w:r>
          </w:p>
        </w:tc>
        <w:tc>
          <w:tcPr>
            <w:tcW w:w="1360" w:type="dxa"/>
            <w:vAlign w:val="bottom"/>
          </w:tcPr>
          <w:p>
            <w:pPr>
              <w:jc w:val="center"/>
              <w:spacing w:after="0"/>
              <w:rPr>
                <w:sz w:val="20"/>
                <w:szCs w:val="20"/>
                <w:color w:val="auto"/>
              </w:rPr>
            </w:pPr>
            <w:r>
              <w:rPr>
                <w:rFonts w:ascii="Calibri" w:cs="Calibri" w:eastAsia="Calibri" w:hAnsi="Calibri"/>
                <w:sz w:val="17"/>
                <w:szCs w:val="17"/>
                <w:color w:val="auto"/>
              </w:rPr>
              <w:t>42,349</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51,902</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9"/>
              </w:rPr>
              <w:t>22.6%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385.2%</w:t>
            </w:r>
          </w:p>
        </w:tc>
      </w:tr>
      <w:tr>
        <w:trPr>
          <w:trHeight w:val="227"/>
        </w:trPr>
        <w:tc>
          <w:tcPr>
            <w:tcW w:w="518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Derivatve Result</w:t>
            </w:r>
          </w:p>
        </w:tc>
        <w:tc>
          <w:tcPr>
            <w:tcW w:w="1340" w:type="dxa"/>
            <w:vAlign w:val="bottom"/>
          </w:tcPr>
          <w:p>
            <w:pPr>
              <w:jc w:val="center"/>
              <w:spacing w:after="0"/>
              <w:rPr>
                <w:sz w:val="20"/>
                <w:szCs w:val="20"/>
                <w:color w:val="auto"/>
              </w:rPr>
            </w:pPr>
            <w:r>
              <w:rPr>
                <w:rFonts w:ascii="Calibri" w:cs="Calibri" w:eastAsia="Calibri" w:hAnsi="Calibri"/>
                <w:sz w:val="17"/>
                <w:szCs w:val="17"/>
                <w:color w:val="auto"/>
              </w:rPr>
              <w:t>10,841</w:t>
            </w:r>
          </w:p>
        </w:tc>
        <w:tc>
          <w:tcPr>
            <w:tcW w:w="1360" w:type="dxa"/>
            <w:vAlign w:val="bottom"/>
          </w:tcPr>
          <w:p>
            <w:pPr>
              <w:jc w:val="center"/>
              <w:spacing w:after="0"/>
              <w:rPr>
                <w:sz w:val="20"/>
                <w:szCs w:val="20"/>
                <w:color w:val="auto"/>
              </w:rPr>
            </w:pPr>
            <w:r>
              <w:rPr>
                <w:rFonts w:ascii="Calibri" w:cs="Calibri" w:eastAsia="Calibri" w:hAnsi="Calibri"/>
                <w:sz w:val="17"/>
                <w:szCs w:val="17"/>
                <w:color w:val="auto"/>
                <w:w w:val="98"/>
              </w:rPr>
              <w:t>-11,908</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-28,858</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8"/>
              </w:rPr>
              <w:t>142.3%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-366.2%</w:t>
            </w:r>
          </w:p>
        </w:tc>
      </w:tr>
      <w:tr>
        <w:trPr>
          <w:trHeight w:val="227"/>
        </w:trPr>
        <w:tc>
          <w:tcPr>
            <w:tcW w:w="518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Result from exposure to the exchange rate</w:t>
            </w:r>
          </w:p>
        </w:tc>
        <w:tc>
          <w:tcPr>
            <w:tcW w:w="1340" w:type="dxa"/>
            <w:vAlign w:val="bottom"/>
          </w:tcPr>
          <w:p>
            <w:pPr>
              <w:jc w:val="center"/>
              <w:spacing w:after="0"/>
              <w:rPr>
                <w:sz w:val="20"/>
                <w:szCs w:val="20"/>
                <w:color w:val="auto"/>
              </w:rPr>
            </w:pPr>
            <w:r>
              <w:rPr>
                <w:rFonts w:ascii="Calibri" w:cs="Calibri" w:eastAsia="Calibri" w:hAnsi="Calibri"/>
                <w:sz w:val="17"/>
                <w:szCs w:val="17"/>
                <w:color w:val="auto"/>
                <w:w w:val="97"/>
              </w:rPr>
              <w:t>2,227</w:t>
            </w:r>
          </w:p>
        </w:tc>
        <w:tc>
          <w:tcPr>
            <w:tcW w:w="1360" w:type="dxa"/>
            <w:vAlign w:val="bottom"/>
          </w:tcPr>
          <w:p>
            <w:pPr>
              <w:jc w:val="center"/>
              <w:spacing w:after="0"/>
              <w:rPr>
                <w:sz w:val="20"/>
                <w:szCs w:val="20"/>
                <w:color w:val="auto"/>
              </w:rPr>
            </w:pPr>
            <w:r>
              <w:rPr>
                <w:rFonts w:ascii="Calibri" w:cs="Calibri" w:eastAsia="Calibri" w:hAnsi="Calibri"/>
                <w:sz w:val="17"/>
                <w:szCs w:val="17"/>
                <w:color w:val="auto"/>
              </w:rPr>
              <w:t>19,483</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22,997</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9"/>
              </w:rPr>
              <w:t>18.0%</w:t>
            </w:r>
          </w:p>
        </w:tc>
        <w:tc>
          <w:tcPr>
            <w:tcW w:w="1040" w:type="dxa"/>
            <w:vAlign w:val="bottom"/>
            <w:tcBorders>
              <w:right w:val="single" w:sz="8" w:color="auto"/>
            </w:tcBorders>
          </w:tcPr>
          <w:p>
            <w:pPr>
              <w:ind w:left="400"/>
              <w:spacing w:after="0"/>
              <w:rPr>
                <w:sz w:val="20"/>
                <w:szCs w:val="20"/>
                <w:color w:val="auto"/>
              </w:rPr>
            </w:pPr>
            <w:r>
              <w:rPr>
                <w:rFonts w:ascii="Calibri" w:cs="Calibri" w:eastAsia="Calibri" w:hAnsi="Calibri"/>
                <w:sz w:val="17"/>
                <w:szCs w:val="17"/>
                <w:color w:val="auto"/>
              </w:rPr>
              <w:t>n.a</w:t>
            </w:r>
          </w:p>
        </w:tc>
      </w:tr>
      <w:tr>
        <w:trPr>
          <w:trHeight w:val="227"/>
        </w:trPr>
        <w:tc>
          <w:tcPr>
            <w:tcW w:w="518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Other income</w:t>
            </w:r>
          </w:p>
        </w:tc>
        <w:tc>
          <w:tcPr>
            <w:tcW w:w="1340" w:type="dxa"/>
            <w:vAlign w:val="bottom"/>
          </w:tcPr>
          <w:p>
            <w:pPr>
              <w:jc w:val="center"/>
              <w:spacing w:after="0"/>
              <w:rPr>
                <w:sz w:val="20"/>
                <w:szCs w:val="20"/>
                <w:color w:val="auto"/>
              </w:rPr>
            </w:pPr>
            <w:r>
              <w:rPr>
                <w:rFonts w:ascii="Calibri" w:cs="Calibri" w:eastAsia="Calibri" w:hAnsi="Calibri"/>
                <w:sz w:val="17"/>
                <w:szCs w:val="17"/>
                <w:color w:val="auto"/>
                <w:w w:val="97"/>
              </w:rPr>
              <w:t>8,001</w:t>
            </w:r>
          </w:p>
        </w:tc>
        <w:tc>
          <w:tcPr>
            <w:tcW w:w="1360" w:type="dxa"/>
            <w:vAlign w:val="bottom"/>
          </w:tcPr>
          <w:p>
            <w:pPr>
              <w:jc w:val="center"/>
              <w:spacing w:after="0"/>
              <w:rPr>
                <w:sz w:val="20"/>
                <w:szCs w:val="20"/>
                <w:color w:val="auto"/>
              </w:rPr>
            </w:pPr>
            <w:r>
              <w:rPr>
                <w:rFonts w:ascii="Calibri" w:cs="Calibri" w:eastAsia="Calibri" w:hAnsi="Calibri"/>
                <w:sz w:val="17"/>
                <w:szCs w:val="17"/>
                <w:color w:val="auto"/>
              </w:rPr>
              <w:t>6,224</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7,799</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9"/>
              </w:rPr>
              <w:t>25.3%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-2.5%</w:t>
            </w:r>
          </w:p>
        </w:tc>
      </w:tr>
      <w:tr>
        <w:trPr>
          <w:trHeight w:val="227"/>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color w:val="auto"/>
              </w:rPr>
              <w:t>Operatng expenses (1)</w:t>
            </w:r>
          </w:p>
        </w:tc>
        <w:tc>
          <w:tcPr>
            <w:tcW w:w="1340" w:type="dxa"/>
            <w:vAlign w:val="bottom"/>
          </w:tcPr>
          <w:p>
            <w:pPr>
              <w:jc w:val="center"/>
              <w:spacing w:after="0"/>
              <w:rPr>
                <w:sz w:val="20"/>
                <w:szCs w:val="20"/>
                <w:color w:val="auto"/>
              </w:rPr>
            </w:pPr>
            <w:r>
              <w:rPr>
                <w:rFonts w:ascii="Calibri" w:cs="Calibri" w:eastAsia="Calibri" w:hAnsi="Calibri"/>
                <w:sz w:val="17"/>
                <w:szCs w:val="17"/>
                <w:color w:val="auto"/>
                <w:w w:val="98"/>
              </w:rPr>
              <w:t>-162,258</w:t>
            </w:r>
          </w:p>
        </w:tc>
        <w:tc>
          <w:tcPr>
            <w:tcW w:w="1360" w:type="dxa"/>
            <w:vAlign w:val="bottom"/>
          </w:tcPr>
          <w:p>
            <w:pPr>
              <w:jc w:val="center"/>
              <w:spacing w:after="0"/>
              <w:rPr>
                <w:sz w:val="20"/>
                <w:szCs w:val="20"/>
                <w:color w:val="auto"/>
              </w:rPr>
            </w:pPr>
            <w:r>
              <w:rPr>
                <w:rFonts w:ascii="Calibri" w:cs="Calibri" w:eastAsia="Calibri" w:hAnsi="Calibri"/>
                <w:sz w:val="17"/>
                <w:szCs w:val="17"/>
                <w:color w:val="auto"/>
                <w:w w:val="98"/>
              </w:rPr>
              <w:t>-163,684</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-163,109</w:t>
            </w:r>
          </w:p>
        </w:tc>
        <w:tc>
          <w:tcPr>
            <w:tcW w:w="980" w:type="dxa"/>
            <w:vAlign w:val="bottom"/>
          </w:tcPr>
          <w:p>
            <w:pPr>
              <w:jc w:val="center"/>
              <w:spacing w:after="0"/>
              <w:rPr>
                <w:sz w:val="20"/>
                <w:szCs w:val="20"/>
                <w:color w:val="auto"/>
              </w:rPr>
            </w:pPr>
            <w:r>
              <w:rPr>
                <w:rFonts w:ascii="Calibri" w:cs="Calibri" w:eastAsia="Calibri" w:hAnsi="Calibri"/>
                <w:sz w:val="17"/>
                <w:szCs w:val="17"/>
                <w:color w:val="auto"/>
                <w:w w:val="97"/>
              </w:rPr>
              <w:t>-0.4%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0.5%</w:t>
            </w:r>
          </w:p>
        </w:tc>
      </w:tr>
      <w:tr>
        <w:trPr>
          <w:trHeight w:val="42"/>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197"/>
        </w:trPr>
        <w:tc>
          <w:tcPr>
            <w:tcW w:w="5180" w:type="dxa"/>
            <w:vAlign w:val="bottom"/>
            <w:tcBorders>
              <w:left w:val="single" w:sz="8" w:color="auto"/>
              <w:right w:val="single" w:sz="8" w:color="auto"/>
            </w:tcBorders>
          </w:tcPr>
          <w:p>
            <w:pPr>
              <w:ind w:left="20"/>
              <w:spacing w:after="0" w:line="197" w:lineRule="exact"/>
              <w:rPr>
                <w:sz w:val="20"/>
                <w:szCs w:val="20"/>
                <w:color w:val="auto"/>
              </w:rPr>
            </w:pPr>
            <w:r>
              <w:rPr>
                <w:rFonts w:ascii="Calibri" w:cs="Calibri" w:eastAsia="Calibri" w:hAnsi="Calibri"/>
                <w:sz w:val="17"/>
                <w:szCs w:val="17"/>
                <w:b w:val="1"/>
                <w:bCs w:val="1"/>
                <w:color w:val="auto"/>
              </w:rPr>
              <w:t>Operatng income</w:t>
            </w:r>
          </w:p>
        </w:tc>
        <w:tc>
          <w:tcPr>
            <w:tcW w:w="134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37,079</w:t>
            </w:r>
          </w:p>
        </w:tc>
        <w:tc>
          <w:tcPr>
            <w:tcW w:w="136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48,995</w:t>
            </w:r>
          </w:p>
        </w:tc>
        <w:tc>
          <w:tcPr>
            <w:tcW w:w="136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rPr>
              <w:t>51,718</w:t>
            </w:r>
          </w:p>
        </w:tc>
        <w:tc>
          <w:tcPr>
            <w:tcW w:w="98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9"/>
              </w:rPr>
              <w:t>5.6%</w:t>
            </w:r>
          </w:p>
        </w:tc>
        <w:tc>
          <w:tcPr>
            <w:tcW w:w="10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rPr>
              <w:t>39%</w:t>
            </w:r>
          </w:p>
        </w:tc>
      </w:tr>
      <w:tr>
        <w:trPr>
          <w:trHeight w:val="33"/>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197"/>
        </w:trPr>
        <w:tc>
          <w:tcPr>
            <w:tcW w:w="5180" w:type="dxa"/>
            <w:vAlign w:val="bottom"/>
            <w:tcBorders>
              <w:left w:val="single" w:sz="8" w:color="auto"/>
              <w:right w:val="single" w:sz="8" w:color="auto"/>
            </w:tcBorders>
          </w:tcPr>
          <w:p>
            <w:pPr>
              <w:ind w:left="20"/>
              <w:spacing w:after="0" w:line="197" w:lineRule="exact"/>
              <w:rPr>
                <w:sz w:val="20"/>
                <w:szCs w:val="20"/>
                <w:color w:val="auto"/>
              </w:rPr>
            </w:pPr>
            <w:r>
              <w:rPr>
                <w:rFonts w:ascii="Calibri" w:cs="Calibri" w:eastAsia="Calibri" w:hAnsi="Calibri"/>
                <w:sz w:val="17"/>
                <w:szCs w:val="17"/>
                <w:color w:val="auto"/>
              </w:rPr>
              <w:t>Income taxes</w:t>
            </w:r>
          </w:p>
        </w:tc>
        <w:tc>
          <w:tcPr>
            <w:tcW w:w="1340" w:type="dxa"/>
            <w:vAlign w:val="bottom"/>
          </w:tcPr>
          <w:p>
            <w:pPr>
              <w:jc w:val="center"/>
              <w:spacing w:after="0" w:line="197" w:lineRule="exact"/>
              <w:rPr>
                <w:sz w:val="20"/>
                <w:szCs w:val="20"/>
                <w:color w:val="auto"/>
              </w:rPr>
            </w:pPr>
            <w:r>
              <w:rPr>
                <w:rFonts w:ascii="Calibri" w:cs="Calibri" w:eastAsia="Calibri" w:hAnsi="Calibri"/>
                <w:sz w:val="17"/>
                <w:szCs w:val="17"/>
                <w:color w:val="auto"/>
              </w:rPr>
              <w:t>-1,548</w:t>
            </w:r>
          </w:p>
        </w:tc>
        <w:tc>
          <w:tcPr>
            <w:tcW w:w="1360" w:type="dxa"/>
            <w:vAlign w:val="bottom"/>
          </w:tcPr>
          <w:p>
            <w:pPr>
              <w:jc w:val="center"/>
              <w:spacing w:after="0" w:line="197" w:lineRule="exact"/>
              <w:rPr>
                <w:sz w:val="20"/>
                <w:szCs w:val="20"/>
                <w:color w:val="auto"/>
              </w:rPr>
            </w:pPr>
            <w:r>
              <w:rPr>
                <w:rFonts w:ascii="Calibri" w:cs="Calibri" w:eastAsia="Calibri" w:hAnsi="Calibri"/>
                <w:sz w:val="17"/>
                <w:szCs w:val="17"/>
                <w:color w:val="auto"/>
                <w:w w:val="98"/>
              </w:rPr>
              <w:t>-12,803</w:t>
            </w:r>
          </w:p>
        </w:tc>
        <w:tc>
          <w:tcPr>
            <w:tcW w:w="136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rPr>
              <w:t>-7,611</w:t>
            </w:r>
          </w:p>
        </w:tc>
        <w:tc>
          <w:tcPr>
            <w:tcW w:w="980" w:type="dxa"/>
            <w:vAlign w:val="bottom"/>
          </w:tcPr>
          <w:p>
            <w:pPr>
              <w:jc w:val="center"/>
              <w:spacing w:after="0" w:line="197" w:lineRule="exact"/>
              <w:rPr>
                <w:sz w:val="20"/>
                <w:szCs w:val="20"/>
                <w:color w:val="auto"/>
              </w:rPr>
            </w:pPr>
            <w:r>
              <w:rPr>
                <w:rFonts w:ascii="Calibri" w:cs="Calibri" w:eastAsia="Calibri" w:hAnsi="Calibri"/>
                <w:sz w:val="17"/>
                <w:szCs w:val="17"/>
                <w:color w:val="auto"/>
              </w:rPr>
              <w:t>-40.6%</w:t>
            </w:r>
          </w:p>
        </w:tc>
        <w:tc>
          <w:tcPr>
            <w:tcW w:w="10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color w:val="auto"/>
                <w:w w:val="98"/>
              </w:rPr>
              <w:t>391.7%</w:t>
            </w:r>
          </w:p>
        </w:tc>
      </w:tr>
      <w:tr>
        <w:trPr>
          <w:trHeight w:val="218"/>
        </w:trPr>
        <w:tc>
          <w:tcPr>
            <w:tcW w:w="5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color w:val="auto"/>
              </w:rPr>
              <w:t>Non-controlling interest</w:t>
            </w:r>
          </w:p>
        </w:tc>
        <w:tc>
          <w:tcPr>
            <w:tcW w:w="1340" w:type="dxa"/>
            <w:vAlign w:val="bottom"/>
          </w:tcPr>
          <w:p>
            <w:pPr>
              <w:jc w:val="center"/>
              <w:spacing w:after="0"/>
              <w:rPr>
                <w:sz w:val="20"/>
                <w:szCs w:val="20"/>
                <w:color w:val="auto"/>
              </w:rPr>
            </w:pPr>
            <w:r>
              <w:rPr>
                <w:rFonts w:ascii="Calibri" w:cs="Calibri" w:eastAsia="Calibri" w:hAnsi="Calibri"/>
                <w:sz w:val="17"/>
                <w:szCs w:val="17"/>
                <w:color w:val="auto"/>
              </w:rPr>
              <w:t>757</w:t>
            </w:r>
          </w:p>
        </w:tc>
        <w:tc>
          <w:tcPr>
            <w:tcW w:w="1360" w:type="dxa"/>
            <w:vAlign w:val="bottom"/>
          </w:tcPr>
          <w:p>
            <w:pPr>
              <w:jc w:val="center"/>
              <w:spacing w:after="0"/>
              <w:rPr>
                <w:sz w:val="20"/>
                <w:szCs w:val="20"/>
                <w:color w:val="auto"/>
              </w:rPr>
            </w:pPr>
            <w:r>
              <w:rPr>
                <w:rFonts w:ascii="Calibri" w:cs="Calibri" w:eastAsia="Calibri" w:hAnsi="Calibri"/>
                <w:sz w:val="17"/>
                <w:szCs w:val="17"/>
                <w:color w:val="auto"/>
              </w:rPr>
              <w:t>-2,829</w:t>
            </w:r>
          </w:p>
        </w:tc>
        <w:tc>
          <w:tcPr>
            <w:tcW w:w="13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6"/>
              </w:rPr>
              <w:t>-175</w:t>
            </w:r>
          </w:p>
        </w:tc>
        <w:tc>
          <w:tcPr>
            <w:tcW w:w="980" w:type="dxa"/>
            <w:vAlign w:val="bottom"/>
          </w:tcPr>
          <w:p>
            <w:pPr>
              <w:jc w:val="center"/>
              <w:spacing w:after="0"/>
              <w:rPr>
                <w:sz w:val="20"/>
                <w:szCs w:val="20"/>
                <w:color w:val="auto"/>
              </w:rPr>
            </w:pPr>
            <w:r>
              <w:rPr>
                <w:rFonts w:ascii="Calibri" w:cs="Calibri" w:eastAsia="Calibri" w:hAnsi="Calibri"/>
                <w:sz w:val="17"/>
                <w:szCs w:val="17"/>
                <w:color w:val="auto"/>
              </w:rPr>
              <w:t>-93.8%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-123.1%</w:t>
            </w:r>
          </w:p>
        </w:tc>
      </w:tr>
      <w:tr>
        <w:trPr>
          <w:trHeight w:val="42"/>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197"/>
        </w:trPr>
        <w:tc>
          <w:tcPr>
            <w:tcW w:w="5180" w:type="dxa"/>
            <w:vAlign w:val="bottom"/>
            <w:tcBorders>
              <w:left w:val="single" w:sz="8" w:color="auto"/>
              <w:right w:val="single" w:sz="8" w:color="auto"/>
            </w:tcBorders>
          </w:tcPr>
          <w:p>
            <w:pPr>
              <w:ind w:left="20"/>
              <w:spacing w:after="0" w:line="197" w:lineRule="exact"/>
              <w:rPr>
                <w:sz w:val="20"/>
                <w:szCs w:val="20"/>
                <w:color w:val="auto"/>
              </w:rPr>
            </w:pPr>
            <w:r>
              <w:rPr>
                <w:rFonts w:ascii="Calibri" w:cs="Calibri" w:eastAsia="Calibri" w:hAnsi="Calibri"/>
                <w:sz w:val="17"/>
                <w:szCs w:val="17"/>
                <w:b w:val="1"/>
                <w:bCs w:val="1"/>
                <w:color w:val="auto"/>
              </w:rPr>
              <w:t>Net income</w:t>
            </w:r>
          </w:p>
        </w:tc>
        <w:tc>
          <w:tcPr>
            <w:tcW w:w="134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34,774</w:t>
            </w:r>
          </w:p>
        </w:tc>
        <w:tc>
          <w:tcPr>
            <w:tcW w:w="136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rPr>
              <w:t>39,021</w:t>
            </w:r>
          </w:p>
        </w:tc>
        <w:tc>
          <w:tcPr>
            <w:tcW w:w="136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rPr>
              <w:t>44,282</w:t>
            </w:r>
          </w:p>
        </w:tc>
        <w:tc>
          <w:tcPr>
            <w:tcW w:w="980" w:type="dxa"/>
            <w:vAlign w:val="bottom"/>
          </w:tcPr>
          <w:p>
            <w:pPr>
              <w:jc w:val="center"/>
              <w:spacing w:after="0" w:line="197" w:lineRule="exact"/>
              <w:rPr>
                <w:sz w:val="20"/>
                <w:szCs w:val="20"/>
                <w:color w:val="auto"/>
              </w:rPr>
            </w:pPr>
            <w:r>
              <w:rPr>
                <w:rFonts w:ascii="Calibri" w:cs="Calibri" w:eastAsia="Calibri" w:hAnsi="Calibri"/>
                <w:sz w:val="17"/>
                <w:szCs w:val="17"/>
                <w:b w:val="1"/>
                <w:bCs w:val="1"/>
                <w:color w:val="auto"/>
                <w:w w:val="98"/>
              </w:rPr>
              <w:t>13.5%</w:t>
            </w:r>
          </w:p>
        </w:tc>
        <w:tc>
          <w:tcPr>
            <w:tcW w:w="1040" w:type="dxa"/>
            <w:vAlign w:val="bottom"/>
            <w:tcBorders>
              <w:right w:val="single" w:sz="8" w:color="auto"/>
            </w:tcBorders>
          </w:tcPr>
          <w:p>
            <w:pPr>
              <w:jc w:val="center"/>
              <w:spacing w:after="0" w:line="197" w:lineRule="exact"/>
              <w:rPr>
                <w:sz w:val="20"/>
                <w:szCs w:val="20"/>
                <w:color w:val="auto"/>
              </w:rPr>
            </w:pPr>
            <w:r>
              <w:rPr>
                <w:rFonts w:ascii="Calibri" w:cs="Calibri" w:eastAsia="Calibri" w:hAnsi="Calibri"/>
                <w:sz w:val="17"/>
                <w:szCs w:val="17"/>
                <w:b w:val="1"/>
                <w:bCs w:val="1"/>
                <w:color w:val="auto"/>
                <w:w w:val="98"/>
              </w:rPr>
              <w:t>27.3%</w:t>
            </w:r>
          </w:p>
        </w:tc>
      </w:tr>
      <w:tr>
        <w:trPr>
          <w:trHeight w:val="33"/>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ind w:left="269" w:hanging="269"/>
        <w:spacing w:after="0" w:line="203" w:lineRule="auto"/>
        <w:tabs>
          <w:tab w:leader="none" w:pos="269" w:val="left"/>
        </w:tabs>
        <w:numPr>
          <w:ilvl w:val="0"/>
          <w:numId w:val="73"/>
        </w:numPr>
        <w:rPr>
          <w:rFonts w:ascii="Calibri" w:cs="Calibri" w:eastAsia="Calibri" w:hAnsi="Calibri"/>
          <w:sz w:val="10"/>
          <w:szCs w:val="10"/>
          <w:color w:val="auto"/>
        </w:rPr>
      </w:pPr>
      <w:r>
        <w:rPr>
          <w:rFonts w:ascii="Calibri" w:cs="Calibri" w:eastAsia="Calibri" w:hAnsi="Calibri"/>
          <w:sz w:val="10"/>
          <w:szCs w:val="10"/>
          <w:color w:val="auto"/>
        </w:rPr>
        <w:t>Includes: Salaries and employee’s benefts + Administratve expenses + Assigned expenses + Depreciaton and amortzaton + Tax and contributons + Other expenses.</w:t>
      </w:r>
    </w:p>
    <w:p>
      <w:pPr>
        <w:spacing w:after="0" w:line="331"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65" w:right="319" w:bottom="1440" w:gutter="0" w:footer="0" w:header="0"/>
        </w:sectPr>
      </w:pPr>
    </w:p>
    <w:bookmarkStart w:id="81" w:name="page82"/>
    <w:bookmarkEnd w:id="81"/>
    <w:p>
      <w:pPr>
        <w:ind w:left="2709"/>
        <w:spacing w:after="0"/>
        <w:tabs>
          <w:tab w:leader="none" w:pos="2909" w:val="left"/>
          <w:tab w:leader="none" w:pos="8569"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153910" cy="2305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ind w:left="9"/>
        <w:spacing w:after="0"/>
        <w:rPr>
          <w:sz w:val="20"/>
          <w:szCs w:val="20"/>
          <w:color w:val="auto"/>
        </w:rPr>
      </w:pPr>
      <w:r>
        <w:rPr>
          <w:rFonts w:ascii="Calibri" w:cs="Calibri" w:eastAsia="Calibri" w:hAnsi="Calibri"/>
          <w:sz w:val="18"/>
          <w:szCs w:val="18"/>
          <w:b w:val="1"/>
          <w:bCs w:val="1"/>
          <w:color w:val="FFFFFF"/>
        </w:rPr>
        <w:t>12. Appendix</w:t>
      </w:r>
    </w:p>
    <w:p>
      <w:pPr>
        <w:spacing w:after="0" w:line="242" w:lineRule="exact"/>
        <w:rPr>
          <w:sz w:val="20"/>
          <w:szCs w:val="20"/>
          <w:color w:val="auto"/>
        </w:rPr>
      </w:pPr>
    </w:p>
    <w:p>
      <w:pPr>
        <w:ind w:left="9"/>
        <w:spacing w:after="0"/>
        <w:rPr>
          <w:sz w:val="20"/>
          <w:szCs w:val="20"/>
          <w:color w:val="auto"/>
        </w:rPr>
      </w:pPr>
      <w:r>
        <w:rPr>
          <w:rFonts w:ascii="Calibri" w:cs="Calibri" w:eastAsia="Calibri" w:hAnsi="Calibri"/>
          <w:sz w:val="17"/>
          <w:szCs w:val="17"/>
          <w:b w:val="1"/>
          <w:bCs w:val="1"/>
          <w:color w:val="auto"/>
        </w:rPr>
        <w:t>12.7. Table of calculatons</w:t>
      </w:r>
    </w:p>
    <w:p>
      <w:pPr>
        <w:spacing w:after="0" w:line="212" w:lineRule="exact"/>
        <w:rPr>
          <w:sz w:val="20"/>
          <w:szCs w:val="20"/>
          <w:color w:val="auto"/>
        </w:rPr>
      </w:pPr>
    </w:p>
    <w:tbl>
      <w:tblPr>
        <w:tblLayout w:type="fixed"/>
        <w:tblInd w:w="19" w:type="dxa"/>
        <w:tblCellMar>
          <w:top w:w="0" w:type="dxa"/>
          <w:left w:w="0" w:type="dxa"/>
          <w:bottom w:w="0" w:type="dxa"/>
          <w:right w:w="0" w:type="dxa"/>
        </w:tblCellMar>
      </w:tblPr>
      <w:tr>
        <w:trPr>
          <w:trHeight w:val="196"/>
        </w:trPr>
        <w:tc>
          <w:tcPr>
            <w:tcW w:w="1200" w:type="dxa"/>
            <w:vAlign w:val="bottom"/>
            <w:tcBorders>
              <w:top w:val="single" w:sz="8" w:color="auto"/>
              <w:left w:val="single" w:sz="8" w:color="auto"/>
              <w:bottom w:val="single" w:sz="8" w:color="auto"/>
              <w:right w:val="single" w:sz="8" w:color="2AD2C9"/>
            </w:tcBorders>
            <w:shd w:val="clear" w:color="auto" w:fill="2AD2C9"/>
          </w:tcPr>
          <w:p>
            <w:pPr>
              <w:spacing w:after="0"/>
              <w:rPr>
                <w:sz w:val="17"/>
                <w:szCs w:val="17"/>
                <w:color w:val="auto"/>
              </w:rPr>
            </w:pPr>
          </w:p>
        </w:tc>
        <w:tc>
          <w:tcPr>
            <w:tcW w:w="2400" w:type="dxa"/>
            <w:vAlign w:val="bottom"/>
            <w:tcBorders>
              <w:top w:val="single" w:sz="8" w:color="auto"/>
              <w:bottom w:val="single" w:sz="8" w:color="auto"/>
              <w:right w:val="single" w:sz="8" w:color="2AD2C9"/>
            </w:tcBorders>
            <w:shd w:val="clear" w:color="auto" w:fill="2AD2C9"/>
          </w:tcPr>
          <w:p>
            <w:pPr>
              <w:spacing w:after="0"/>
              <w:rPr>
                <w:sz w:val="17"/>
                <w:szCs w:val="17"/>
                <w:color w:val="auto"/>
              </w:rPr>
            </w:pPr>
          </w:p>
        </w:tc>
        <w:tc>
          <w:tcPr>
            <w:tcW w:w="1360" w:type="dxa"/>
            <w:vAlign w:val="bottom"/>
            <w:tcBorders>
              <w:top w:val="single" w:sz="8" w:color="auto"/>
              <w:bottom w:val="single" w:sz="8" w:color="auto"/>
            </w:tcBorders>
            <w:shd w:val="clear" w:color="auto" w:fill="2AD2C9"/>
          </w:tcPr>
          <w:p>
            <w:pPr>
              <w:spacing w:after="0"/>
              <w:rPr>
                <w:sz w:val="17"/>
                <w:szCs w:val="17"/>
                <w:color w:val="auto"/>
              </w:rPr>
            </w:pPr>
          </w:p>
        </w:tc>
        <w:tc>
          <w:tcPr>
            <w:tcW w:w="6300" w:type="dxa"/>
            <w:vAlign w:val="bottom"/>
            <w:tcBorders>
              <w:top w:val="single" w:sz="8" w:color="auto"/>
              <w:bottom w:val="single" w:sz="8" w:color="auto"/>
              <w:right w:val="single" w:sz="8" w:color="auto"/>
            </w:tcBorders>
            <w:gridSpan w:val="17"/>
            <w:shd w:val="clear" w:color="auto" w:fill="2AD2C9"/>
          </w:tcPr>
          <w:p>
            <w:pPr>
              <w:ind w:left="80"/>
              <w:spacing w:after="0" w:line="193" w:lineRule="exact"/>
              <w:rPr>
                <w:sz w:val="20"/>
                <w:szCs w:val="20"/>
                <w:color w:val="auto"/>
              </w:rPr>
            </w:pPr>
            <w:r>
              <w:rPr>
                <w:rFonts w:ascii="Calibri" w:cs="Calibri" w:eastAsia="Calibri" w:hAnsi="Calibri"/>
                <w:sz w:val="12"/>
                <w:szCs w:val="12"/>
                <w:b w:val="1"/>
                <w:bCs w:val="1"/>
                <w:color w:val="FFFFFF"/>
              </w:rPr>
              <w:t xml:space="preserve">Table of calculatons </w:t>
            </w:r>
            <w:r>
              <w:rPr>
                <w:rFonts w:ascii="Calibri" w:cs="Calibri" w:eastAsia="Calibri" w:hAnsi="Calibri"/>
                <w:sz w:val="20"/>
                <w:szCs w:val="20"/>
                <w:color w:val="FFFFFF"/>
                <w:vertAlign w:val="superscript"/>
              </w:rPr>
              <w:t>(1)</w:t>
            </w:r>
          </w:p>
        </w:tc>
        <w:tc>
          <w:tcPr>
            <w:tcW w:w="0" w:type="dxa"/>
            <w:vAlign w:val="bottom"/>
          </w:tcPr>
          <w:p>
            <w:pPr>
              <w:spacing w:after="0"/>
              <w:rPr>
                <w:sz w:val="1"/>
                <w:szCs w:val="1"/>
                <w:color w:val="auto"/>
              </w:rPr>
            </w:pPr>
          </w:p>
        </w:tc>
      </w:tr>
      <w:tr>
        <w:trPr>
          <w:trHeight w:val="189"/>
        </w:trPr>
        <w:tc>
          <w:tcPr>
            <w:tcW w:w="1200" w:type="dxa"/>
            <w:vAlign w:val="bottom"/>
            <w:tcBorders>
              <w:left w:val="single" w:sz="8" w:color="auto"/>
              <w:right w:val="single" w:sz="8" w:color="auto"/>
            </w:tcBorders>
          </w:tcPr>
          <w:p>
            <w:pPr>
              <w:spacing w:after="0"/>
              <w:rPr>
                <w:sz w:val="16"/>
                <w:szCs w:val="16"/>
                <w:color w:val="auto"/>
              </w:rPr>
            </w:pPr>
          </w:p>
        </w:tc>
        <w:tc>
          <w:tcPr>
            <w:tcW w:w="2400" w:type="dxa"/>
            <w:vAlign w:val="bottom"/>
            <w:tcBorders>
              <w:right w:val="single" w:sz="8" w:color="auto"/>
            </w:tcBorders>
          </w:tcPr>
          <w:p>
            <w:pPr>
              <w:ind w:left="60"/>
              <w:spacing w:after="0"/>
              <w:rPr>
                <w:sz w:val="20"/>
                <w:szCs w:val="20"/>
                <w:color w:val="auto"/>
              </w:rPr>
            </w:pPr>
            <w:r>
              <w:rPr>
                <w:rFonts w:ascii="Calibri" w:cs="Calibri" w:eastAsia="Calibri" w:hAnsi="Calibri"/>
                <w:sz w:val="12"/>
                <w:szCs w:val="12"/>
                <w:b w:val="1"/>
                <w:bCs w:val="1"/>
                <w:color w:val="auto"/>
              </w:rPr>
              <w:t>Net Interest Margin (NIM)</w:t>
            </w:r>
          </w:p>
        </w:tc>
        <w:tc>
          <w:tcPr>
            <w:tcW w:w="1360" w:type="dxa"/>
            <w:vAlign w:val="bottom"/>
          </w:tcPr>
          <w:p>
            <w:pPr>
              <w:spacing w:after="0"/>
              <w:rPr>
                <w:sz w:val="16"/>
                <w:szCs w:val="16"/>
                <w:color w:val="auto"/>
              </w:rPr>
            </w:pPr>
          </w:p>
        </w:tc>
        <w:tc>
          <w:tcPr>
            <w:tcW w:w="6300" w:type="dxa"/>
            <w:vAlign w:val="bottom"/>
            <w:tcBorders>
              <w:right w:val="single" w:sz="8" w:color="auto"/>
            </w:tcBorders>
            <w:gridSpan w:val="17"/>
          </w:tcPr>
          <w:p>
            <w:pPr>
              <w:jc w:val="center"/>
              <w:ind w:right="1380"/>
              <w:spacing w:after="0"/>
              <w:rPr>
                <w:sz w:val="20"/>
                <w:szCs w:val="20"/>
                <w:color w:val="auto"/>
              </w:rPr>
            </w:pPr>
            <w:r>
              <w:rPr>
                <w:rFonts w:ascii="Calibri" w:cs="Calibri" w:eastAsia="Calibri" w:hAnsi="Calibri"/>
                <w:sz w:val="12"/>
                <w:szCs w:val="12"/>
                <w:color w:val="auto"/>
              </w:rPr>
              <w:t>For further details on the new NIM calculaton due to IFRS17, please refer to Annex 12.1</w:t>
            </w:r>
          </w:p>
        </w:tc>
        <w:tc>
          <w:tcPr>
            <w:tcW w:w="0" w:type="dxa"/>
            <w:vAlign w:val="bottom"/>
          </w:tcPr>
          <w:p>
            <w:pPr>
              <w:spacing w:after="0"/>
              <w:rPr>
                <w:sz w:val="1"/>
                <w:szCs w:val="1"/>
                <w:color w:val="auto"/>
              </w:rPr>
            </w:pPr>
          </w:p>
        </w:tc>
      </w:tr>
      <w:tr>
        <w:trPr>
          <w:trHeight w:val="75"/>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200" w:type="dxa"/>
            <w:vAlign w:val="bottom"/>
            <w:tcBorders>
              <w:left w:val="single" w:sz="8" w:color="auto"/>
              <w:right w:val="single" w:sz="8" w:color="auto"/>
            </w:tcBorders>
          </w:tcPr>
          <w:p>
            <w:pPr>
              <w:spacing w:after="0"/>
              <w:rPr>
                <w:sz w:val="16"/>
                <w:szCs w:val="16"/>
                <w:color w:val="auto"/>
              </w:rPr>
            </w:pPr>
          </w:p>
        </w:tc>
        <w:tc>
          <w:tcPr>
            <w:tcW w:w="2400" w:type="dxa"/>
            <w:vAlign w:val="bottom"/>
            <w:tcBorders>
              <w:right w:val="single" w:sz="8" w:color="auto"/>
            </w:tcBorders>
          </w:tcPr>
          <w:p>
            <w:pPr>
              <w:ind w:left="60"/>
              <w:spacing w:after="0"/>
              <w:rPr>
                <w:sz w:val="20"/>
                <w:szCs w:val="20"/>
                <w:color w:val="auto"/>
              </w:rPr>
            </w:pPr>
            <w:r>
              <w:rPr>
                <w:rFonts w:ascii="Calibri" w:cs="Calibri" w:eastAsia="Calibri" w:hAnsi="Calibri"/>
                <w:sz w:val="12"/>
                <w:szCs w:val="12"/>
                <w:b w:val="1"/>
                <w:bCs w:val="1"/>
                <w:color w:val="auto"/>
              </w:rPr>
              <w:t>Risk-adjusted Net Interest Margin</w:t>
            </w:r>
          </w:p>
        </w:tc>
        <w:tc>
          <w:tcPr>
            <w:tcW w:w="1360" w:type="dxa"/>
            <w:vAlign w:val="bottom"/>
          </w:tcPr>
          <w:p>
            <w:pPr>
              <w:spacing w:after="0"/>
              <w:rPr>
                <w:sz w:val="16"/>
                <w:szCs w:val="16"/>
                <w:color w:val="auto"/>
              </w:rPr>
            </w:pPr>
          </w:p>
        </w:tc>
        <w:tc>
          <w:tcPr>
            <w:tcW w:w="6300" w:type="dxa"/>
            <w:vAlign w:val="bottom"/>
            <w:tcBorders>
              <w:right w:val="single" w:sz="8" w:color="auto"/>
            </w:tcBorders>
            <w:gridSpan w:val="17"/>
            <w:vMerge w:val="restart"/>
          </w:tcPr>
          <w:p>
            <w:pPr>
              <w:jc w:val="center"/>
              <w:ind w:right="1380"/>
              <w:spacing w:after="0"/>
              <w:rPr>
                <w:sz w:val="20"/>
                <w:szCs w:val="20"/>
                <w:color w:val="auto"/>
              </w:rPr>
            </w:pPr>
            <w:r>
              <w:rPr>
                <w:rFonts w:ascii="Calibri" w:cs="Calibri" w:eastAsia="Calibri" w:hAnsi="Calibri"/>
                <w:sz w:val="12"/>
                <w:szCs w:val="12"/>
                <w:color w:val="auto"/>
              </w:rPr>
              <w:t>For further details on the new NIM calculaton due to IFRS17, please refer to Annex 12.1</w:t>
            </w:r>
          </w:p>
        </w:tc>
        <w:tc>
          <w:tcPr>
            <w:tcW w:w="0" w:type="dxa"/>
            <w:vAlign w:val="bottom"/>
          </w:tcPr>
          <w:p>
            <w:pPr>
              <w:spacing w:after="0"/>
              <w:rPr>
                <w:sz w:val="1"/>
                <w:szCs w:val="1"/>
                <w:color w:val="auto"/>
              </w:rPr>
            </w:pPr>
          </w:p>
        </w:tc>
      </w:tr>
      <w:tr>
        <w:trPr>
          <w:trHeight w:val="68"/>
        </w:trPr>
        <w:tc>
          <w:tcPr>
            <w:tcW w:w="1200" w:type="dxa"/>
            <w:vAlign w:val="bottom"/>
            <w:tcBorders>
              <w:left w:val="single" w:sz="8" w:color="auto"/>
              <w:right w:val="single" w:sz="8" w:color="auto"/>
            </w:tcBorders>
          </w:tcPr>
          <w:p>
            <w:pPr>
              <w:spacing w:after="0"/>
              <w:rPr>
                <w:sz w:val="5"/>
                <w:szCs w:val="5"/>
                <w:color w:val="auto"/>
              </w:rPr>
            </w:pPr>
          </w:p>
        </w:tc>
        <w:tc>
          <w:tcPr>
            <w:tcW w:w="240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2"/>
                <w:szCs w:val="12"/>
                <w:b w:val="1"/>
                <w:bCs w:val="1"/>
                <w:color w:val="auto"/>
              </w:rPr>
              <w:t>(Risk-adjusted NIM)</w:t>
            </w:r>
          </w:p>
        </w:tc>
        <w:tc>
          <w:tcPr>
            <w:tcW w:w="1360" w:type="dxa"/>
            <w:vAlign w:val="bottom"/>
          </w:tcPr>
          <w:p>
            <w:pPr>
              <w:spacing w:after="0"/>
              <w:rPr>
                <w:sz w:val="5"/>
                <w:szCs w:val="5"/>
                <w:color w:val="auto"/>
              </w:rPr>
            </w:pPr>
          </w:p>
        </w:tc>
        <w:tc>
          <w:tcPr>
            <w:tcW w:w="6300" w:type="dxa"/>
            <w:vAlign w:val="bottom"/>
            <w:tcBorders>
              <w:right w:val="single" w:sz="8" w:color="auto"/>
            </w:tcBorders>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right w:val="single" w:sz="8" w:color="auto"/>
            </w:tcBorders>
            <w:vMerge w:val="continue"/>
          </w:tcPr>
          <w:p>
            <w:pPr>
              <w:spacing w:after="0"/>
              <w:rPr>
                <w:sz w:val="6"/>
                <w:szCs w:val="6"/>
                <w:color w:val="auto"/>
              </w:rPr>
            </w:pPr>
          </w:p>
        </w:tc>
        <w:tc>
          <w:tcPr>
            <w:tcW w:w="1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2"/>
                <w:szCs w:val="12"/>
                <w:b w:val="1"/>
                <w:bCs w:val="1"/>
                <w:color w:val="auto"/>
              </w:rPr>
              <w:t>Proftability</w:t>
            </w:r>
          </w:p>
        </w:tc>
        <w:tc>
          <w:tcPr>
            <w:tcW w:w="2400" w:type="dxa"/>
            <w:vAlign w:val="bottom"/>
            <w:tcBorders>
              <w:right w:val="single" w:sz="8" w:color="auto"/>
            </w:tcBorders>
          </w:tcPr>
          <w:p>
            <w:pPr>
              <w:ind w:left="60"/>
              <w:spacing w:after="0"/>
              <w:rPr>
                <w:sz w:val="20"/>
                <w:szCs w:val="20"/>
                <w:color w:val="auto"/>
              </w:rPr>
            </w:pPr>
            <w:r>
              <w:rPr>
                <w:rFonts w:ascii="Calibri" w:cs="Calibri" w:eastAsia="Calibri" w:hAnsi="Calibri"/>
                <w:sz w:val="12"/>
                <w:szCs w:val="12"/>
                <w:b w:val="1"/>
                <w:bCs w:val="1"/>
                <w:color w:val="auto"/>
              </w:rPr>
              <w:t>Funding cost</w:t>
            </w:r>
          </w:p>
        </w:tc>
        <w:tc>
          <w:tcPr>
            <w:tcW w:w="1360" w:type="dxa"/>
            <w:vAlign w:val="bottom"/>
          </w:tcPr>
          <w:p>
            <w:pPr>
              <w:spacing w:after="0"/>
              <w:rPr>
                <w:sz w:val="16"/>
                <w:szCs w:val="16"/>
                <w:color w:val="auto"/>
              </w:rPr>
            </w:pPr>
          </w:p>
        </w:tc>
        <w:tc>
          <w:tcPr>
            <w:tcW w:w="6300" w:type="dxa"/>
            <w:vAlign w:val="bottom"/>
            <w:tcBorders>
              <w:right w:val="single" w:sz="8" w:color="auto"/>
            </w:tcBorders>
            <w:gridSpan w:val="17"/>
          </w:tcPr>
          <w:p>
            <w:pPr>
              <w:jc w:val="center"/>
              <w:ind w:right="1380"/>
              <w:spacing w:after="0"/>
              <w:rPr>
                <w:sz w:val="20"/>
                <w:szCs w:val="20"/>
                <w:color w:val="auto"/>
              </w:rPr>
            </w:pPr>
            <w:r>
              <w:rPr>
                <w:rFonts w:ascii="Calibri" w:cs="Calibri" w:eastAsia="Calibri" w:hAnsi="Calibri"/>
                <w:sz w:val="12"/>
                <w:szCs w:val="12"/>
                <w:color w:val="auto"/>
              </w:rPr>
              <w:t>For further details on the new Funding cost calculaton due to IFRS17, please refer to Annex 12.1</w:t>
            </w:r>
          </w:p>
        </w:tc>
        <w:tc>
          <w:tcPr>
            <w:tcW w:w="0" w:type="dxa"/>
            <w:vAlign w:val="bottom"/>
          </w:tcPr>
          <w:p>
            <w:pPr>
              <w:spacing w:after="0"/>
              <w:rPr>
                <w:sz w:val="1"/>
                <w:szCs w:val="1"/>
                <w:color w:val="auto"/>
              </w:rPr>
            </w:pPr>
          </w:p>
        </w:tc>
      </w:tr>
      <w:tr>
        <w:trPr>
          <w:trHeight w:val="75"/>
        </w:trPr>
        <w:tc>
          <w:tcPr>
            <w:tcW w:w="1200" w:type="dxa"/>
            <w:vAlign w:val="bottom"/>
            <w:tcBorders>
              <w:left w:val="single" w:sz="8" w:color="auto"/>
              <w:right w:val="single" w:sz="8" w:color="auto"/>
            </w:tcBorders>
            <w:vMerge w:val="continue"/>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20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2"/>
                <w:szCs w:val="12"/>
                <w:b w:val="1"/>
                <w:bCs w:val="1"/>
                <w:color w:val="auto"/>
              </w:rPr>
              <w:t>Return on average assets (ROA)</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40" w:type="dxa"/>
            <w:vAlign w:val="bottom"/>
            <w:tcBorders>
              <w:right w:val="single" w:sz="8" w:color="auto"/>
            </w:tcBorders>
            <w:gridSpan w:val="15"/>
          </w:tcPr>
          <w:p>
            <w:pPr>
              <w:jc w:val="center"/>
              <w:ind w:right="2660"/>
              <w:spacing w:after="0"/>
              <w:rPr>
                <w:sz w:val="20"/>
                <w:szCs w:val="20"/>
                <w:color w:val="auto"/>
              </w:rPr>
            </w:pPr>
            <w:r>
              <w:rPr>
                <w:rFonts w:ascii="Calibri" w:cs="Calibri" w:eastAsia="Calibri" w:hAnsi="Calibri"/>
                <w:sz w:val="12"/>
                <w:szCs w:val="12"/>
                <w:color w:val="auto"/>
              </w:rPr>
              <w:t>Annualized Net Income atributable to Credicorp</w:t>
            </w:r>
          </w:p>
        </w:tc>
        <w:tc>
          <w:tcPr>
            <w:tcW w:w="0" w:type="dxa"/>
            <w:vAlign w:val="bottom"/>
          </w:tcPr>
          <w:p>
            <w:pPr>
              <w:spacing w:after="0"/>
              <w:rPr>
                <w:sz w:val="1"/>
                <w:szCs w:val="1"/>
                <w:color w:val="auto"/>
              </w:rPr>
            </w:pPr>
          </w:p>
        </w:tc>
      </w:tr>
      <w:tr>
        <w:trPr>
          <w:trHeight w:val="67"/>
        </w:trPr>
        <w:tc>
          <w:tcPr>
            <w:tcW w:w="1200" w:type="dxa"/>
            <w:vAlign w:val="bottom"/>
            <w:tcBorders>
              <w:left w:val="single" w:sz="8" w:color="auto"/>
              <w:right w:val="single" w:sz="8" w:color="auto"/>
            </w:tcBorders>
          </w:tcPr>
          <w:p>
            <w:pPr>
              <w:spacing w:after="0"/>
              <w:rPr>
                <w:sz w:val="5"/>
                <w:szCs w:val="5"/>
                <w:color w:val="auto"/>
              </w:rPr>
            </w:pPr>
          </w:p>
        </w:tc>
        <w:tc>
          <w:tcPr>
            <w:tcW w:w="2400" w:type="dxa"/>
            <w:vAlign w:val="bottom"/>
            <w:tcBorders>
              <w:right w:val="single" w:sz="8" w:color="auto"/>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640" w:type="dxa"/>
            <w:vAlign w:val="bottom"/>
            <w:tcBorders>
              <w:top w:val="single" w:sz="8" w:color="auto"/>
            </w:tcBorders>
            <w:gridSpan w:val="8"/>
            <w:vMerge w:val="restart"/>
          </w:tcPr>
          <w:p>
            <w:pPr>
              <w:jc w:val="center"/>
              <w:ind w:right="740"/>
              <w:spacing w:after="0"/>
              <w:rPr>
                <w:sz w:val="20"/>
                <w:szCs w:val="20"/>
                <w:color w:val="auto"/>
              </w:rPr>
            </w:pPr>
            <w:r>
              <w:rPr>
                <w:rFonts w:ascii="Calibri" w:cs="Calibri" w:eastAsia="Calibri" w:hAnsi="Calibri"/>
                <w:sz w:val="12"/>
                <w:szCs w:val="12"/>
                <w:color w:val="auto"/>
              </w:rPr>
              <w:t>Average Assets</w:t>
            </w:r>
          </w:p>
        </w:tc>
        <w:tc>
          <w:tcPr>
            <w:tcW w:w="2660" w:type="dxa"/>
            <w:vAlign w:val="bottom"/>
            <w:tcBorders>
              <w:right w:val="single" w:sz="8" w:color="auto"/>
            </w:tcBorders>
            <w:gridSpan w:val="3"/>
            <w:vMerge w:val="restart"/>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right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gridSpan w:val="8"/>
            <w:vMerge w:val="continue"/>
          </w:tcPr>
          <w:p>
            <w:pPr>
              <w:spacing w:after="0"/>
              <w:rPr>
                <w:sz w:val="6"/>
                <w:szCs w:val="6"/>
                <w:color w:val="auto"/>
              </w:rPr>
            </w:pPr>
          </w:p>
        </w:tc>
        <w:tc>
          <w:tcPr>
            <w:tcW w:w="26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20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2"/>
                <w:szCs w:val="12"/>
                <w:b w:val="1"/>
                <w:bCs w:val="1"/>
                <w:color w:val="auto"/>
              </w:rPr>
              <w:t>Return on average equity (ROE)</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40" w:type="dxa"/>
            <w:vAlign w:val="bottom"/>
            <w:tcBorders>
              <w:right w:val="single" w:sz="8" w:color="auto"/>
            </w:tcBorders>
            <w:gridSpan w:val="15"/>
          </w:tcPr>
          <w:p>
            <w:pPr>
              <w:jc w:val="center"/>
              <w:ind w:right="2660"/>
              <w:spacing w:after="0"/>
              <w:rPr>
                <w:sz w:val="20"/>
                <w:szCs w:val="20"/>
                <w:color w:val="auto"/>
              </w:rPr>
            </w:pPr>
            <w:r>
              <w:rPr>
                <w:rFonts w:ascii="Calibri" w:cs="Calibri" w:eastAsia="Calibri" w:hAnsi="Calibri"/>
                <w:sz w:val="12"/>
                <w:szCs w:val="12"/>
                <w:color w:val="auto"/>
              </w:rPr>
              <w:t>Annualized Net Income atributable to Credicorp</w:t>
            </w:r>
          </w:p>
        </w:tc>
        <w:tc>
          <w:tcPr>
            <w:tcW w:w="0" w:type="dxa"/>
            <w:vAlign w:val="bottom"/>
          </w:tcPr>
          <w:p>
            <w:pPr>
              <w:spacing w:after="0"/>
              <w:rPr>
                <w:sz w:val="1"/>
                <w:szCs w:val="1"/>
                <w:color w:val="auto"/>
              </w:rPr>
            </w:pPr>
          </w:p>
        </w:tc>
      </w:tr>
      <w:tr>
        <w:trPr>
          <w:trHeight w:val="67"/>
        </w:trPr>
        <w:tc>
          <w:tcPr>
            <w:tcW w:w="1200" w:type="dxa"/>
            <w:vAlign w:val="bottom"/>
            <w:tcBorders>
              <w:left w:val="single" w:sz="8" w:color="auto"/>
              <w:right w:val="single" w:sz="8" w:color="auto"/>
            </w:tcBorders>
          </w:tcPr>
          <w:p>
            <w:pPr>
              <w:spacing w:after="0"/>
              <w:rPr>
                <w:sz w:val="5"/>
                <w:szCs w:val="5"/>
                <w:color w:val="auto"/>
              </w:rPr>
            </w:pPr>
          </w:p>
        </w:tc>
        <w:tc>
          <w:tcPr>
            <w:tcW w:w="2400" w:type="dxa"/>
            <w:vAlign w:val="bottom"/>
            <w:tcBorders>
              <w:right w:val="single" w:sz="8" w:color="auto"/>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740" w:type="dxa"/>
            <w:vAlign w:val="bottom"/>
            <w:tcBorders>
              <w:top w:val="single" w:sz="8" w:color="auto"/>
            </w:tcBorders>
            <w:gridSpan w:val="9"/>
            <w:vMerge w:val="restart"/>
          </w:tcPr>
          <w:p>
            <w:pPr>
              <w:jc w:val="center"/>
              <w:ind w:right="620"/>
              <w:spacing w:after="0"/>
              <w:rPr>
                <w:sz w:val="20"/>
                <w:szCs w:val="20"/>
                <w:color w:val="auto"/>
              </w:rPr>
            </w:pPr>
            <w:r>
              <w:rPr>
                <w:rFonts w:ascii="Calibri" w:cs="Calibri" w:eastAsia="Calibri" w:hAnsi="Calibri"/>
                <w:sz w:val="12"/>
                <w:szCs w:val="12"/>
                <w:color w:val="auto"/>
                <w:w w:val="99"/>
              </w:rPr>
              <w:t>Average net equity</w:t>
            </w:r>
          </w:p>
        </w:tc>
        <w:tc>
          <w:tcPr>
            <w:tcW w:w="2660" w:type="dxa"/>
            <w:vAlign w:val="bottom"/>
            <w:tcBorders>
              <w:right w:val="single" w:sz="8" w:color="auto"/>
            </w:tcBorders>
            <w:gridSpan w:val="3"/>
            <w:vMerge w:val="restart"/>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right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gridSpan w:val="9"/>
            <w:vMerge w:val="continue"/>
          </w:tcPr>
          <w:p>
            <w:pPr>
              <w:spacing w:after="0"/>
              <w:rPr>
                <w:sz w:val="6"/>
                <w:szCs w:val="6"/>
                <w:color w:val="auto"/>
              </w:rPr>
            </w:pPr>
          </w:p>
        </w:tc>
        <w:tc>
          <w:tcPr>
            <w:tcW w:w="26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bottom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20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2"/>
                <w:szCs w:val="12"/>
                <w:b w:val="1"/>
                <w:bCs w:val="1"/>
                <w:color w:val="auto"/>
              </w:rPr>
              <w:t>Internal overdue rato</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0" w:type="dxa"/>
            <w:vAlign w:val="bottom"/>
            <w:tcBorders>
              <w:right w:val="single" w:sz="8" w:color="auto"/>
            </w:tcBorders>
            <w:gridSpan w:val="12"/>
          </w:tcPr>
          <w:p>
            <w:pPr>
              <w:jc w:val="center"/>
              <w:ind w:right="3300"/>
              <w:spacing w:after="0"/>
              <w:rPr>
                <w:sz w:val="20"/>
                <w:szCs w:val="20"/>
                <w:color w:val="auto"/>
              </w:rPr>
            </w:pPr>
            <w:r>
              <w:rPr>
                <w:rFonts w:ascii="Calibri" w:cs="Calibri" w:eastAsia="Calibri" w:hAnsi="Calibri"/>
                <w:sz w:val="12"/>
                <w:szCs w:val="12"/>
                <w:color w:val="auto"/>
                <w:w w:val="99"/>
              </w:rPr>
              <w:t>Internal overdue loans</w:t>
            </w:r>
          </w:p>
        </w:tc>
        <w:tc>
          <w:tcPr>
            <w:tcW w:w="0" w:type="dxa"/>
            <w:vAlign w:val="bottom"/>
          </w:tcPr>
          <w:p>
            <w:pPr>
              <w:spacing w:after="0"/>
              <w:rPr>
                <w:sz w:val="1"/>
                <w:szCs w:val="1"/>
                <w:color w:val="auto"/>
              </w:rPr>
            </w:pPr>
          </w:p>
        </w:tc>
      </w:tr>
      <w:tr>
        <w:trPr>
          <w:trHeight w:val="67"/>
        </w:trPr>
        <w:tc>
          <w:tcPr>
            <w:tcW w:w="1200" w:type="dxa"/>
            <w:vAlign w:val="bottom"/>
            <w:tcBorders>
              <w:left w:val="single" w:sz="8" w:color="auto"/>
              <w:right w:val="single" w:sz="8" w:color="auto"/>
            </w:tcBorders>
          </w:tcPr>
          <w:p>
            <w:pPr>
              <w:spacing w:after="0"/>
              <w:rPr>
                <w:sz w:val="5"/>
                <w:szCs w:val="5"/>
                <w:color w:val="auto"/>
              </w:rPr>
            </w:pPr>
          </w:p>
        </w:tc>
        <w:tc>
          <w:tcPr>
            <w:tcW w:w="2400" w:type="dxa"/>
            <w:vAlign w:val="bottom"/>
            <w:tcBorders>
              <w:right w:val="single" w:sz="8" w:color="auto"/>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gridSpan w:val="5"/>
            <w:vMerge w:val="restart"/>
          </w:tcPr>
          <w:p>
            <w:pPr>
              <w:jc w:val="center"/>
              <w:ind w:right="80"/>
              <w:spacing w:after="0"/>
              <w:rPr>
                <w:sz w:val="20"/>
                <w:szCs w:val="20"/>
                <w:color w:val="auto"/>
              </w:rPr>
            </w:pPr>
            <w:r>
              <w:rPr>
                <w:rFonts w:ascii="Calibri" w:cs="Calibri" w:eastAsia="Calibri" w:hAnsi="Calibri"/>
                <w:sz w:val="12"/>
                <w:szCs w:val="12"/>
                <w:color w:val="auto"/>
                <w:w w:val="97"/>
              </w:rPr>
              <w:t>Total loans</w:t>
            </w:r>
          </w:p>
        </w:tc>
        <w:tc>
          <w:tcPr>
            <w:tcW w:w="3300" w:type="dxa"/>
            <w:vAlign w:val="bottom"/>
            <w:tcBorders>
              <w:right w:val="single" w:sz="8" w:color="auto"/>
            </w:tcBorders>
            <w:gridSpan w:val="6"/>
            <w:vMerge w:val="restart"/>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right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5"/>
            <w:vMerge w:val="continue"/>
          </w:tcPr>
          <w:p>
            <w:pPr>
              <w:spacing w:after="0"/>
              <w:rPr>
                <w:sz w:val="6"/>
                <w:szCs w:val="6"/>
                <w:color w:val="auto"/>
              </w:rPr>
            </w:pPr>
          </w:p>
        </w:tc>
        <w:tc>
          <w:tcPr>
            <w:tcW w:w="3300" w:type="dxa"/>
            <w:vAlign w:val="bottom"/>
            <w:tcBorders>
              <w:right w:val="single" w:sz="8" w:color="auto"/>
            </w:tcBorders>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20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tcPr>
          <w:p>
            <w:pPr>
              <w:ind w:left="60"/>
              <w:spacing w:after="0"/>
              <w:rPr>
                <w:sz w:val="20"/>
                <w:szCs w:val="20"/>
                <w:color w:val="auto"/>
              </w:rPr>
            </w:pPr>
            <w:r>
              <w:rPr>
                <w:rFonts w:ascii="Calibri" w:cs="Calibri" w:eastAsia="Calibri" w:hAnsi="Calibri"/>
                <w:sz w:val="12"/>
                <w:szCs w:val="12"/>
                <w:b w:val="1"/>
                <w:bCs w:val="1"/>
                <w:color w:val="auto"/>
              </w:rPr>
              <w:t>Non – performing loans rato</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40" w:type="dxa"/>
            <w:vAlign w:val="bottom"/>
            <w:tcBorders>
              <w:right w:val="single" w:sz="8" w:color="auto"/>
            </w:tcBorders>
            <w:gridSpan w:val="15"/>
          </w:tcPr>
          <w:p>
            <w:pPr>
              <w:jc w:val="center"/>
              <w:ind w:right="2640"/>
              <w:spacing w:after="0"/>
              <w:rPr>
                <w:sz w:val="20"/>
                <w:szCs w:val="20"/>
                <w:color w:val="auto"/>
              </w:rPr>
            </w:pPr>
            <w:r>
              <w:rPr>
                <w:rFonts w:ascii="Calibri" w:cs="Calibri" w:eastAsia="Calibri" w:hAnsi="Calibri"/>
                <w:sz w:val="12"/>
                <w:szCs w:val="12"/>
                <w:color w:val="auto"/>
              </w:rPr>
              <w:t>(Internal overdue loans + Refnanced loans)</w:t>
            </w:r>
          </w:p>
        </w:tc>
        <w:tc>
          <w:tcPr>
            <w:tcW w:w="0" w:type="dxa"/>
            <w:vAlign w:val="bottom"/>
          </w:tcPr>
          <w:p>
            <w:pPr>
              <w:spacing w:after="0"/>
              <w:rPr>
                <w:sz w:val="1"/>
                <w:szCs w:val="1"/>
                <w:color w:val="auto"/>
              </w:rPr>
            </w:pPr>
          </w:p>
        </w:tc>
      </w:tr>
      <w:tr>
        <w:trPr>
          <w:trHeight w:val="146"/>
        </w:trPr>
        <w:tc>
          <w:tcPr>
            <w:tcW w:w="1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tcPr>
          <w:p>
            <w:pPr>
              <w:ind w:left="60"/>
              <w:spacing w:after="0"/>
              <w:rPr>
                <w:sz w:val="20"/>
                <w:szCs w:val="20"/>
                <w:color w:val="auto"/>
              </w:rPr>
            </w:pPr>
            <w:r>
              <w:rPr>
                <w:rFonts w:ascii="Calibri" w:cs="Calibri" w:eastAsia="Calibri" w:hAnsi="Calibri"/>
                <w:sz w:val="12"/>
                <w:szCs w:val="12"/>
                <w:b w:val="1"/>
                <w:bCs w:val="1"/>
                <w:color w:val="auto"/>
              </w:rPr>
              <w:t>(NPL rato)</w:t>
            </w:r>
          </w:p>
        </w:tc>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7"/>
          </w:tcPr>
          <w:p>
            <w:pPr>
              <w:jc w:val="center"/>
              <w:ind w:right="600"/>
              <w:spacing w:after="0"/>
              <w:rPr>
                <w:sz w:val="20"/>
                <w:szCs w:val="20"/>
                <w:color w:val="auto"/>
              </w:rPr>
            </w:pPr>
            <w:r>
              <w:rPr>
                <w:rFonts w:ascii="Calibri" w:cs="Calibri" w:eastAsia="Calibri" w:hAnsi="Calibri"/>
                <w:sz w:val="12"/>
                <w:szCs w:val="12"/>
                <w:color w:val="auto"/>
                <w:w w:val="97"/>
              </w:rPr>
              <w:t>Total loans</w:t>
            </w:r>
          </w:p>
        </w:tc>
        <w:tc>
          <w:tcPr>
            <w:tcW w:w="2780" w:type="dxa"/>
            <w:vAlign w:val="bottom"/>
            <w:tcBorders>
              <w:right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2"/>
                <w:szCs w:val="12"/>
                <w:b w:val="1"/>
                <w:bCs w:val="1"/>
                <w:color w:val="auto"/>
              </w:rPr>
              <w:t>Portolio quality</w:t>
            </w:r>
          </w:p>
        </w:tc>
        <w:tc>
          <w:tcPr>
            <w:tcW w:w="240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2"/>
                <w:szCs w:val="12"/>
                <w:b w:val="1"/>
                <w:bCs w:val="1"/>
                <w:color w:val="auto"/>
              </w:rPr>
              <w:t>Coverage rato of internal overdue loans</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00" w:type="dxa"/>
            <w:vAlign w:val="bottom"/>
            <w:tcBorders>
              <w:right w:val="single" w:sz="8" w:color="auto"/>
            </w:tcBorders>
            <w:gridSpan w:val="14"/>
          </w:tcPr>
          <w:p>
            <w:pPr>
              <w:jc w:val="center"/>
              <w:ind w:right="2780"/>
              <w:spacing w:after="0"/>
              <w:rPr>
                <w:sz w:val="20"/>
                <w:szCs w:val="20"/>
                <w:color w:val="auto"/>
              </w:rPr>
            </w:pPr>
            <w:r>
              <w:rPr>
                <w:rFonts w:ascii="Calibri" w:cs="Calibri" w:eastAsia="Calibri" w:hAnsi="Calibri"/>
                <w:sz w:val="12"/>
                <w:szCs w:val="12"/>
                <w:color w:val="auto"/>
              </w:rPr>
              <w:t>Allowance for loans losses</w:t>
            </w:r>
          </w:p>
        </w:tc>
        <w:tc>
          <w:tcPr>
            <w:tcW w:w="0" w:type="dxa"/>
            <w:vAlign w:val="bottom"/>
          </w:tcPr>
          <w:p>
            <w:pPr>
              <w:spacing w:after="0"/>
              <w:rPr>
                <w:sz w:val="1"/>
                <w:szCs w:val="1"/>
                <w:color w:val="auto"/>
              </w:rPr>
            </w:pPr>
          </w:p>
        </w:tc>
      </w:tr>
      <w:tr>
        <w:trPr>
          <w:trHeight w:val="67"/>
        </w:trPr>
        <w:tc>
          <w:tcPr>
            <w:tcW w:w="1200" w:type="dxa"/>
            <w:vAlign w:val="bottom"/>
            <w:tcBorders>
              <w:left w:val="single" w:sz="8" w:color="auto"/>
              <w:right w:val="single" w:sz="8" w:color="auto"/>
            </w:tcBorders>
            <w:vMerge w:val="continue"/>
          </w:tcPr>
          <w:p>
            <w:pPr>
              <w:spacing w:after="0"/>
              <w:rPr>
                <w:sz w:val="5"/>
                <w:szCs w:val="5"/>
                <w:color w:val="auto"/>
              </w:rPr>
            </w:pPr>
          </w:p>
        </w:tc>
        <w:tc>
          <w:tcPr>
            <w:tcW w:w="2400" w:type="dxa"/>
            <w:vAlign w:val="bottom"/>
            <w:tcBorders>
              <w:right w:val="single" w:sz="8" w:color="auto"/>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200" w:type="dxa"/>
            <w:vAlign w:val="bottom"/>
            <w:tcBorders>
              <w:top w:val="single" w:sz="8" w:color="auto"/>
            </w:tcBorders>
            <w:gridSpan w:val="7"/>
            <w:vMerge w:val="restart"/>
          </w:tcPr>
          <w:p>
            <w:pPr>
              <w:jc w:val="center"/>
              <w:ind w:right="100"/>
              <w:spacing w:after="0"/>
              <w:rPr>
                <w:sz w:val="20"/>
                <w:szCs w:val="20"/>
                <w:color w:val="auto"/>
              </w:rPr>
            </w:pPr>
            <w:r>
              <w:rPr>
                <w:rFonts w:ascii="Calibri" w:cs="Calibri" w:eastAsia="Calibri" w:hAnsi="Calibri"/>
                <w:sz w:val="12"/>
                <w:szCs w:val="12"/>
                <w:color w:val="auto"/>
                <w:w w:val="99"/>
              </w:rPr>
              <w:t>Internal overdue loans</w:t>
            </w:r>
          </w:p>
        </w:tc>
        <w:tc>
          <w:tcPr>
            <w:tcW w:w="3200" w:type="dxa"/>
            <w:vAlign w:val="bottom"/>
            <w:tcBorders>
              <w:right w:val="single" w:sz="8" w:color="auto"/>
            </w:tcBorders>
            <w:gridSpan w:val="5"/>
            <w:vMerge w:val="restart"/>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right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7"/>
            <w:vMerge w:val="continue"/>
          </w:tcPr>
          <w:p>
            <w:pPr>
              <w:spacing w:after="0"/>
              <w:rPr>
                <w:sz w:val="6"/>
                <w:szCs w:val="6"/>
                <w:color w:val="auto"/>
              </w:rPr>
            </w:pPr>
          </w:p>
        </w:tc>
        <w:tc>
          <w:tcPr>
            <w:tcW w:w="3200" w:type="dxa"/>
            <w:vAlign w:val="bottom"/>
            <w:tcBorders>
              <w:right w:val="single" w:sz="8" w:color="auto"/>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20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2"/>
                <w:szCs w:val="12"/>
                <w:b w:val="1"/>
                <w:bCs w:val="1"/>
                <w:color w:val="auto"/>
              </w:rPr>
              <w:t>Coverage rato of non – performing loans</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00" w:type="dxa"/>
            <w:vAlign w:val="bottom"/>
            <w:tcBorders>
              <w:right w:val="single" w:sz="8" w:color="auto"/>
            </w:tcBorders>
            <w:gridSpan w:val="14"/>
          </w:tcPr>
          <w:p>
            <w:pPr>
              <w:jc w:val="center"/>
              <w:ind w:right="2780"/>
              <w:spacing w:after="0"/>
              <w:rPr>
                <w:sz w:val="20"/>
                <w:szCs w:val="20"/>
                <w:color w:val="auto"/>
              </w:rPr>
            </w:pPr>
            <w:r>
              <w:rPr>
                <w:rFonts w:ascii="Calibri" w:cs="Calibri" w:eastAsia="Calibri" w:hAnsi="Calibri"/>
                <w:sz w:val="12"/>
                <w:szCs w:val="12"/>
                <w:color w:val="auto"/>
              </w:rPr>
              <w:t>Allowance for loans losses</w:t>
            </w:r>
          </w:p>
        </w:tc>
        <w:tc>
          <w:tcPr>
            <w:tcW w:w="0" w:type="dxa"/>
            <w:vAlign w:val="bottom"/>
          </w:tcPr>
          <w:p>
            <w:pPr>
              <w:spacing w:after="0"/>
              <w:rPr>
                <w:sz w:val="1"/>
                <w:szCs w:val="1"/>
                <w:color w:val="auto"/>
              </w:rPr>
            </w:pPr>
          </w:p>
        </w:tc>
      </w:tr>
      <w:tr>
        <w:trPr>
          <w:trHeight w:val="67"/>
        </w:trPr>
        <w:tc>
          <w:tcPr>
            <w:tcW w:w="1200" w:type="dxa"/>
            <w:vAlign w:val="bottom"/>
            <w:tcBorders>
              <w:left w:val="single" w:sz="8" w:color="auto"/>
              <w:right w:val="single" w:sz="8" w:color="auto"/>
            </w:tcBorders>
          </w:tcPr>
          <w:p>
            <w:pPr>
              <w:spacing w:after="0"/>
              <w:rPr>
                <w:sz w:val="5"/>
                <w:szCs w:val="5"/>
                <w:color w:val="auto"/>
              </w:rPr>
            </w:pPr>
          </w:p>
        </w:tc>
        <w:tc>
          <w:tcPr>
            <w:tcW w:w="2400" w:type="dxa"/>
            <w:vAlign w:val="bottom"/>
            <w:tcBorders>
              <w:right w:val="single" w:sz="8" w:color="auto"/>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80" w:type="dxa"/>
            <w:vAlign w:val="bottom"/>
            <w:tcBorders>
              <w:top w:val="single" w:sz="8" w:color="auto"/>
            </w:tcBorders>
            <w:gridSpan w:val="8"/>
            <w:vMerge w:val="restart"/>
          </w:tcPr>
          <w:p>
            <w:pPr>
              <w:jc w:val="center"/>
              <w:spacing w:after="0"/>
              <w:rPr>
                <w:sz w:val="20"/>
                <w:szCs w:val="20"/>
                <w:color w:val="auto"/>
              </w:rPr>
            </w:pPr>
            <w:r>
              <w:rPr>
                <w:rFonts w:ascii="Calibri" w:cs="Calibri" w:eastAsia="Calibri" w:hAnsi="Calibri"/>
                <w:sz w:val="12"/>
                <w:szCs w:val="12"/>
                <w:color w:val="auto"/>
              </w:rPr>
              <w:t>Non – performing loans</w:t>
            </w:r>
          </w:p>
        </w:tc>
        <w:tc>
          <w:tcPr>
            <w:tcW w:w="3200" w:type="dxa"/>
            <w:vAlign w:val="bottom"/>
            <w:tcBorders>
              <w:right w:val="single" w:sz="8" w:color="auto"/>
            </w:tcBorders>
            <w:gridSpan w:val="5"/>
            <w:vMerge w:val="restart"/>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right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80" w:type="dxa"/>
            <w:vAlign w:val="bottom"/>
            <w:gridSpan w:val="8"/>
            <w:vMerge w:val="continue"/>
          </w:tcPr>
          <w:p>
            <w:pPr>
              <w:spacing w:after="0"/>
              <w:rPr>
                <w:sz w:val="6"/>
                <w:szCs w:val="6"/>
                <w:color w:val="auto"/>
              </w:rPr>
            </w:pPr>
          </w:p>
        </w:tc>
        <w:tc>
          <w:tcPr>
            <w:tcW w:w="3200" w:type="dxa"/>
            <w:vAlign w:val="bottom"/>
            <w:tcBorders>
              <w:right w:val="single" w:sz="8" w:color="auto"/>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20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2"/>
                <w:szCs w:val="12"/>
                <w:b w:val="1"/>
                <w:bCs w:val="1"/>
                <w:color w:val="auto"/>
              </w:rPr>
              <w:t>Cost of risk</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0" w:type="dxa"/>
            <w:vAlign w:val="bottom"/>
            <w:tcBorders>
              <w:bottom w:val="single" w:sz="8" w:color="auto"/>
            </w:tcBorders>
            <w:gridSpan w:val="14"/>
          </w:tcPr>
          <w:p>
            <w:pPr>
              <w:jc w:val="center"/>
              <w:spacing w:after="0"/>
              <w:rPr>
                <w:sz w:val="20"/>
                <w:szCs w:val="20"/>
                <w:color w:val="auto"/>
              </w:rPr>
            </w:pPr>
            <w:r>
              <w:rPr>
                <w:rFonts w:ascii="Calibri" w:cs="Calibri" w:eastAsia="Calibri" w:hAnsi="Calibri"/>
                <w:sz w:val="12"/>
                <w:szCs w:val="12"/>
                <w:color w:val="auto"/>
              </w:rPr>
              <w:t>Annualized provision for credit losses on loans portolio, net of recoveries</w:t>
            </w:r>
          </w:p>
        </w:tc>
        <w:tc>
          <w:tcPr>
            <w:tcW w:w="2040" w:type="dxa"/>
            <w:vAlign w:val="bottom"/>
            <w:tcBorders>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200" w:type="dxa"/>
            <w:vAlign w:val="bottom"/>
            <w:tcBorders>
              <w:left w:val="single" w:sz="8" w:color="auto"/>
              <w:right w:val="single" w:sz="8" w:color="auto"/>
            </w:tcBorders>
          </w:tcPr>
          <w:p>
            <w:pPr>
              <w:spacing w:after="0"/>
              <w:rPr>
                <w:sz w:val="5"/>
                <w:szCs w:val="5"/>
                <w:color w:val="auto"/>
              </w:rPr>
            </w:pPr>
          </w:p>
        </w:tc>
        <w:tc>
          <w:tcPr>
            <w:tcW w:w="2400" w:type="dxa"/>
            <w:vAlign w:val="bottom"/>
            <w:tcBorders>
              <w:right w:val="single" w:sz="8" w:color="auto"/>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300" w:type="dxa"/>
            <w:vAlign w:val="bottom"/>
            <w:tcBorders>
              <w:right w:val="single" w:sz="8" w:color="auto"/>
            </w:tcBorders>
            <w:gridSpan w:val="11"/>
            <w:vMerge w:val="restart"/>
          </w:tcPr>
          <w:p>
            <w:pPr>
              <w:jc w:val="center"/>
              <w:ind w:right="3380"/>
              <w:spacing w:after="0"/>
              <w:rPr>
                <w:sz w:val="20"/>
                <w:szCs w:val="20"/>
                <w:color w:val="auto"/>
              </w:rPr>
            </w:pPr>
            <w:r>
              <w:rPr>
                <w:rFonts w:ascii="Calibri" w:cs="Calibri" w:eastAsia="Calibri" w:hAnsi="Calibri"/>
                <w:sz w:val="12"/>
                <w:szCs w:val="12"/>
                <w:color w:val="auto"/>
                <w:w w:val="97"/>
              </w:rPr>
              <w:t>Total loans</w:t>
            </w:r>
          </w:p>
        </w:tc>
        <w:tc>
          <w:tcPr>
            <w:tcW w:w="0" w:type="dxa"/>
            <w:vAlign w:val="bottom"/>
          </w:tcPr>
          <w:p>
            <w:pPr>
              <w:spacing w:after="0"/>
              <w:rPr>
                <w:sz w:val="1"/>
                <w:szCs w:val="1"/>
                <w:color w:val="auto"/>
              </w:rPr>
            </w:pPr>
          </w:p>
        </w:tc>
      </w:tr>
      <w:tr>
        <w:trPr>
          <w:trHeight w:val="79"/>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right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300" w:type="dxa"/>
            <w:vAlign w:val="bottom"/>
            <w:tcBorders>
              <w:right w:val="single" w:sz="8" w:color="auto"/>
            </w:tcBorders>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bottom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2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Operatng</w:t>
            </w:r>
          </w:p>
        </w:tc>
        <w:tc>
          <w:tcPr>
            <w:tcW w:w="240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2"/>
                <w:szCs w:val="12"/>
                <w:b w:val="1"/>
                <w:bCs w:val="1"/>
                <w:color w:val="auto"/>
              </w:rPr>
              <w:t>Efciency rato</w:t>
            </w:r>
          </w:p>
        </w:tc>
        <w:tc>
          <w:tcPr>
            <w:tcW w:w="1360" w:type="dxa"/>
            <w:vAlign w:val="bottom"/>
          </w:tcPr>
          <w:p>
            <w:pPr>
              <w:spacing w:after="0"/>
              <w:rPr>
                <w:sz w:val="16"/>
                <w:szCs w:val="16"/>
                <w:color w:val="auto"/>
              </w:rPr>
            </w:pPr>
          </w:p>
        </w:tc>
        <w:tc>
          <w:tcPr>
            <w:tcW w:w="6300" w:type="dxa"/>
            <w:vAlign w:val="bottom"/>
            <w:tcBorders>
              <w:right w:val="single" w:sz="8" w:color="auto"/>
            </w:tcBorders>
            <w:gridSpan w:val="17"/>
            <w:vMerge w:val="restart"/>
          </w:tcPr>
          <w:p>
            <w:pPr>
              <w:jc w:val="center"/>
              <w:ind w:right="1400"/>
              <w:spacing w:after="0"/>
              <w:rPr>
                <w:sz w:val="20"/>
                <w:szCs w:val="20"/>
                <w:color w:val="auto"/>
              </w:rPr>
            </w:pPr>
            <w:r>
              <w:rPr>
                <w:rFonts w:ascii="Calibri" w:cs="Calibri" w:eastAsia="Calibri" w:hAnsi="Calibri"/>
                <w:sz w:val="12"/>
                <w:szCs w:val="12"/>
                <w:color w:val="auto"/>
              </w:rPr>
              <w:t>For further details on the new Efciency rato calculaton due to IFRS17, please refer to Annex 12.1</w:t>
            </w:r>
          </w:p>
        </w:tc>
        <w:tc>
          <w:tcPr>
            <w:tcW w:w="0" w:type="dxa"/>
            <w:vAlign w:val="bottom"/>
          </w:tcPr>
          <w:p>
            <w:pPr>
              <w:spacing w:after="0"/>
              <w:rPr>
                <w:sz w:val="1"/>
                <w:szCs w:val="1"/>
                <w:color w:val="auto"/>
              </w:rPr>
            </w:pPr>
          </w:p>
        </w:tc>
      </w:tr>
      <w:tr>
        <w:trPr>
          <w:trHeight w:val="68"/>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2"/>
                <w:szCs w:val="12"/>
                <w:b w:val="1"/>
                <w:bCs w:val="1"/>
                <w:color w:val="auto"/>
                <w:w w:val="99"/>
              </w:rPr>
              <w:t>performance</w:t>
            </w:r>
          </w:p>
        </w:tc>
        <w:tc>
          <w:tcPr>
            <w:tcW w:w="2400" w:type="dxa"/>
            <w:vAlign w:val="bottom"/>
            <w:tcBorders>
              <w:right w:val="single" w:sz="8" w:color="auto"/>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6300" w:type="dxa"/>
            <w:vAlign w:val="bottom"/>
            <w:tcBorders>
              <w:right w:val="single" w:sz="8" w:color="auto"/>
            </w:tcBorders>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200" w:type="dxa"/>
            <w:vAlign w:val="bottom"/>
            <w:tcBorders>
              <w:left w:val="single" w:sz="8" w:color="auto"/>
              <w:right w:val="single" w:sz="8" w:color="auto"/>
            </w:tcBorders>
            <w:vMerge w:val="continue"/>
          </w:tcPr>
          <w:p>
            <w:pPr>
              <w:spacing w:after="0"/>
              <w:rPr>
                <w:sz w:val="6"/>
                <w:szCs w:val="6"/>
                <w:color w:val="auto"/>
              </w:rPr>
            </w:pPr>
          </w:p>
        </w:tc>
        <w:tc>
          <w:tcPr>
            <w:tcW w:w="2400" w:type="dxa"/>
            <w:vAlign w:val="bottom"/>
            <w:tcBorders>
              <w:right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bottom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200" w:type="dxa"/>
            <w:vAlign w:val="bottom"/>
            <w:tcBorders>
              <w:left w:val="single" w:sz="8" w:color="auto"/>
              <w:right w:val="single" w:sz="8" w:color="auto"/>
            </w:tcBorders>
          </w:tcPr>
          <w:p>
            <w:pPr>
              <w:spacing w:after="0"/>
              <w:rPr>
                <w:sz w:val="14"/>
                <w:szCs w:val="14"/>
                <w:color w:val="auto"/>
              </w:rPr>
            </w:pPr>
          </w:p>
        </w:tc>
        <w:tc>
          <w:tcPr>
            <w:tcW w:w="240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2"/>
                <w:szCs w:val="12"/>
                <w:b w:val="1"/>
                <w:bCs w:val="1"/>
                <w:color w:val="auto"/>
              </w:rPr>
              <w:t>BIS rato</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00" w:type="dxa"/>
            <w:vAlign w:val="bottom"/>
            <w:tcBorders>
              <w:right w:val="single" w:sz="8" w:color="auto"/>
            </w:tcBorders>
            <w:gridSpan w:val="11"/>
          </w:tcPr>
          <w:p>
            <w:pPr>
              <w:jc w:val="center"/>
              <w:ind w:right="3400"/>
              <w:spacing w:after="0"/>
              <w:rPr>
                <w:sz w:val="20"/>
                <w:szCs w:val="20"/>
                <w:color w:val="auto"/>
              </w:rPr>
            </w:pPr>
            <w:r>
              <w:rPr>
                <w:rFonts w:ascii="Calibri" w:cs="Calibri" w:eastAsia="Calibri" w:hAnsi="Calibri"/>
                <w:sz w:val="12"/>
                <w:szCs w:val="12"/>
                <w:color w:val="auto"/>
              </w:rPr>
              <w:t>Regulatory Capital</w:t>
            </w:r>
          </w:p>
        </w:tc>
        <w:tc>
          <w:tcPr>
            <w:tcW w:w="0" w:type="dxa"/>
            <w:vAlign w:val="bottom"/>
          </w:tcPr>
          <w:p>
            <w:pPr>
              <w:spacing w:after="0"/>
              <w:rPr>
                <w:sz w:val="1"/>
                <w:szCs w:val="1"/>
                <w:color w:val="auto"/>
              </w:rPr>
            </w:pPr>
          </w:p>
        </w:tc>
      </w:tr>
      <w:tr>
        <w:trPr>
          <w:trHeight w:val="20"/>
        </w:trPr>
        <w:tc>
          <w:tcPr>
            <w:tcW w:w="1200" w:type="dxa"/>
            <w:vAlign w:val="bottom"/>
            <w:tcBorders>
              <w:left w:val="single" w:sz="8" w:color="auto"/>
              <w:right w:val="single" w:sz="8" w:color="auto"/>
            </w:tcBorders>
          </w:tcPr>
          <w:p>
            <w:pPr>
              <w:spacing w:after="0" w:line="20" w:lineRule="exact"/>
              <w:rPr>
                <w:sz w:val="1"/>
                <w:szCs w:val="1"/>
                <w:color w:val="auto"/>
              </w:rPr>
            </w:pPr>
          </w:p>
        </w:tc>
        <w:tc>
          <w:tcPr>
            <w:tcW w:w="2400" w:type="dxa"/>
            <w:vAlign w:val="bottom"/>
            <w:tcBorders>
              <w:right w:val="single" w:sz="8" w:color="auto"/>
            </w:tcBorders>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1200" w:type="dxa"/>
            <w:vAlign w:val="bottom"/>
            <w:tcBorders>
              <w:left w:val="single" w:sz="8" w:color="auto"/>
              <w:right w:val="single" w:sz="8" w:color="auto"/>
            </w:tcBorders>
          </w:tcPr>
          <w:p>
            <w:pPr>
              <w:spacing w:after="0"/>
              <w:rPr>
                <w:sz w:val="5"/>
                <w:szCs w:val="5"/>
                <w:color w:val="auto"/>
              </w:rPr>
            </w:pPr>
          </w:p>
        </w:tc>
        <w:tc>
          <w:tcPr>
            <w:tcW w:w="2400" w:type="dxa"/>
            <w:vAlign w:val="bottom"/>
            <w:tcBorders>
              <w:right w:val="single" w:sz="8" w:color="auto"/>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0" w:type="dxa"/>
            <w:vAlign w:val="bottom"/>
            <w:tcBorders>
              <w:right w:val="single" w:sz="8" w:color="auto"/>
            </w:tcBorders>
            <w:gridSpan w:val="12"/>
            <w:vMerge w:val="restart"/>
          </w:tcPr>
          <w:p>
            <w:pPr>
              <w:jc w:val="center"/>
              <w:ind w:right="3280"/>
              <w:spacing w:after="0"/>
              <w:rPr>
                <w:sz w:val="20"/>
                <w:szCs w:val="20"/>
                <w:color w:val="auto"/>
              </w:rPr>
            </w:pPr>
            <w:r>
              <w:rPr>
                <w:rFonts w:ascii="Calibri" w:cs="Calibri" w:eastAsia="Calibri" w:hAnsi="Calibri"/>
                <w:sz w:val="12"/>
                <w:szCs w:val="12"/>
                <w:color w:val="auto"/>
                <w:w w:val="99"/>
              </w:rPr>
              <w:t>Risk – weighted assets</w:t>
            </w:r>
          </w:p>
        </w:tc>
        <w:tc>
          <w:tcPr>
            <w:tcW w:w="0" w:type="dxa"/>
            <w:vAlign w:val="bottom"/>
          </w:tcPr>
          <w:p>
            <w:pPr>
              <w:spacing w:after="0"/>
              <w:rPr>
                <w:sz w:val="1"/>
                <w:szCs w:val="1"/>
                <w:color w:val="auto"/>
              </w:rPr>
            </w:pPr>
          </w:p>
        </w:tc>
      </w:tr>
      <w:tr>
        <w:trPr>
          <w:trHeight w:val="79"/>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right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0" w:type="dxa"/>
            <w:vAlign w:val="bottom"/>
            <w:tcBorders>
              <w:right w:val="single" w:sz="8" w:color="auto"/>
            </w:tcBorders>
            <w:gridSpan w:val="1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2"/>
                <w:szCs w:val="12"/>
                <w:b w:val="1"/>
                <w:bCs w:val="1"/>
                <w:color w:val="auto"/>
              </w:rPr>
              <w:t>Capital Adequacy</w:t>
            </w:r>
          </w:p>
        </w:tc>
        <w:tc>
          <w:tcPr>
            <w:tcW w:w="240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2"/>
                <w:szCs w:val="12"/>
                <w:b w:val="1"/>
                <w:bCs w:val="1"/>
                <w:color w:val="auto"/>
              </w:rPr>
              <w:t>Tier 1 rato</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00" w:type="dxa"/>
            <w:vAlign w:val="bottom"/>
            <w:tcBorders>
              <w:right w:val="single" w:sz="8" w:color="auto"/>
            </w:tcBorders>
            <w:gridSpan w:val="11"/>
          </w:tcPr>
          <w:p>
            <w:pPr>
              <w:jc w:val="center"/>
              <w:ind w:right="3380"/>
              <w:spacing w:after="0"/>
              <w:rPr>
                <w:sz w:val="20"/>
                <w:szCs w:val="20"/>
                <w:color w:val="auto"/>
              </w:rPr>
            </w:pPr>
            <w:r>
              <w:rPr>
                <w:rFonts w:ascii="Calibri" w:cs="Calibri" w:eastAsia="Calibri" w:hAnsi="Calibri"/>
                <w:sz w:val="12"/>
                <w:szCs w:val="12"/>
                <w:color w:val="auto"/>
              </w:rPr>
              <w:t>Tier 1</w:t>
            </w:r>
          </w:p>
        </w:tc>
        <w:tc>
          <w:tcPr>
            <w:tcW w:w="0" w:type="dxa"/>
            <w:vAlign w:val="bottom"/>
          </w:tcPr>
          <w:p>
            <w:pPr>
              <w:spacing w:after="0"/>
              <w:rPr>
                <w:sz w:val="1"/>
                <w:szCs w:val="1"/>
                <w:color w:val="auto"/>
              </w:rPr>
            </w:pPr>
          </w:p>
        </w:tc>
      </w:tr>
      <w:tr>
        <w:trPr>
          <w:trHeight w:val="20"/>
        </w:trPr>
        <w:tc>
          <w:tcPr>
            <w:tcW w:w="1200" w:type="dxa"/>
            <w:vAlign w:val="bottom"/>
            <w:tcBorders>
              <w:left w:val="single" w:sz="8" w:color="auto"/>
              <w:right w:val="single" w:sz="8" w:color="auto"/>
            </w:tcBorders>
            <w:vMerge w:val="continue"/>
          </w:tcPr>
          <w:p>
            <w:pPr>
              <w:spacing w:after="0" w:line="20" w:lineRule="exact"/>
              <w:rPr>
                <w:sz w:val="1"/>
                <w:szCs w:val="1"/>
                <w:color w:val="auto"/>
              </w:rPr>
            </w:pPr>
          </w:p>
        </w:tc>
        <w:tc>
          <w:tcPr>
            <w:tcW w:w="2400" w:type="dxa"/>
            <w:vAlign w:val="bottom"/>
            <w:tcBorders>
              <w:right w:val="single" w:sz="8" w:color="auto"/>
            </w:tcBorders>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1200" w:type="dxa"/>
            <w:vAlign w:val="bottom"/>
            <w:tcBorders>
              <w:left w:val="single" w:sz="8" w:color="auto"/>
              <w:right w:val="single" w:sz="8" w:color="auto"/>
            </w:tcBorders>
            <w:vMerge w:val="continue"/>
          </w:tcPr>
          <w:p>
            <w:pPr>
              <w:spacing w:after="0"/>
              <w:rPr>
                <w:sz w:val="5"/>
                <w:szCs w:val="5"/>
                <w:color w:val="auto"/>
              </w:rPr>
            </w:pPr>
          </w:p>
        </w:tc>
        <w:tc>
          <w:tcPr>
            <w:tcW w:w="2400" w:type="dxa"/>
            <w:vAlign w:val="bottom"/>
            <w:tcBorders>
              <w:right w:val="single" w:sz="8" w:color="auto"/>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0" w:type="dxa"/>
            <w:vAlign w:val="bottom"/>
            <w:tcBorders>
              <w:right w:val="single" w:sz="8" w:color="auto"/>
            </w:tcBorders>
            <w:gridSpan w:val="12"/>
            <w:vMerge w:val="restart"/>
          </w:tcPr>
          <w:p>
            <w:pPr>
              <w:jc w:val="center"/>
              <w:ind w:right="3280"/>
              <w:spacing w:after="0"/>
              <w:rPr>
                <w:sz w:val="20"/>
                <w:szCs w:val="20"/>
                <w:color w:val="auto"/>
              </w:rPr>
            </w:pPr>
            <w:r>
              <w:rPr>
                <w:rFonts w:ascii="Calibri" w:cs="Calibri" w:eastAsia="Calibri" w:hAnsi="Calibri"/>
                <w:sz w:val="12"/>
                <w:szCs w:val="12"/>
                <w:color w:val="auto"/>
                <w:w w:val="99"/>
              </w:rPr>
              <w:t>Risk – weighted assets</w:t>
            </w:r>
          </w:p>
        </w:tc>
        <w:tc>
          <w:tcPr>
            <w:tcW w:w="0" w:type="dxa"/>
            <w:vAlign w:val="bottom"/>
          </w:tcPr>
          <w:p>
            <w:pPr>
              <w:spacing w:after="0"/>
              <w:rPr>
                <w:sz w:val="1"/>
                <w:szCs w:val="1"/>
                <w:color w:val="auto"/>
              </w:rPr>
            </w:pPr>
          </w:p>
        </w:tc>
      </w:tr>
      <w:tr>
        <w:trPr>
          <w:trHeight w:val="79"/>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right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0" w:type="dxa"/>
            <w:vAlign w:val="bottom"/>
            <w:tcBorders>
              <w:right w:val="single" w:sz="8" w:color="auto"/>
            </w:tcBorders>
            <w:gridSpan w:val="1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200" w:type="dxa"/>
            <w:vAlign w:val="bottom"/>
            <w:tcBorders>
              <w:left w:val="single" w:sz="8" w:color="auto"/>
              <w:right w:val="single" w:sz="8" w:color="auto"/>
            </w:tcBorders>
          </w:tcPr>
          <w:p>
            <w:pPr>
              <w:spacing w:after="0"/>
              <w:rPr>
                <w:sz w:val="12"/>
                <w:szCs w:val="12"/>
                <w:color w:val="auto"/>
              </w:rPr>
            </w:pPr>
          </w:p>
        </w:tc>
        <w:tc>
          <w:tcPr>
            <w:tcW w:w="240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2"/>
                <w:szCs w:val="12"/>
                <w:b w:val="1"/>
                <w:bCs w:val="1"/>
                <w:color w:val="auto"/>
              </w:rPr>
              <w:t>Common Equity Tier 1 rato</w:t>
            </w:r>
          </w:p>
        </w:tc>
        <w:tc>
          <w:tcPr>
            <w:tcW w:w="3780" w:type="dxa"/>
            <w:vAlign w:val="bottom"/>
            <w:gridSpan w:val="9"/>
          </w:tcPr>
          <w:p>
            <w:pPr>
              <w:ind w:left="1360"/>
              <w:spacing w:after="0" w:line="139" w:lineRule="exact"/>
              <w:rPr>
                <w:sz w:val="20"/>
                <w:szCs w:val="20"/>
                <w:color w:val="auto"/>
              </w:rPr>
            </w:pPr>
            <w:r>
              <w:rPr>
                <w:rFonts w:ascii="Calibri" w:cs="Calibri" w:eastAsia="Calibri" w:hAnsi="Calibri"/>
                <w:sz w:val="12"/>
                <w:szCs w:val="12"/>
                <w:color w:val="auto"/>
              </w:rPr>
              <w:t>Capital+Reserves -100% of applicable deductons</w:t>
            </w:r>
          </w:p>
        </w:tc>
        <w:tc>
          <w:tcPr>
            <w:tcW w:w="180" w:type="dxa"/>
            <w:vAlign w:val="bottom"/>
            <w:tcBorders>
              <w:bottom w:val="single" w:sz="8" w:color="auto"/>
            </w:tcBorders>
          </w:tcPr>
          <w:p>
            <w:pPr>
              <w:jc w:val="right"/>
              <w:spacing w:after="0" w:line="127" w:lineRule="exact"/>
              <w:rPr>
                <w:sz w:val="20"/>
                <w:szCs w:val="20"/>
                <w:color w:val="auto"/>
              </w:rPr>
            </w:pPr>
            <w:r>
              <w:rPr>
                <w:rFonts w:ascii="Calibri" w:cs="Calibri" w:eastAsia="Calibri" w:hAnsi="Calibri"/>
                <w:sz w:val="12"/>
                <w:szCs w:val="12"/>
                <w:color w:val="auto"/>
                <w:w w:val="89"/>
              </w:rPr>
              <w:t>(2)</w:t>
            </w:r>
          </w:p>
        </w:tc>
        <w:tc>
          <w:tcPr>
            <w:tcW w:w="3700" w:type="dxa"/>
            <w:vAlign w:val="bottom"/>
            <w:tcBorders>
              <w:right w:val="single" w:sz="8" w:color="auto"/>
            </w:tcBorders>
            <w:gridSpan w:val="8"/>
          </w:tcPr>
          <w:p>
            <w:pPr>
              <w:spacing w:after="0" w:line="139" w:lineRule="exact"/>
              <w:rPr>
                <w:sz w:val="20"/>
                <w:szCs w:val="20"/>
                <w:color w:val="auto"/>
              </w:rPr>
            </w:pPr>
            <w:r>
              <w:rPr>
                <w:rFonts w:ascii="Calibri" w:cs="Calibri" w:eastAsia="Calibri" w:hAnsi="Calibri"/>
                <w:sz w:val="12"/>
                <w:szCs w:val="12"/>
                <w:color w:val="auto"/>
              </w:rPr>
              <w:t>+ Retained Earnings + Unrealized gains or losses</w:t>
            </w:r>
          </w:p>
        </w:tc>
        <w:tc>
          <w:tcPr>
            <w:tcW w:w="0" w:type="dxa"/>
            <w:vAlign w:val="bottom"/>
          </w:tcPr>
          <w:p>
            <w:pPr>
              <w:spacing w:after="0"/>
              <w:rPr>
                <w:sz w:val="1"/>
                <w:szCs w:val="1"/>
                <w:color w:val="auto"/>
              </w:rPr>
            </w:pPr>
          </w:p>
        </w:tc>
      </w:tr>
      <w:tr>
        <w:trPr>
          <w:trHeight w:val="20"/>
        </w:trPr>
        <w:tc>
          <w:tcPr>
            <w:tcW w:w="1200" w:type="dxa"/>
            <w:vAlign w:val="bottom"/>
            <w:tcBorders>
              <w:left w:val="single" w:sz="8" w:color="auto"/>
              <w:right w:val="single" w:sz="8" w:color="auto"/>
            </w:tcBorders>
          </w:tcPr>
          <w:p>
            <w:pPr>
              <w:spacing w:after="0" w:line="20" w:lineRule="exact"/>
              <w:rPr>
                <w:sz w:val="1"/>
                <w:szCs w:val="1"/>
                <w:color w:val="auto"/>
              </w:rPr>
            </w:pPr>
          </w:p>
        </w:tc>
        <w:tc>
          <w:tcPr>
            <w:tcW w:w="2400" w:type="dxa"/>
            <w:vAlign w:val="bottom"/>
            <w:tcBorders>
              <w:right w:val="single" w:sz="8" w:color="auto"/>
            </w:tcBorders>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1200" w:type="dxa"/>
            <w:vAlign w:val="bottom"/>
            <w:tcBorders>
              <w:left w:val="single" w:sz="8" w:color="auto"/>
              <w:right w:val="single" w:sz="8" w:color="auto"/>
            </w:tcBorders>
          </w:tcPr>
          <w:p>
            <w:pPr>
              <w:spacing w:after="0"/>
              <w:rPr>
                <w:sz w:val="4"/>
                <w:szCs w:val="4"/>
                <w:color w:val="auto"/>
              </w:rPr>
            </w:pPr>
          </w:p>
        </w:tc>
        <w:tc>
          <w:tcPr>
            <w:tcW w:w="2400" w:type="dxa"/>
            <w:vAlign w:val="bottom"/>
            <w:tcBorders>
              <w:right w:val="single" w:sz="8" w:color="auto"/>
            </w:tcBorders>
            <w:vMerge w:val="continue"/>
          </w:tcPr>
          <w:p>
            <w:pPr>
              <w:spacing w:after="0"/>
              <w:rPr>
                <w:sz w:val="4"/>
                <w:szCs w:val="4"/>
                <w:color w:val="auto"/>
              </w:rPr>
            </w:pPr>
          </w:p>
        </w:tc>
        <w:tc>
          <w:tcPr>
            <w:tcW w:w="1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0" w:type="dxa"/>
            <w:vAlign w:val="bottom"/>
            <w:tcBorders>
              <w:right w:val="single" w:sz="8" w:color="auto"/>
            </w:tcBorders>
            <w:gridSpan w:val="12"/>
            <w:vMerge w:val="restart"/>
          </w:tcPr>
          <w:p>
            <w:pPr>
              <w:jc w:val="center"/>
              <w:ind w:right="3280"/>
              <w:spacing w:after="0" w:line="129" w:lineRule="exact"/>
              <w:rPr>
                <w:sz w:val="20"/>
                <w:szCs w:val="20"/>
                <w:color w:val="auto"/>
              </w:rPr>
            </w:pPr>
            <w:r>
              <w:rPr>
                <w:rFonts w:ascii="Calibri" w:cs="Calibri" w:eastAsia="Calibri" w:hAnsi="Calibri"/>
                <w:sz w:val="12"/>
                <w:szCs w:val="12"/>
                <w:color w:val="auto"/>
                <w:w w:val="99"/>
              </w:rPr>
              <w:t>Risk – weighted assets</w:t>
            </w:r>
          </w:p>
        </w:tc>
        <w:tc>
          <w:tcPr>
            <w:tcW w:w="0" w:type="dxa"/>
            <w:vAlign w:val="bottom"/>
          </w:tcPr>
          <w:p>
            <w:pPr>
              <w:spacing w:after="0"/>
              <w:rPr>
                <w:sz w:val="1"/>
                <w:szCs w:val="1"/>
                <w:color w:val="auto"/>
              </w:rPr>
            </w:pPr>
          </w:p>
        </w:tc>
      </w:tr>
      <w:tr>
        <w:trPr>
          <w:trHeight w:val="79"/>
        </w:trPr>
        <w:tc>
          <w:tcPr>
            <w:tcW w:w="1200" w:type="dxa"/>
            <w:vAlign w:val="bottom"/>
            <w:tcBorders>
              <w:left w:val="single" w:sz="8" w:color="auto"/>
              <w:right w:val="single" w:sz="8" w:color="auto"/>
            </w:tcBorders>
          </w:tcPr>
          <w:p>
            <w:pPr>
              <w:spacing w:after="0"/>
              <w:rPr>
                <w:sz w:val="6"/>
                <w:szCs w:val="6"/>
                <w:color w:val="auto"/>
              </w:rPr>
            </w:pPr>
          </w:p>
        </w:tc>
        <w:tc>
          <w:tcPr>
            <w:tcW w:w="2400" w:type="dxa"/>
            <w:vAlign w:val="bottom"/>
            <w:tcBorders>
              <w:right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0" w:type="dxa"/>
            <w:vAlign w:val="bottom"/>
            <w:tcBorders>
              <w:right w:val="single" w:sz="8" w:color="auto"/>
            </w:tcBorders>
            <w:gridSpan w:val="1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bottom w:val="single" w:sz="8" w:color="auto"/>
              <w:right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29" w:hanging="129"/>
        <w:spacing w:after="0"/>
        <w:tabs>
          <w:tab w:leader="none" w:pos="129" w:val="left"/>
        </w:tabs>
        <w:numPr>
          <w:ilvl w:val="0"/>
          <w:numId w:val="74"/>
        </w:numPr>
        <w:rPr>
          <w:rFonts w:ascii="Calibri" w:cs="Calibri" w:eastAsia="Calibri" w:hAnsi="Calibri"/>
          <w:sz w:val="10"/>
          <w:szCs w:val="10"/>
          <w:color w:val="auto"/>
        </w:rPr>
      </w:pPr>
      <w:r>
        <w:rPr>
          <w:rFonts w:ascii="Calibri" w:cs="Calibri" w:eastAsia="Calibri" w:hAnsi="Calibri"/>
          <w:sz w:val="10"/>
          <w:szCs w:val="10"/>
          <w:color w:val="auto"/>
        </w:rPr>
        <w:t>Averages are determined as the average of period-beginning and period-ending balances.</w:t>
      </w:r>
    </w:p>
    <w:p>
      <w:pPr>
        <w:ind w:left="129" w:hanging="129"/>
        <w:spacing w:after="0" w:line="223" w:lineRule="auto"/>
        <w:tabs>
          <w:tab w:leader="none" w:pos="129" w:val="left"/>
        </w:tabs>
        <w:numPr>
          <w:ilvl w:val="0"/>
          <w:numId w:val="74"/>
        </w:numPr>
        <w:rPr>
          <w:rFonts w:ascii="Calibri" w:cs="Calibri" w:eastAsia="Calibri" w:hAnsi="Calibri"/>
          <w:sz w:val="10"/>
          <w:szCs w:val="10"/>
          <w:color w:val="auto"/>
        </w:rPr>
      </w:pPr>
      <w:r>
        <w:rPr>
          <w:rFonts w:ascii="Calibri" w:cs="Calibri" w:eastAsia="Calibri" w:hAnsi="Calibri"/>
          <w:sz w:val="10"/>
          <w:szCs w:val="10"/>
          <w:color w:val="auto"/>
        </w:rPr>
        <w:t>Includes investment in subsidiaries, goodwill, intangibles and deferred tax that rely on future proftability.</w:t>
      </w:r>
    </w:p>
    <w:p>
      <w:pPr>
        <w:spacing w:after="0" w:line="331" w:lineRule="exact"/>
        <w:rPr>
          <w:sz w:val="20"/>
          <w:szCs w:val="20"/>
          <w:color w:val="auto"/>
        </w:rPr>
      </w:pPr>
    </w:p>
    <w:p>
      <w:pPr>
        <w:ind w:left="11149"/>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53910" cy="146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65" w:right="319" w:bottom="1440" w:gutter="0" w:footer="0" w:header="0"/>
        </w:sectPr>
      </w:pPr>
    </w:p>
    <w:bookmarkStart w:id="82" w:name="page83"/>
    <w:bookmarkEnd w:id="82"/>
    <w:p>
      <w:pPr>
        <w:ind w:left="2700"/>
        <w:spacing w:after="0"/>
        <w:tabs>
          <w:tab w:leader="none" w:pos="2900" w:val="left"/>
          <w:tab w:leader="none" w:pos="8560" w:val="left"/>
        </w:tabs>
        <w:rPr>
          <w:sz w:val="20"/>
          <w:szCs w:val="20"/>
          <w:color w:val="auto"/>
        </w:rPr>
      </w:pPr>
      <w:r>
        <w:rPr>
          <w:rFonts w:ascii="Arial" w:cs="Arial" w:eastAsia="Arial" w:hAnsi="Arial"/>
          <w:sz w:val="14"/>
          <w:szCs w:val="14"/>
          <w:color w:val="A6A6A6"/>
        </w:rPr>
        <w:drawing>
          <wp:anchor simplePos="0" relativeHeight="251657728" behindDoc="1" locked="0" layoutInCell="0" allowOverlap="1">
            <wp:simplePos x="0" y="0"/>
            <wp:positionH relativeFrom="page">
              <wp:posOffset>197485</wp:posOffset>
            </wp:positionH>
            <wp:positionV relativeFrom="page">
              <wp:posOffset>110490</wp:posOffset>
            </wp:positionV>
            <wp:extent cx="7153910" cy="410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3910" cy="410845"/>
                    </a:xfrm>
                    <a:prstGeom prst="rect">
                      <a:avLst/>
                    </a:prstGeom>
                    <a:noFill/>
                  </pic:spPr>
                </pic:pic>
              </a:graphicData>
            </a:graphic>
          </wp:anchor>
        </w:drawing>
        <w:t>|</w:t>
      </w:r>
      <w:r>
        <w:rPr>
          <w:sz w:val="20"/>
          <w:szCs w:val="20"/>
          <w:color w:val="auto"/>
        </w:rPr>
        <w:tab/>
      </w:r>
      <w:r>
        <w:rPr>
          <w:rFonts w:ascii="Calibri" w:cs="Calibri" w:eastAsia="Calibri" w:hAnsi="Calibri"/>
          <w:sz w:val="15"/>
          <w:szCs w:val="15"/>
          <w:b w:val="1"/>
          <w:bCs w:val="1"/>
          <w:color w:val="FFFFFF"/>
        </w:rPr>
        <w:t>Earnings Release 1Q / 2023</w:t>
      </w:r>
      <w:r>
        <w:rPr>
          <w:sz w:val="20"/>
          <w:szCs w:val="20"/>
          <w:color w:val="auto"/>
        </w:rPr>
        <w:tab/>
      </w:r>
      <w:r>
        <w:rPr>
          <w:rFonts w:ascii="Calibri" w:cs="Calibri" w:eastAsia="Calibri" w:hAnsi="Calibri"/>
          <w:sz w:val="16"/>
          <w:szCs w:val="16"/>
          <w:b w:val="1"/>
          <w:bCs w:val="1"/>
          <w:color w:val="E93CAC"/>
        </w:rPr>
        <w:t>Analysis of 1Q23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53910" cy="2305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3910" cy="23050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FFFFFF"/>
        </w:rPr>
        <w:t>12. Appendix</w:t>
      </w:r>
    </w:p>
    <w:p>
      <w:pPr>
        <w:spacing w:after="0" w:line="251"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12.8. Glossary of terms</w:t>
      </w: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4140" w:type="dxa"/>
            <w:vAlign w:val="bottom"/>
            <w:tcBorders>
              <w:top w:val="single" w:sz="8" w:color="auto"/>
              <w:left w:val="single" w:sz="8" w:color="auto"/>
              <w:bottom w:val="single" w:sz="8" w:color="2AD2C9"/>
              <w:right w:val="single" w:sz="8" w:color="auto"/>
            </w:tcBorders>
            <w:shd w:val="clear" w:color="auto" w:fill="2AD2C9"/>
          </w:tcPr>
          <w:p>
            <w:pPr>
              <w:ind w:left="1900"/>
              <w:spacing w:after="0"/>
              <w:rPr>
                <w:sz w:val="20"/>
                <w:szCs w:val="20"/>
                <w:color w:val="auto"/>
              </w:rPr>
            </w:pPr>
            <w:r>
              <w:rPr>
                <w:rFonts w:ascii="Calibri" w:cs="Calibri" w:eastAsia="Calibri" w:hAnsi="Calibri"/>
                <w:sz w:val="15"/>
                <w:szCs w:val="15"/>
                <w:b w:val="1"/>
                <w:bCs w:val="1"/>
                <w:color w:val="FFFFFF"/>
              </w:rPr>
              <w:t>Term</w:t>
            </w:r>
          </w:p>
        </w:tc>
        <w:tc>
          <w:tcPr>
            <w:tcW w:w="7120" w:type="dxa"/>
            <w:vAlign w:val="bottom"/>
            <w:tcBorders>
              <w:top w:val="single" w:sz="8" w:color="auto"/>
              <w:bottom w:val="single" w:sz="8" w:color="2AD2C9"/>
              <w:right w:val="single" w:sz="8" w:color="auto"/>
            </w:tcBorders>
            <w:shd w:val="clear" w:color="auto" w:fill="2AD2C9"/>
          </w:tcPr>
          <w:p>
            <w:pPr>
              <w:ind w:left="3280"/>
              <w:spacing w:after="0"/>
              <w:rPr>
                <w:sz w:val="20"/>
                <w:szCs w:val="20"/>
                <w:color w:val="auto"/>
              </w:rPr>
            </w:pPr>
            <w:r>
              <w:rPr>
                <w:rFonts w:ascii="Calibri" w:cs="Calibri" w:eastAsia="Calibri" w:hAnsi="Calibri"/>
                <w:sz w:val="15"/>
                <w:szCs w:val="15"/>
                <w:b w:val="1"/>
                <w:bCs w:val="1"/>
                <w:color w:val="FFFFFF"/>
              </w:rPr>
              <w:t>Defniton</w:t>
            </w:r>
          </w:p>
        </w:tc>
        <w:tc>
          <w:tcPr>
            <w:tcW w:w="0" w:type="dxa"/>
            <w:vAlign w:val="bottom"/>
          </w:tcPr>
          <w:p>
            <w:pPr>
              <w:spacing w:after="0"/>
              <w:rPr>
                <w:sz w:val="1"/>
                <w:szCs w:val="1"/>
                <w:color w:val="auto"/>
              </w:rPr>
            </w:pPr>
          </w:p>
        </w:tc>
      </w:tr>
      <w:tr>
        <w:trPr>
          <w:trHeight w:val="174"/>
        </w:trPr>
        <w:tc>
          <w:tcPr>
            <w:tcW w:w="414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Calibri" w:cs="Calibri" w:eastAsia="Calibri" w:hAnsi="Calibri"/>
                <w:sz w:val="15"/>
                <w:szCs w:val="15"/>
                <w:b w:val="1"/>
                <w:bCs w:val="1"/>
                <w:color w:val="auto"/>
              </w:rPr>
              <w:t>Government Program Loans (“GP” or “GP Loans”)</w:t>
            </w:r>
          </w:p>
        </w:tc>
        <w:tc>
          <w:tcPr>
            <w:tcW w:w="7120" w:type="dxa"/>
            <w:vAlign w:val="bottom"/>
            <w:tcBorders>
              <w:top w:val="single" w:sz="8" w:color="auto"/>
              <w:right w:val="single" w:sz="8" w:color="auto"/>
            </w:tcBorders>
          </w:tcPr>
          <w:p>
            <w:pPr>
              <w:ind w:left="100"/>
              <w:spacing w:after="0" w:line="174" w:lineRule="exact"/>
              <w:rPr>
                <w:sz w:val="20"/>
                <w:szCs w:val="20"/>
                <w:color w:val="auto"/>
              </w:rPr>
            </w:pPr>
            <w:r>
              <w:rPr>
                <w:rFonts w:ascii="Calibri" w:cs="Calibri" w:eastAsia="Calibri" w:hAnsi="Calibri"/>
                <w:sz w:val="15"/>
                <w:szCs w:val="15"/>
                <w:color w:val="auto"/>
              </w:rPr>
              <w:t>Loan Portolio related to Reactva Peru and FAE-Mype programs to respond quickly and efectvely to liquidity needs</w:t>
            </w:r>
          </w:p>
        </w:tc>
        <w:tc>
          <w:tcPr>
            <w:tcW w:w="0" w:type="dxa"/>
            <w:vAlign w:val="bottom"/>
          </w:tcPr>
          <w:p>
            <w:pPr>
              <w:spacing w:after="0"/>
              <w:rPr>
                <w:sz w:val="1"/>
                <w:szCs w:val="1"/>
                <w:color w:val="auto"/>
              </w:rPr>
            </w:pPr>
          </w:p>
        </w:tc>
      </w:tr>
      <w:tr>
        <w:trPr>
          <w:trHeight w:val="89"/>
        </w:trPr>
        <w:tc>
          <w:tcPr>
            <w:tcW w:w="4140" w:type="dxa"/>
            <w:vAlign w:val="bottom"/>
            <w:tcBorders>
              <w:left w:val="single" w:sz="8" w:color="auto"/>
              <w:right w:val="single" w:sz="8" w:color="auto"/>
            </w:tcBorders>
            <w:vMerge w:val="continue"/>
          </w:tcPr>
          <w:p>
            <w:pPr>
              <w:spacing w:after="0"/>
              <w:rPr>
                <w:sz w:val="7"/>
                <w:szCs w:val="7"/>
                <w:color w:val="auto"/>
              </w:rPr>
            </w:pPr>
          </w:p>
        </w:tc>
        <w:tc>
          <w:tcPr>
            <w:tcW w:w="7120" w:type="dxa"/>
            <w:vAlign w:val="bottom"/>
            <w:tcBorders>
              <w:right w:val="single" w:sz="8" w:color="auto"/>
            </w:tcBorders>
            <w:vMerge w:val="restart"/>
          </w:tcPr>
          <w:p>
            <w:pPr>
              <w:ind w:left="100"/>
              <w:spacing w:after="0" w:line="180" w:lineRule="exact"/>
              <w:rPr>
                <w:sz w:val="20"/>
                <w:szCs w:val="20"/>
                <w:color w:val="auto"/>
              </w:rPr>
            </w:pPr>
            <w:r>
              <w:rPr>
                <w:rFonts w:ascii="Calibri" w:cs="Calibri" w:eastAsia="Calibri" w:hAnsi="Calibri"/>
                <w:sz w:val="15"/>
                <w:szCs w:val="15"/>
                <w:color w:val="auto"/>
              </w:rPr>
              <w:t>and maintain the payment chain.</w:t>
            </w:r>
          </w:p>
        </w:tc>
        <w:tc>
          <w:tcPr>
            <w:tcW w:w="0" w:type="dxa"/>
            <w:vAlign w:val="bottom"/>
          </w:tcPr>
          <w:p>
            <w:pPr>
              <w:spacing w:after="0"/>
              <w:rPr>
                <w:sz w:val="1"/>
                <w:szCs w:val="1"/>
                <w:color w:val="auto"/>
              </w:rPr>
            </w:pPr>
          </w:p>
        </w:tc>
      </w:tr>
      <w:tr>
        <w:trPr>
          <w:trHeight w:val="91"/>
        </w:trPr>
        <w:tc>
          <w:tcPr>
            <w:tcW w:w="4140" w:type="dxa"/>
            <w:vAlign w:val="bottom"/>
            <w:tcBorders>
              <w:left w:val="single" w:sz="8" w:color="auto"/>
              <w:right w:val="single" w:sz="8" w:color="auto"/>
            </w:tcBorders>
          </w:tcPr>
          <w:p>
            <w:pPr>
              <w:spacing w:after="0"/>
              <w:rPr>
                <w:sz w:val="7"/>
                <w:szCs w:val="7"/>
                <w:color w:val="auto"/>
              </w:rPr>
            </w:pPr>
          </w:p>
        </w:tc>
        <w:tc>
          <w:tcPr>
            <w:tcW w:w="7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4140" w:type="dxa"/>
            <w:vAlign w:val="bottom"/>
            <w:tcBorders>
              <w:left w:val="single" w:sz="8" w:color="auto"/>
              <w:bottom w:val="single" w:sz="8" w:color="auto"/>
              <w:right w:val="single" w:sz="8" w:color="auto"/>
            </w:tcBorders>
          </w:tcPr>
          <w:p>
            <w:pPr>
              <w:spacing w:after="0"/>
              <w:rPr>
                <w:sz w:val="3"/>
                <w:szCs w:val="3"/>
                <w:color w:val="auto"/>
              </w:rPr>
            </w:pPr>
          </w:p>
        </w:tc>
        <w:tc>
          <w:tcPr>
            <w:tcW w:w="7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14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Structural Loans</w:t>
            </w:r>
          </w:p>
        </w:tc>
        <w:tc>
          <w:tcPr>
            <w:tcW w:w="7120" w:type="dxa"/>
            <w:vAlign w:val="bottom"/>
            <w:tcBorders>
              <w:right w:val="single" w:sz="8" w:color="auto"/>
            </w:tcBorders>
          </w:tcPr>
          <w:p>
            <w:pPr>
              <w:ind w:left="100"/>
              <w:spacing w:after="0" w:line="180" w:lineRule="exact"/>
              <w:rPr>
                <w:sz w:val="20"/>
                <w:szCs w:val="20"/>
                <w:color w:val="auto"/>
              </w:rPr>
            </w:pPr>
            <w:r>
              <w:rPr>
                <w:rFonts w:ascii="Calibri" w:cs="Calibri" w:eastAsia="Calibri" w:hAnsi="Calibri"/>
                <w:sz w:val="15"/>
                <w:szCs w:val="15"/>
                <w:color w:val="auto"/>
              </w:rPr>
              <w:t>Loan Portolio excluding GP Loans.</w:t>
            </w:r>
          </w:p>
        </w:tc>
        <w:tc>
          <w:tcPr>
            <w:tcW w:w="0" w:type="dxa"/>
            <w:vAlign w:val="bottom"/>
          </w:tcPr>
          <w:p>
            <w:pPr>
              <w:spacing w:after="0"/>
              <w:rPr>
                <w:sz w:val="1"/>
                <w:szCs w:val="1"/>
                <w:color w:val="auto"/>
              </w:rPr>
            </w:pP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7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140" w:type="dxa"/>
            <w:vAlign w:val="bottom"/>
            <w:tcBorders>
              <w:left w:val="single" w:sz="8" w:color="auto"/>
              <w:right w:val="single" w:sz="8" w:color="auto"/>
            </w:tcBorders>
            <w:vMerge w:val="restart"/>
          </w:tcPr>
          <w:p>
            <w:pPr>
              <w:ind w:left="20"/>
              <w:spacing w:after="0"/>
              <w:rPr>
                <w:sz w:val="20"/>
                <w:szCs w:val="20"/>
                <w:color w:val="auto"/>
              </w:rPr>
            </w:pPr>
            <w:r>
              <w:rPr>
                <w:rFonts w:ascii="Calibri" w:cs="Calibri" w:eastAsia="Calibri" w:hAnsi="Calibri"/>
                <w:sz w:val="15"/>
                <w:szCs w:val="15"/>
                <w:b w:val="1"/>
                <w:bCs w:val="1"/>
                <w:color w:val="auto"/>
              </w:rPr>
              <w:t>Structural Cost of Risk</w:t>
            </w:r>
          </w:p>
        </w:tc>
        <w:tc>
          <w:tcPr>
            <w:tcW w:w="7120" w:type="dxa"/>
            <w:vAlign w:val="bottom"/>
            <w:tcBorders>
              <w:right w:val="single" w:sz="8" w:color="auto"/>
            </w:tcBorders>
          </w:tcPr>
          <w:p>
            <w:pPr>
              <w:ind w:left="100"/>
              <w:spacing w:after="0" w:line="174" w:lineRule="exact"/>
              <w:rPr>
                <w:sz w:val="20"/>
                <w:szCs w:val="20"/>
                <w:color w:val="auto"/>
              </w:rPr>
            </w:pPr>
            <w:r>
              <w:rPr>
                <w:rFonts w:ascii="Calibri" w:cs="Calibri" w:eastAsia="Calibri" w:hAnsi="Calibri"/>
                <w:sz w:val="15"/>
                <w:szCs w:val="15"/>
                <w:color w:val="auto"/>
              </w:rPr>
              <w:t>Cost of Risk related to the Structural Loans. It excludes, in the numerator, provisions for credit losses on GP loans,</w:t>
            </w:r>
          </w:p>
        </w:tc>
        <w:tc>
          <w:tcPr>
            <w:tcW w:w="0" w:type="dxa"/>
            <w:vAlign w:val="bottom"/>
          </w:tcPr>
          <w:p>
            <w:pPr>
              <w:spacing w:after="0"/>
              <w:rPr>
                <w:sz w:val="1"/>
                <w:szCs w:val="1"/>
                <w:color w:val="auto"/>
              </w:rPr>
            </w:pPr>
          </w:p>
        </w:tc>
      </w:tr>
      <w:tr>
        <w:trPr>
          <w:trHeight w:val="89"/>
        </w:trPr>
        <w:tc>
          <w:tcPr>
            <w:tcW w:w="4140" w:type="dxa"/>
            <w:vAlign w:val="bottom"/>
            <w:tcBorders>
              <w:left w:val="single" w:sz="8" w:color="auto"/>
              <w:right w:val="single" w:sz="8" w:color="auto"/>
            </w:tcBorders>
            <w:vMerge w:val="continue"/>
          </w:tcPr>
          <w:p>
            <w:pPr>
              <w:spacing w:after="0"/>
              <w:rPr>
                <w:sz w:val="7"/>
                <w:szCs w:val="7"/>
                <w:color w:val="auto"/>
              </w:rPr>
            </w:pPr>
          </w:p>
        </w:tc>
        <w:tc>
          <w:tcPr>
            <w:tcW w:w="7120" w:type="dxa"/>
            <w:vAlign w:val="bottom"/>
            <w:tcBorders>
              <w:right w:val="single" w:sz="8" w:color="auto"/>
            </w:tcBorders>
            <w:vMerge w:val="restart"/>
          </w:tcPr>
          <w:p>
            <w:pPr>
              <w:ind w:left="100"/>
              <w:spacing w:after="0" w:line="180" w:lineRule="exact"/>
              <w:rPr>
                <w:sz w:val="20"/>
                <w:szCs w:val="20"/>
                <w:color w:val="auto"/>
              </w:rPr>
            </w:pPr>
            <w:r>
              <w:rPr>
                <w:rFonts w:ascii="Calibri" w:cs="Calibri" w:eastAsia="Calibri" w:hAnsi="Calibri"/>
                <w:sz w:val="15"/>
                <w:szCs w:val="15"/>
                <w:color w:val="auto"/>
              </w:rPr>
              <w:t>and in the denominator, the total amount of GP Loans.</w:t>
            </w:r>
          </w:p>
        </w:tc>
        <w:tc>
          <w:tcPr>
            <w:tcW w:w="0" w:type="dxa"/>
            <w:vAlign w:val="bottom"/>
          </w:tcPr>
          <w:p>
            <w:pPr>
              <w:spacing w:after="0"/>
              <w:rPr>
                <w:sz w:val="1"/>
                <w:szCs w:val="1"/>
                <w:color w:val="auto"/>
              </w:rPr>
            </w:pPr>
          </w:p>
        </w:tc>
      </w:tr>
      <w:tr>
        <w:trPr>
          <w:trHeight w:val="91"/>
        </w:trPr>
        <w:tc>
          <w:tcPr>
            <w:tcW w:w="4140" w:type="dxa"/>
            <w:vAlign w:val="bottom"/>
            <w:tcBorders>
              <w:left w:val="single" w:sz="8" w:color="auto"/>
              <w:right w:val="single" w:sz="8" w:color="auto"/>
            </w:tcBorders>
          </w:tcPr>
          <w:p>
            <w:pPr>
              <w:spacing w:after="0"/>
              <w:rPr>
                <w:sz w:val="7"/>
                <w:szCs w:val="7"/>
                <w:color w:val="auto"/>
              </w:rPr>
            </w:pPr>
          </w:p>
        </w:tc>
        <w:tc>
          <w:tcPr>
            <w:tcW w:w="7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4140" w:type="dxa"/>
            <w:vAlign w:val="bottom"/>
            <w:tcBorders>
              <w:left w:val="single" w:sz="8" w:color="auto"/>
              <w:bottom w:val="single" w:sz="8" w:color="auto"/>
              <w:right w:val="single" w:sz="8" w:color="auto"/>
            </w:tcBorders>
          </w:tcPr>
          <w:p>
            <w:pPr>
              <w:spacing w:after="0"/>
              <w:rPr>
                <w:sz w:val="3"/>
                <w:szCs w:val="3"/>
                <w:color w:val="auto"/>
              </w:rPr>
            </w:pPr>
          </w:p>
        </w:tc>
        <w:tc>
          <w:tcPr>
            <w:tcW w:w="7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14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Structural NPL rato</w:t>
            </w:r>
          </w:p>
        </w:tc>
        <w:tc>
          <w:tcPr>
            <w:tcW w:w="7120" w:type="dxa"/>
            <w:vAlign w:val="bottom"/>
            <w:tcBorders>
              <w:right w:val="single" w:sz="8" w:color="auto"/>
            </w:tcBorders>
          </w:tcPr>
          <w:p>
            <w:pPr>
              <w:ind w:left="100"/>
              <w:spacing w:after="0" w:line="180" w:lineRule="exact"/>
              <w:rPr>
                <w:sz w:val="20"/>
                <w:szCs w:val="20"/>
                <w:color w:val="auto"/>
              </w:rPr>
            </w:pPr>
            <w:r>
              <w:rPr>
                <w:rFonts w:ascii="Calibri" w:cs="Calibri" w:eastAsia="Calibri" w:hAnsi="Calibri"/>
                <w:sz w:val="15"/>
                <w:szCs w:val="15"/>
                <w:color w:val="auto"/>
              </w:rPr>
              <w:t>NPL Rato, excluding the impact of GP Loans.</w:t>
            </w:r>
          </w:p>
        </w:tc>
        <w:tc>
          <w:tcPr>
            <w:tcW w:w="0" w:type="dxa"/>
            <w:vAlign w:val="bottom"/>
          </w:tcPr>
          <w:p>
            <w:pPr>
              <w:spacing w:after="0"/>
              <w:rPr>
                <w:sz w:val="1"/>
                <w:szCs w:val="1"/>
                <w:color w:val="auto"/>
              </w:rPr>
            </w:pP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7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14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Structural NIM</w:t>
            </w:r>
          </w:p>
        </w:tc>
        <w:tc>
          <w:tcPr>
            <w:tcW w:w="7120" w:type="dxa"/>
            <w:vAlign w:val="bottom"/>
            <w:tcBorders>
              <w:right w:val="single" w:sz="8" w:color="auto"/>
            </w:tcBorders>
          </w:tcPr>
          <w:p>
            <w:pPr>
              <w:ind w:left="100"/>
              <w:spacing w:after="0" w:line="180" w:lineRule="exact"/>
              <w:rPr>
                <w:sz w:val="20"/>
                <w:szCs w:val="20"/>
                <w:color w:val="auto"/>
              </w:rPr>
            </w:pPr>
            <w:r>
              <w:rPr>
                <w:rFonts w:ascii="Calibri" w:cs="Calibri" w:eastAsia="Calibri" w:hAnsi="Calibri"/>
                <w:sz w:val="15"/>
                <w:szCs w:val="15"/>
                <w:color w:val="auto"/>
              </w:rPr>
              <w:t>NIM related to Structural Loans and Other Interest Earning Assets. It deducts the impact of GP Loans</w:t>
            </w:r>
          </w:p>
        </w:tc>
        <w:tc>
          <w:tcPr>
            <w:tcW w:w="0" w:type="dxa"/>
            <w:vAlign w:val="bottom"/>
          </w:tcPr>
          <w:p>
            <w:pPr>
              <w:spacing w:after="0"/>
              <w:rPr>
                <w:sz w:val="1"/>
                <w:szCs w:val="1"/>
                <w:color w:val="auto"/>
              </w:rPr>
            </w:pP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7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140" w:type="dxa"/>
            <w:vAlign w:val="bottom"/>
            <w:tcBorders>
              <w:left w:val="single" w:sz="8" w:color="auto"/>
              <w:right w:val="single" w:sz="8" w:color="auto"/>
            </w:tcBorders>
          </w:tcPr>
          <w:p>
            <w:pPr>
              <w:ind w:left="20"/>
              <w:spacing w:after="0" w:line="180" w:lineRule="exact"/>
              <w:rPr>
                <w:sz w:val="20"/>
                <w:szCs w:val="20"/>
                <w:color w:val="auto"/>
              </w:rPr>
            </w:pPr>
            <w:r>
              <w:rPr>
                <w:rFonts w:ascii="Calibri" w:cs="Calibri" w:eastAsia="Calibri" w:hAnsi="Calibri"/>
                <w:sz w:val="15"/>
                <w:szCs w:val="15"/>
                <w:b w:val="1"/>
                <w:bCs w:val="1"/>
                <w:color w:val="auto"/>
              </w:rPr>
              <w:t>Structural Funding Cost</w:t>
            </w:r>
          </w:p>
        </w:tc>
        <w:tc>
          <w:tcPr>
            <w:tcW w:w="7120" w:type="dxa"/>
            <w:vAlign w:val="bottom"/>
            <w:tcBorders>
              <w:right w:val="single" w:sz="8" w:color="auto"/>
            </w:tcBorders>
          </w:tcPr>
          <w:p>
            <w:pPr>
              <w:ind w:left="100"/>
              <w:spacing w:after="0" w:line="180" w:lineRule="exact"/>
              <w:rPr>
                <w:sz w:val="20"/>
                <w:szCs w:val="20"/>
                <w:color w:val="auto"/>
              </w:rPr>
            </w:pPr>
            <w:r>
              <w:rPr>
                <w:rFonts w:ascii="Calibri" w:cs="Calibri" w:eastAsia="Calibri" w:hAnsi="Calibri"/>
                <w:sz w:val="15"/>
                <w:szCs w:val="15"/>
                <w:color w:val="auto"/>
              </w:rPr>
              <w:t>Funding Cost deductng the impact in expenses and funding related to GP Loans</w:t>
            </w:r>
          </w:p>
        </w:tc>
        <w:tc>
          <w:tcPr>
            <w:tcW w:w="0" w:type="dxa"/>
            <w:vAlign w:val="bottom"/>
          </w:tcPr>
          <w:p>
            <w:pPr>
              <w:spacing w:after="0"/>
              <w:rPr>
                <w:sz w:val="1"/>
                <w:szCs w:val="1"/>
                <w:color w:val="auto"/>
              </w:rPr>
            </w:pP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7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7"/>
        </w:trPr>
        <w:tc>
          <w:tcPr>
            <w:tcW w:w="4140" w:type="dxa"/>
            <w:vAlign w:val="bottom"/>
          </w:tcPr>
          <w:p>
            <w:pPr>
              <w:spacing w:after="0"/>
              <w:rPr>
                <w:sz w:val="24"/>
                <w:szCs w:val="24"/>
                <w:color w:val="auto"/>
              </w:rPr>
            </w:pPr>
          </w:p>
        </w:tc>
        <w:tc>
          <w:tcPr>
            <w:tcW w:w="7120" w:type="dxa"/>
            <w:vAlign w:val="bottom"/>
          </w:tcPr>
          <w:p>
            <w:pPr>
              <w:ind w:left="7000"/>
              <w:spacing w:after="0"/>
              <w:rPr>
                <w:sz w:val="20"/>
                <w:szCs w:val="20"/>
                <w:color w:val="auto"/>
              </w:rPr>
            </w:pPr>
            <w:r>
              <w:rPr>
                <w:rFonts w:ascii="Times New Roman" w:cs="Times New Roman" w:eastAsia="Times New Roman" w:hAnsi="Times New Roman"/>
                <w:sz w:val="11"/>
                <w:szCs w:val="11"/>
                <w:color w:val="auto"/>
                <w:w w:val="72"/>
              </w:rPr>
              <w:t>80</w:t>
            </w:r>
          </w:p>
        </w:tc>
        <w:tc>
          <w:tcPr>
            <w:tcW w:w="0" w:type="dxa"/>
            <w:vAlign w:val="bottom"/>
          </w:tcPr>
          <w:p>
            <w:pPr>
              <w:spacing w:after="0"/>
              <w:rPr>
                <w:sz w:val="1"/>
                <w:szCs w:val="1"/>
                <w:color w:val="auto"/>
              </w:rPr>
            </w:pPr>
          </w:p>
        </w:tc>
      </w:tr>
      <w:tr>
        <w:trPr>
          <w:trHeight w:val="80"/>
        </w:trPr>
        <w:tc>
          <w:tcPr>
            <w:tcW w:w="4140" w:type="dxa"/>
            <w:vAlign w:val="bottom"/>
            <w:tcBorders>
              <w:bottom w:val="single" w:sz="8" w:color="auto"/>
            </w:tcBorders>
          </w:tcPr>
          <w:p>
            <w:pPr>
              <w:spacing w:after="0"/>
              <w:rPr>
                <w:sz w:val="6"/>
                <w:szCs w:val="6"/>
                <w:color w:val="auto"/>
              </w:rPr>
            </w:pPr>
          </w:p>
        </w:tc>
        <w:tc>
          <w:tcPr>
            <w:tcW w:w="7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36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decimal"/>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1)"/>
      <w:numFmt w:val="decimal"/>
      <w:start w:val="10"/>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lvl w:ilvl="1">
      <w:lvlJc w:val="left"/>
      <w:lvlText w:val="o"/>
      <w:numFmt w:val="bullet"/>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
      <w:numFmt w:val="bullet"/>
      <w:start w:val="1"/>
    </w:lvl>
    <w:lvl w:ilvl="1">
      <w:lvlJc w:val="left"/>
      <w:lvlText w:val="•"/>
      <w:numFmt w:val="bullet"/>
      <w:start w:val="1"/>
    </w:lvl>
  </w:abstractNum>
  <w:abstractNum w:abstractNumId="11">
    <w:nsid w:val="2A487CB0"/>
    <w:multiLevelType w:val="hybridMultilevel"/>
    <w:lvl w:ilvl="0">
      <w:lvlJc w:val="left"/>
      <w:lvlText w:val="•"/>
      <w:numFmt w:val="bullet"/>
      <w:start w:val="1"/>
    </w:lvl>
    <w:lvl w:ilvl="1">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1)"/>
      <w:numFmt w:val="decimal"/>
      <w:start w:val="1"/>
    </w:lvl>
  </w:abstractNum>
  <w:abstractNum w:abstractNumId="33">
    <w:nsid w:val="374A3FE6"/>
    <w:multiLevelType w:val="hybridMultilevel"/>
    <w:lvl w:ilvl="0">
      <w:lvlJc w:val="left"/>
      <w:lvlText w:val="%1."/>
      <w:numFmt w:val="decimal"/>
      <w:start w:val="6"/>
    </w:lvl>
    <w:lvl w:ilvl="1">
      <w:lvlJc w:val="left"/>
      <w:lvlText w:val="%2."/>
      <w:numFmt w:val="lowerLetter"/>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decimal"/>
      <w:start w:val="3"/>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lvl w:ilvl="1">
      <w:lvlJc w:val="left"/>
      <w:lvlText w:val="•"/>
      <w:numFmt w:val="bullet"/>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1"/>
      <w:numFmt w:val="bullet"/>
      <w:start w:val="1"/>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1)"/>
      <w:numFmt w:val="lowerRoman"/>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1."/>
      <w:numFmt w:val="upperLetter"/>
      <w:start w:val="9"/>
    </w:lvl>
  </w:abstractNum>
  <w:abstractNum w:abstractNumId="52">
    <w:nsid w:val="579BE4F1"/>
    <w:multiLevelType w:val="hybridMultilevel"/>
    <w:lvl w:ilvl="0">
      <w:lvlJc w:val="left"/>
      <w:lvlText w:val="%1."/>
      <w:numFmt w:val="upperLetter"/>
      <w:start w:val="35"/>
    </w:lvl>
  </w:abstractNum>
  <w:abstractNum w:abstractNumId="53">
    <w:nsid w:val="310C50B3"/>
    <w:multiLevelType w:val="hybridMultilevel"/>
    <w:lvl w:ilvl="0">
      <w:lvlJc w:val="left"/>
      <w:lvlText w:val="%1."/>
      <w:numFmt w:val="upperLetter"/>
      <w:start w:val="61"/>
    </w:lvl>
  </w:abstractNum>
  <w:abstractNum w:abstractNumId="54">
    <w:nsid w:val="5FF87E05"/>
    <w:multiLevelType w:val="hybridMultilevel"/>
    <w:lvl w:ilvl="0">
      <w:lvlJc w:val="left"/>
      <w:lvlText w:val="%1."/>
      <w:numFmt w:val="upperLetter"/>
      <w:start w:val="22"/>
    </w:lvl>
  </w:abstractNum>
  <w:abstractNum w:abstractNumId="55">
    <w:nsid w:val="2F305DEF"/>
    <w:multiLevelType w:val="hybridMultilevel"/>
    <w:lvl w:ilvl="0">
      <w:lvlJc w:val="left"/>
      <w:lvlText w:val="%1."/>
      <w:numFmt w:val="upperLetter"/>
      <w:start w:val="9"/>
    </w:lvl>
  </w:abstractNum>
  <w:abstractNum w:abstractNumId="56">
    <w:nsid w:val="25A70BF7"/>
    <w:multiLevelType w:val="hybridMultilevel"/>
    <w:lvl w:ilvl="0">
      <w:lvlJc w:val="left"/>
      <w:lvlText w:val="%1."/>
      <w:numFmt w:val="upperLetter"/>
      <w:start w:val="35"/>
    </w:lvl>
  </w:abstractNum>
  <w:abstractNum w:abstractNumId="57">
    <w:nsid w:val="1DBABF00"/>
    <w:multiLevelType w:val="hybridMultilevel"/>
    <w:lvl w:ilvl="0">
      <w:lvlJc w:val="left"/>
      <w:lvlText w:val="%1."/>
      <w:numFmt w:val="upperLetter"/>
      <w:start w:val="61"/>
    </w:lvl>
  </w:abstractNum>
  <w:abstractNum w:abstractNumId="58">
    <w:nsid w:val="4AD084E9"/>
    <w:multiLevelType w:val="hybridMultilevel"/>
    <w:lvl w:ilvl="0">
      <w:lvlJc w:val="left"/>
      <w:lvlText w:val="(%1)"/>
      <w:numFmt w:val="decimal"/>
      <w:start w:val="1"/>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1]"/>
      <w:numFmt w:val="decimal"/>
      <w:start w:val="3"/>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decimal"/>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1)"/>
      <w:numFmt w:val="decimal"/>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2023-05-10T10:24:55Z</dcterms:created>
  <dcterms:modified xsi:type="dcterms:W3CDTF">2023-05-10T10:24:55Z</dcterms:modified>
</cp:coreProperties>
</file>