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 the month of May 2019</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14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68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193675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210820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528320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67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205803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May 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notify you as a Material Event that today, May 7, 2019, Credicorp Ltd. transferred, through the Bolsa de Valores de Lima, 83,839,991 shares of Banco de Credito del Peru ("BCP") representing 0.9559% of BCP’s share capital, which have been acquired by its subsidiary Grupo Credito S.A. (“Grupo Credito”). The amount paid per share was S/ 6.10.</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this transfer the share reorganization process approved by the Peruvian Superintendencia de Banca, Seguros y AFP ("SBS") through Resolution SBS N.° 1718-2018, which authorized Grupo Credito to acquire up to 3.73% of the capital stock of BCP, is completed.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should be noted that this transfer does not entail any change in the control of BCP, since Credicorp, through its subsidiary Grupo Credito, continues to hold the ownership of 97.69% of BCP's shares.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2019-12-02T22:07:46Z</dcterms:created>
  <dcterms:modified xsi:type="dcterms:W3CDTF">2019-12-02T22:07:46Z</dcterms:modified>
</cp:coreProperties>
</file>