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258445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Report of Foreign Private Issuer</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Rule 13a-16 or 15d-16 under the</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May 2020</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001-14014</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CREDICORP LTD.</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Clarendon House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Church Street</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Hamilton HM 11 Bermuda</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3"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178435</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491490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6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Date: May 8</w:t>
      </w:r>
      <w:r>
        <w:rPr>
          <w:rFonts w:ascii="Arial" w:cs="Arial" w:eastAsia="Arial" w:hAnsi="Arial"/>
          <w:sz w:val="29"/>
          <w:szCs w:val="29"/>
          <w:color w:val="auto"/>
          <w:vertAlign w:val="superscript"/>
        </w:rPr>
        <w:t>th</w:t>
      </w:r>
      <w:r>
        <w:rPr>
          <w:rFonts w:ascii="Arial" w:cs="Arial" w:eastAsia="Arial" w:hAnsi="Arial"/>
          <w:sz w:val="18"/>
          <w:szCs w:val="18"/>
          <w:color w:val="auto"/>
        </w:rPr>
        <w:t>, 2020</w:t>
      </w:r>
    </w:p>
    <w:p>
      <w:pPr>
        <w:spacing w:after="0" w:line="1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Miriam Bottger</w:t>
      </w:r>
    </w:p>
    <w:p>
      <w:pPr>
        <w:spacing w:after="0" w:line="1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3859530</wp:posOffset>
            </wp:positionH>
            <wp:positionV relativeFrom="paragraph">
              <wp:posOffset>-130175</wp:posOffset>
            </wp:positionV>
            <wp:extent cx="327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428625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15875</wp:posOffset>
            </wp:positionV>
            <wp:extent cx="1821815" cy="330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1815" cy="33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Lima, Peru, May 7, 2020 </w:t>
      </w:r>
      <w:r>
        <w:rPr>
          <w:rFonts w:ascii="Arial" w:cs="Arial" w:eastAsia="Arial" w:hAnsi="Arial"/>
          <w:sz w:val="18"/>
          <w:szCs w:val="18"/>
          <w:color w:val="auto"/>
        </w:rPr>
        <w:t>– Credicorp Ltd. (NYSE: BAP) announced its unaudited results for the first quarter of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These results are consolidated according to IFRS in Soles.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2020 results</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In 1Q20, Credicorp reported net income of S/ 209.3 million, which translated into an ROAE and ROAA of 3.4% and 0.4% respectively. This result represented a decline of -79% QoQ and -81% YoY in net profit, driven by a global event without precedent: the pandemic caused by COVID-19.</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The majority of Credicorp’s income is generated in Peru, where the government took swift and decisive action to contain the propagation of COVID-19 by declaring an obligatory quarantine on March 16, which is expected to be lifted on Sunday, May 10. To contain the impact generated by </w:t>
      </w:r>
      <w:r>
        <w:rPr>
          <w:rFonts w:ascii="Arial" w:cs="Arial" w:eastAsia="Arial" w:hAnsi="Arial"/>
          <w:sz w:val="18"/>
          <w:szCs w:val="18"/>
          <w:color w:val="201F1E"/>
        </w:rPr>
        <w:t>partially</w:t>
      </w:r>
      <w:r>
        <w:rPr>
          <w:rFonts w:ascii="Arial" w:cs="Arial" w:eastAsia="Arial" w:hAnsi="Arial"/>
          <w:sz w:val="18"/>
          <w:szCs w:val="18"/>
          <w:color w:val="auto"/>
        </w:rPr>
        <w:t xml:space="preserve"> paralyzing the economy for nearly 2 months, the </w:t>
      </w:r>
      <w:r>
        <w:rPr>
          <w:rFonts w:ascii="Arial" w:cs="Arial" w:eastAsia="Arial" w:hAnsi="Arial"/>
          <w:sz w:val="18"/>
          <w:szCs w:val="18"/>
          <w:color w:val="201F1E"/>
        </w:rPr>
        <w:t>Ministry of Finance, the Central Bank and the Congress are announcing and implementing</w:t>
      </w:r>
      <w:r>
        <w:rPr>
          <w:rFonts w:ascii="Arial" w:cs="Arial" w:eastAsia="Arial" w:hAnsi="Arial"/>
          <w:sz w:val="18"/>
          <w:szCs w:val="18"/>
          <w:color w:val="auto"/>
        </w:rPr>
        <w:t xml:space="preserve"> ample package of measures to mitigate and stimulate the economy for the equivalent of approximately 16% of GDP. These measures provide economic support for households and companies, access to private savings (pension funds, CTS, etc) for individuals, injection of liquidity into the economy through a Government-backed guarantee via the Reactiva Peru program and FAE program, tax alleviation, public spending </w:t>
      </w:r>
      <w:r>
        <w:rPr>
          <w:rFonts w:ascii="Arial" w:cs="Arial" w:eastAsia="Arial" w:hAnsi="Arial"/>
          <w:sz w:val="18"/>
          <w:szCs w:val="18"/>
          <w:color w:val="201F1E"/>
        </w:rPr>
        <w:t>measures</w:t>
      </w:r>
      <w:r>
        <w:rPr>
          <w:rFonts w:ascii="Arial" w:cs="Arial" w:eastAsia="Arial" w:hAnsi="Arial"/>
          <w:sz w:val="18"/>
          <w:szCs w:val="18"/>
          <w:color w:val="auto"/>
        </w:rPr>
        <w:t xml:space="preserve"> and </w:t>
      </w:r>
      <w:r>
        <w:rPr>
          <w:rFonts w:ascii="Arial" w:cs="Arial" w:eastAsia="Arial" w:hAnsi="Arial"/>
          <w:sz w:val="18"/>
          <w:szCs w:val="18"/>
          <w:color w:val="201F1E"/>
        </w:rPr>
        <w:t>finally,</w:t>
      </w:r>
      <w:r>
        <w:rPr>
          <w:rFonts w:ascii="Arial" w:cs="Arial" w:eastAsia="Arial" w:hAnsi="Arial"/>
          <w:sz w:val="18"/>
          <w:szCs w:val="18"/>
          <w:color w:val="auto"/>
        </w:rPr>
        <w:t xml:space="preserve"> other economic stimulus measures yet to be announced.</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Credicorp is managing this crisis by focusing on 4 fronts: 1) Employees, by seeking to safeguard their wellbeing and provide optimum working conditions for thousands of employees, 2) Clients, by offering facilities such as debt reprogramming and cost-free services to alleviate the pressure experienced by some sectors of customers, 3) Business Continuity, implementing contingency plans to ensure operating continuity and to maintain our solvency and liquidity; and 4) Social responsibility, by contributing to alleviating the distress of the most vulnerable populations through donations and social programs.</w:t>
      </w:r>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Extreme economic uncertainty and volatility in the financial markets have exposed our assets to higher risk, which has hit our loan and investment portfolios particularly hard. In the loan portfolio, the most vulnerable segments are: Mibanco and within BCP stand-alone SME-Pyme and individuals, where debt reprogramming rates reached 22%, 43% and 15%% respectively at the end of March. Beginning in the second quarter, we expect to take a highly proactive approach to mitigation, by offering working capital financing to businesses through the Reactivate Peru Program. Nevertheless, given that we foresee a severe economic downturn and a subsequent material increase in the probability of default in certain sectors of clients, we have set aside advance provisions for credit risk based on expected losses, in line with IFRS9. This factor has been the main driver of the drop in our income and profitability this quarter. In this new context, net interest income and non-financial income have also decelerated and adversely impacted our results in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results in 1Q20 show:</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QoQ expansion in average daily loan balances, which was driven primarily by loan growth in the Mortgage and Consumer segments. In the YoY analysis, which eliminates the seasonal effect, total loans measured in average daily balances grew 7.8%. Expansion was led by Retail Banking, and by the Mortgage and Consumer segments in particular. Additionally, portfolio growth was mainly in local currency.</w:t>
      </w:r>
    </w:p>
    <w:p>
      <w:pPr>
        <w:spacing w:after="0" w:line="186" w:lineRule="exact"/>
        <w:rPr>
          <w:sz w:val="20"/>
          <w:szCs w:val="20"/>
          <w:color w:val="auto"/>
        </w:rPr>
      </w:pPr>
    </w:p>
    <w:p>
      <w:pPr>
        <w:jc w:val="both"/>
        <w:ind w:firstLine="7"/>
        <w:spacing w:after="0" w:line="281" w:lineRule="auto"/>
        <w:tabs>
          <w:tab w:leader="none" w:pos="117" w:val="left"/>
        </w:tabs>
        <w:numPr>
          <w:ilvl w:val="0"/>
          <w:numId w:val="1"/>
        </w:numPr>
        <w:rPr>
          <w:rFonts w:ascii="Arial" w:cs="Arial" w:eastAsia="Arial" w:hAnsi="Arial"/>
          <w:sz w:val="17"/>
          <w:szCs w:val="17"/>
          <w:color w:val="auto"/>
        </w:rPr>
      </w:pPr>
      <w:r>
        <w:rPr>
          <w:rFonts w:ascii="Arial" w:cs="Arial" w:eastAsia="Arial" w:hAnsi="Arial"/>
          <w:sz w:val="17"/>
          <w:szCs w:val="17"/>
          <w:color w:val="auto"/>
        </w:rPr>
        <w:t>NII expanded +0.6% Qo and 8.3% YoY in a context in which interest expenses fell -2.9% QoQ and -2.5% YoY due to: i) an improvement in the funding structure to favor growth in the share of deposits and ii) a reduction in the funding curve, which was driven by issuances at BCP Stand-alone in 2019. In this context, the Net Interest Margin (NIM) was situated at 5.35% in 1Q20, which represented a decline of -14 bps QoQ and -4 bps YoY.</w:t>
      </w:r>
    </w:p>
    <w:p>
      <w:pPr>
        <w:spacing w:after="0" w:line="167" w:lineRule="exact"/>
        <w:rPr>
          <w:rFonts w:ascii="Arial" w:cs="Arial" w:eastAsia="Arial" w:hAnsi="Arial"/>
          <w:sz w:val="17"/>
          <w:szCs w:val="17"/>
          <w:color w:val="auto"/>
        </w:rPr>
      </w:pPr>
    </w:p>
    <w:p>
      <w:pPr>
        <w:jc w:val="both"/>
        <w:ind w:firstLine="7"/>
        <w:spacing w:after="0" w:line="258" w:lineRule="auto"/>
        <w:tabs>
          <w:tab w:leader="none" w:pos="177"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provisions for loan losses net recoveries increased 162.2% QoQ and 250.1% YoY. In this context, the cost of risk (CofR) in 1Q20 increased +268 bps QoQ and +304 YoY, to situate at +4.45% (of which 2.36pp related to COVID 19). Accordingly, risk-adjusted NIM fell -197bps QoQ and -212 YoY to situate at 2.33%.</w:t>
      </w:r>
    </w:p>
    <w:p>
      <w:pPr>
        <w:spacing w:after="0" w:line="186" w:lineRule="exact"/>
        <w:rPr>
          <w:rFonts w:ascii="Arial" w:cs="Arial" w:eastAsia="Arial" w:hAnsi="Arial"/>
          <w:sz w:val="18"/>
          <w:szCs w:val="18"/>
          <w:color w:val="auto"/>
        </w:rPr>
      </w:pPr>
    </w:p>
    <w:p>
      <w:pPr>
        <w:ind w:firstLine="7"/>
        <w:spacing w:after="0" w:line="270" w:lineRule="auto"/>
        <w:tabs>
          <w:tab w:leader="none" w:pos="115"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Non-financial income registered a contraction QoQ and YoY, which was primarily driven by losses in the Net gain on securities due to recent volatility in the global markets in the context generated by COVID-19.</w:t>
      </w:r>
    </w:p>
    <w:p>
      <w:pPr>
        <w:spacing w:after="0" w:line="174" w:lineRule="exact"/>
        <w:rPr>
          <w:rFonts w:ascii="Arial" w:cs="Arial" w:eastAsia="Arial" w:hAnsi="Arial"/>
          <w:sz w:val="18"/>
          <w:szCs w:val="18"/>
          <w:color w:val="auto"/>
        </w:rPr>
      </w:pPr>
    </w:p>
    <w:p>
      <w:pPr>
        <w:ind w:firstLine="7"/>
        <w:spacing w:after="0" w:line="333" w:lineRule="auto"/>
        <w:tabs>
          <w:tab w:leader="none" w:pos="11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insurance underwriting result fell -1.8% QoQ, which was due primarily to an increase in acquisition costs in both the P &amp; C and the Life businesses. YoY, the underwriting result increased +30.1% due to growth in net earned premiums for life insurance and to a decrease in net claims in P &amp; C.</w:t>
      </w:r>
    </w:p>
    <w:p>
      <w:pPr>
        <w:spacing w:after="0" w:line="129" w:lineRule="exact"/>
        <w:rPr>
          <w:rFonts w:ascii="Arial" w:cs="Arial" w:eastAsia="Arial" w:hAnsi="Arial"/>
          <w:sz w:val="16"/>
          <w:szCs w:val="16"/>
          <w:color w:val="auto"/>
        </w:rPr>
      </w:pPr>
    </w:p>
    <w:p>
      <w:pPr>
        <w:ind w:firstLine="7"/>
        <w:spacing w:after="0" w:line="300" w:lineRule="auto"/>
        <w:tabs>
          <w:tab w:leader="none" w:pos="108"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efficiency ratio fell -230pbs QoQ due to seasonal effects on expenses. Nevertheless, in the YoY analysis, the efficiency ratio rose +100bps, which was mainly due to an increase in salaries and employee benefits in the Microfinance line, which offset growth in net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1681480</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105410</wp:posOffset>
            </wp:positionV>
            <wp:extent cx="7196455" cy="1152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115252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3260" w:type="dxa"/>
            <w:vAlign w:val="bottom"/>
          </w:tcPr>
          <w:p>
            <w:pPr>
              <w:spacing w:after="0"/>
              <w:rPr>
                <w:sz w:val="20"/>
                <w:szCs w:val="20"/>
                <w:color w:val="auto"/>
              </w:rPr>
            </w:pPr>
          </w:p>
        </w:tc>
      </w:tr>
      <w:tr>
        <w:trPr>
          <w:trHeight w:val="414"/>
        </w:trPr>
        <w:tc>
          <w:tcPr>
            <w:tcW w:w="7980" w:type="dxa"/>
            <w:vAlign w:val="bottom"/>
            <w:gridSpan w:val="3"/>
          </w:tcPr>
          <w:p>
            <w:pPr>
              <w:spacing w:after="0"/>
              <w:rPr>
                <w:sz w:val="20"/>
                <w:szCs w:val="20"/>
                <w:color w:val="auto"/>
              </w:rPr>
            </w:pPr>
            <w:r>
              <w:rPr>
                <w:rFonts w:ascii="Arial" w:cs="Arial" w:eastAsia="Arial" w:hAnsi="Arial"/>
                <w:sz w:val="18"/>
                <w:szCs w:val="18"/>
                <w:color w:val="auto"/>
              </w:rPr>
              <w:t>Credicorp Ltd. (NYSE: BAP): First Quarter Results 2020</w:t>
            </w:r>
          </w:p>
        </w:tc>
        <w:tc>
          <w:tcPr>
            <w:tcW w:w="3260" w:type="dxa"/>
            <w:vAlign w:val="bottom"/>
          </w:tcPr>
          <w:p>
            <w:pPr>
              <w:jc w:val="center"/>
              <w:ind w:left="2071"/>
              <w:spacing w:after="0"/>
              <w:rPr>
                <w:sz w:val="20"/>
                <w:szCs w:val="20"/>
                <w:color w:val="auto"/>
              </w:rPr>
            </w:pPr>
            <w:r>
              <w:rPr>
                <w:rFonts w:ascii="Arial" w:cs="Arial" w:eastAsia="Arial" w:hAnsi="Arial"/>
                <w:sz w:val="18"/>
                <w:szCs w:val="18"/>
                <w:color w:val="auto"/>
                <w:w w:val="99"/>
              </w:rPr>
              <w:t>3</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Financial Overview</w:t>
            </w:r>
          </w:p>
        </w:tc>
        <w:tc>
          <w:tcPr>
            <w:tcW w:w="3260" w:type="dxa"/>
            <w:vAlign w:val="bottom"/>
          </w:tcPr>
          <w:p>
            <w:pPr>
              <w:jc w:val="center"/>
              <w:ind w:left="2071"/>
              <w:spacing w:after="0" w:line="201" w:lineRule="exact"/>
              <w:rPr>
                <w:sz w:val="20"/>
                <w:szCs w:val="20"/>
                <w:color w:val="auto"/>
              </w:rPr>
            </w:pPr>
            <w:r>
              <w:rPr>
                <w:rFonts w:ascii="Arial" w:cs="Arial" w:eastAsia="Arial" w:hAnsi="Arial"/>
                <w:sz w:val="18"/>
                <w:szCs w:val="18"/>
                <w:color w:val="auto"/>
                <w:w w:val="99"/>
              </w:rPr>
              <w:t>3</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Credicorp and subsidiaries</w:t>
            </w:r>
          </w:p>
        </w:tc>
        <w:tc>
          <w:tcPr>
            <w:tcW w:w="3260" w:type="dxa"/>
            <w:vAlign w:val="bottom"/>
          </w:tcPr>
          <w:p>
            <w:pPr>
              <w:jc w:val="center"/>
              <w:ind w:left="2071"/>
              <w:spacing w:after="0" w:line="201" w:lineRule="exact"/>
              <w:rPr>
                <w:sz w:val="20"/>
                <w:szCs w:val="20"/>
                <w:color w:val="auto"/>
              </w:rPr>
            </w:pPr>
            <w:r>
              <w:rPr>
                <w:rFonts w:ascii="Arial" w:cs="Arial" w:eastAsia="Arial" w:hAnsi="Arial"/>
                <w:sz w:val="18"/>
                <w:szCs w:val="18"/>
                <w:color w:val="auto"/>
                <w:w w:val="99"/>
              </w:rPr>
              <w:t>4</w:t>
            </w:r>
          </w:p>
        </w:tc>
      </w:tr>
      <w:tr>
        <w:trPr>
          <w:trHeight w:val="200"/>
        </w:trPr>
        <w:tc>
          <w:tcPr>
            <w:tcW w:w="180" w:type="dxa"/>
            <w:vAlign w:val="bottom"/>
          </w:tcPr>
          <w:p>
            <w:pPr>
              <w:spacing w:after="0" w:line="201" w:lineRule="exact"/>
              <w:rPr>
                <w:sz w:val="20"/>
                <w:szCs w:val="20"/>
                <w:color w:val="auto"/>
              </w:rPr>
            </w:pPr>
            <w:r>
              <w:rPr>
                <w:rFonts w:ascii="Arial" w:cs="Arial" w:eastAsia="Arial" w:hAnsi="Arial"/>
                <w:sz w:val="18"/>
                <w:szCs w:val="18"/>
                <w:color w:val="auto"/>
              </w:rPr>
              <w:t>1.</w:t>
            </w:r>
          </w:p>
        </w:tc>
        <w:tc>
          <w:tcPr>
            <w:tcW w:w="78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Interest-earning assets (IEA)</w:t>
            </w:r>
          </w:p>
        </w:tc>
        <w:tc>
          <w:tcPr>
            <w:tcW w:w="3260" w:type="dxa"/>
            <w:vAlign w:val="bottom"/>
          </w:tcPr>
          <w:p>
            <w:pPr>
              <w:jc w:val="center"/>
              <w:ind w:left="2071"/>
              <w:spacing w:after="0" w:line="201" w:lineRule="exact"/>
              <w:rPr>
                <w:sz w:val="20"/>
                <w:szCs w:val="20"/>
                <w:color w:val="auto"/>
              </w:rPr>
            </w:pPr>
            <w:r>
              <w:rPr>
                <w:rFonts w:ascii="Arial" w:cs="Arial" w:eastAsia="Arial" w:hAnsi="Arial"/>
                <w:sz w:val="18"/>
                <w:szCs w:val="18"/>
                <w:color w:val="auto"/>
                <w:w w:val="99"/>
              </w:rPr>
              <w:t>5</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1.1.</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Evolution of IEA</w:t>
            </w:r>
          </w:p>
        </w:tc>
        <w:tc>
          <w:tcPr>
            <w:tcW w:w="3260" w:type="dxa"/>
            <w:vAlign w:val="bottom"/>
          </w:tcPr>
          <w:p>
            <w:pPr>
              <w:jc w:val="center"/>
              <w:ind w:left="2071"/>
              <w:spacing w:after="0" w:line="201" w:lineRule="exact"/>
              <w:rPr>
                <w:sz w:val="20"/>
                <w:szCs w:val="20"/>
                <w:color w:val="auto"/>
              </w:rPr>
            </w:pPr>
            <w:r>
              <w:rPr>
                <w:rFonts w:ascii="Arial" w:cs="Arial" w:eastAsia="Arial" w:hAnsi="Arial"/>
                <w:sz w:val="18"/>
                <w:szCs w:val="18"/>
                <w:color w:val="auto"/>
                <w:w w:val="99"/>
              </w:rPr>
              <w:t>5</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1.2.</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Credicorp Loans</w:t>
            </w:r>
          </w:p>
        </w:tc>
        <w:tc>
          <w:tcPr>
            <w:tcW w:w="3260" w:type="dxa"/>
            <w:vAlign w:val="bottom"/>
          </w:tcPr>
          <w:p>
            <w:pPr>
              <w:jc w:val="center"/>
              <w:ind w:left="2071"/>
              <w:spacing w:after="0" w:line="201" w:lineRule="exact"/>
              <w:rPr>
                <w:sz w:val="20"/>
                <w:szCs w:val="20"/>
                <w:color w:val="auto"/>
              </w:rPr>
            </w:pPr>
            <w:r>
              <w:rPr>
                <w:rFonts w:ascii="Arial" w:cs="Arial" w:eastAsia="Arial" w:hAnsi="Arial"/>
                <w:sz w:val="18"/>
                <w:szCs w:val="18"/>
                <w:color w:val="auto"/>
                <w:w w:val="99"/>
              </w:rPr>
              <w:t>6</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1.2.1. Loan evolution by business segment</w:t>
            </w:r>
          </w:p>
        </w:tc>
        <w:tc>
          <w:tcPr>
            <w:tcW w:w="3260" w:type="dxa"/>
            <w:vAlign w:val="bottom"/>
          </w:tcPr>
          <w:p>
            <w:pPr>
              <w:jc w:val="center"/>
              <w:ind w:left="2071"/>
              <w:spacing w:after="0" w:line="201" w:lineRule="exact"/>
              <w:rPr>
                <w:sz w:val="20"/>
                <w:szCs w:val="20"/>
                <w:color w:val="auto"/>
              </w:rPr>
            </w:pPr>
            <w:r>
              <w:rPr>
                <w:rFonts w:ascii="Arial" w:cs="Arial" w:eastAsia="Arial" w:hAnsi="Arial"/>
                <w:sz w:val="18"/>
                <w:szCs w:val="18"/>
                <w:color w:val="auto"/>
                <w:w w:val="99"/>
              </w:rPr>
              <w:t>6</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1.2.2. Evolution of the level of dollarization by segment</w:t>
            </w:r>
          </w:p>
        </w:tc>
        <w:tc>
          <w:tcPr>
            <w:tcW w:w="3260" w:type="dxa"/>
            <w:vAlign w:val="bottom"/>
          </w:tcPr>
          <w:p>
            <w:pPr>
              <w:jc w:val="center"/>
              <w:ind w:left="2071"/>
              <w:spacing w:after="0" w:line="201" w:lineRule="exact"/>
              <w:rPr>
                <w:sz w:val="20"/>
                <w:szCs w:val="20"/>
                <w:color w:val="auto"/>
              </w:rPr>
            </w:pPr>
            <w:r>
              <w:rPr>
                <w:rFonts w:ascii="Arial" w:cs="Arial" w:eastAsia="Arial" w:hAnsi="Arial"/>
                <w:sz w:val="18"/>
                <w:szCs w:val="18"/>
                <w:color w:val="auto"/>
                <w:w w:val="99"/>
              </w:rPr>
              <w:t>8</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1.2.3. BCRP de-dollarization plan at BCP Stand-alone</w:t>
            </w:r>
          </w:p>
        </w:tc>
        <w:tc>
          <w:tcPr>
            <w:tcW w:w="3260" w:type="dxa"/>
            <w:vAlign w:val="bottom"/>
          </w:tcPr>
          <w:p>
            <w:pPr>
              <w:jc w:val="center"/>
              <w:ind w:left="2071"/>
              <w:spacing w:after="0" w:line="201" w:lineRule="exact"/>
              <w:rPr>
                <w:sz w:val="20"/>
                <w:szCs w:val="20"/>
                <w:color w:val="auto"/>
              </w:rPr>
            </w:pPr>
            <w:r>
              <w:rPr>
                <w:rFonts w:ascii="Arial" w:cs="Arial" w:eastAsia="Arial" w:hAnsi="Arial"/>
                <w:sz w:val="18"/>
                <w:szCs w:val="18"/>
                <w:color w:val="auto"/>
                <w:w w:val="99"/>
              </w:rPr>
              <w:t>9</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1.2.4. Market share in loans</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10</w:t>
            </w:r>
          </w:p>
        </w:tc>
      </w:tr>
      <w:tr>
        <w:trPr>
          <w:trHeight w:val="200"/>
        </w:trPr>
        <w:tc>
          <w:tcPr>
            <w:tcW w:w="180" w:type="dxa"/>
            <w:vAlign w:val="bottom"/>
          </w:tcPr>
          <w:p>
            <w:pPr>
              <w:spacing w:after="0" w:line="201" w:lineRule="exact"/>
              <w:rPr>
                <w:sz w:val="20"/>
                <w:szCs w:val="20"/>
                <w:color w:val="auto"/>
              </w:rPr>
            </w:pPr>
            <w:r>
              <w:rPr>
                <w:rFonts w:ascii="Arial" w:cs="Arial" w:eastAsia="Arial" w:hAnsi="Arial"/>
                <w:sz w:val="18"/>
                <w:szCs w:val="18"/>
                <w:color w:val="auto"/>
              </w:rPr>
              <w:t>2.</w:t>
            </w:r>
          </w:p>
        </w:tc>
        <w:tc>
          <w:tcPr>
            <w:tcW w:w="78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Funding Sources</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11</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2.1.</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Funding Structure</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11</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2.2.</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Deposits</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12</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2.2.1. Deposits: dollarization level</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13</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2.2.2. Market share in Deposits</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14</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2.3.</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Other funding sources</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14</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2.4.</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Loan / Deposit (L/D)</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15</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2.5.</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Funding Cost</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16</w:t>
            </w:r>
          </w:p>
        </w:tc>
      </w:tr>
      <w:tr>
        <w:trPr>
          <w:trHeight w:val="200"/>
        </w:trPr>
        <w:tc>
          <w:tcPr>
            <w:tcW w:w="7980" w:type="dxa"/>
            <w:vAlign w:val="bottom"/>
            <w:gridSpan w:val="3"/>
          </w:tcPr>
          <w:p>
            <w:pPr>
              <w:spacing w:after="0" w:line="201" w:lineRule="exact"/>
              <w:rPr>
                <w:sz w:val="20"/>
                <w:szCs w:val="20"/>
                <w:color w:val="auto"/>
              </w:rPr>
            </w:pPr>
            <w:r>
              <w:rPr>
                <w:rFonts w:ascii="Arial" w:cs="Arial" w:eastAsia="Arial" w:hAnsi="Arial"/>
                <w:sz w:val="18"/>
                <w:szCs w:val="18"/>
                <w:color w:val="auto"/>
              </w:rPr>
              <w:t>3.  Portfolio quality and Provisions for loan losses</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18</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3.1.</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Provisions for loan losses</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18</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3.2.</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Portfolio Quality: Delinquency ratios</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19</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3.2.1. Delinquency indicators by business line</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21</w:t>
            </w:r>
          </w:p>
        </w:tc>
      </w:tr>
      <w:tr>
        <w:trPr>
          <w:trHeight w:val="200"/>
        </w:trPr>
        <w:tc>
          <w:tcPr>
            <w:tcW w:w="7980" w:type="dxa"/>
            <w:vAlign w:val="bottom"/>
            <w:gridSpan w:val="3"/>
          </w:tcPr>
          <w:p>
            <w:pPr>
              <w:spacing w:after="0" w:line="201" w:lineRule="exact"/>
              <w:rPr>
                <w:sz w:val="20"/>
                <w:szCs w:val="20"/>
                <w:color w:val="auto"/>
              </w:rPr>
            </w:pPr>
            <w:r>
              <w:rPr>
                <w:rFonts w:ascii="Arial" w:cs="Arial" w:eastAsia="Arial" w:hAnsi="Arial"/>
                <w:sz w:val="18"/>
                <w:szCs w:val="18"/>
                <w:color w:val="auto"/>
              </w:rPr>
              <w:t>4.  Net Interest Income (NII)</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25</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4.1.</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Interest Income</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25</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4.2.</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Interest Expenses</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26</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4.3.</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Net Interest Margin (NIM) and Risk-Adjusted NIM</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27</w:t>
            </w:r>
          </w:p>
        </w:tc>
      </w:tr>
      <w:tr>
        <w:trPr>
          <w:trHeight w:val="200"/>
        </w:trPr>
        <w:tc>
          <w:tcPr>
            <w:tcW w:w="180" w:type="dxa"/>
            <w:vAlign w:val="bottom"/>
          </w:tcPr>
          <w:p>
            <w:pPr>
              <w:spacing w:after="0" w:line="201" w:lineRule="exact"/>
              <w:rPr>
                <w:sz w:val="20"/>
                <w:szCs w:val="20"/>
                <w:color w:val="auto"/>
              </w:rPr>
            </w:pPr>
            <w:r>
              <w:rPr>
                <w:rFonts w:ascii="Arial" w:cs="Arial" w:eastAsia="Arial" w:hAnsi="Arial"/>
                <w:sz w:val="18"/>
                <w:szCs w:val="18"/>
                <w:color w:val="auto"/>
              </w:rPr>
              <w:t>5.</w:t>
            </w:r>
          </w:p>
        </w:tc>
        <w:tc>
          <w:tcPr>
            <w:tcW w:w="78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Non-Financial Income</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29</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5.1.</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Fee Income</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30</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5.1.1. By subsidiary</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30</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5.1.2. Fee income in the Banking Business</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31</w:t>
            </w:r>
          </w:p>
        </w:tc>
      </w:tr>
      <w:tr>
        <w:trPr>
          <w:trHeight w:val="200"/>
        </w:trPr>
        <w:tc>
          <w:tcPr>
            <w:tcW w:w="180" w:type="dxa"/>
            <w:vAlign w:val="bottom"/>
          </w:tcPr>
          <w:p>
            <w:pPr>
              <w:spacing w:after="0" w:line="201" w:lineRule="exact"/>
              <w:rPr>
                <w:sz w:val="20"/>
                <w:szCs w:val="20"/>
                <w:color w:val="auto"/>
              </w:rPr>
            </w:pPr>
            <w:r>
              <w:rPr>
                <w:rFonts w:ascii="Arial" w:cs="Arial" w:eastAsia="Arial" w:hAnsi="Arial"/>
                <w:sz w:val="18"/>
                <w:szCs w:val="18"/>
                <w:color w:val="auto"/>
              </w:rPr>
              <w:t>6.</w:t>
            </w:r>
          </w:p>
        </w:tc>
        <w:tc>
          <w:tcPr>
            <w:tcW w:w="78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Insurance Underwriting Result</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33</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6.1.</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Life Insurance</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33</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6.2.</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Property and Casualty Insurance</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35</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6.3.</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Acquisition Cost</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36</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6.4 Underwriting Result by Business</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37</w:t>
            </w:r>
          </w:p>
        </w:tc>
      </w:tr>
      <w:tr>
        <w:trPr>
          <w:trHeight w:val="200"/>
        </w:trPr>
        <w:tc>
          <w:tcPr>
            <w:tcW w:w="7980" w:type="dxa"/>
            <w:vAlign w:val="bottom"/>
            <w:gridSpan w:val="3"/>
          </w:tcPr>
          <w:p>
            <w:pPr>
              <w:spacing w:after="0" w:line="201" w:lineRule="exact"/>
              <w:rPr>
                <w:sz w:val="20"/>
                <w:szCs w:val="20"/>
                <w:color w:val="auto"/>
              </w:rPr>
            </w:pPr>
            <w:r>
              <w:rPr>
                <w:rFonts w:ascii="Arial" w:cs="Arial" w:eastAsia="Arial" w:hAnsi="Arial"/>
                <w:sz w:val="18"/>
                <w:szCs w:val="18"/>
                <w:color w:val="auto"/>
              </w:rPr>
              <w:t>7.  Operating Expenses and Efficiency</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38</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7.1.</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Credicorp’s Administrative, General and Tax Expenses</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39</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7.2.</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Efficiency Ratio</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40</w:t>
            </w:r>
          </w:p>
        </w:tc>
      </w:tr>
      <w:tr>
        <w:trPr>
          <w:trHeight w:val="200"/>
        </w:trPr>
        <w:tc>
          <w:tcPr>
            <w:tcW w:w="180" w:type="dxa"/>
            <w:vAlign w:val="bottom"/>
          </w:tcPr>
          <w:p>
            <w:pPr>
              <w:spacing w:after="0" w:line="201" w:lineRule="exact"/>
              <w:rPr>
                <w:sz w:val="20"/>
                <w:szCs w:val="20"/>
                <w:color w:val="auto"/>
              </w:rPr>
            </w:pPr>
            <w:r>
              <w:rPr>
                <w:rFonts w:ascii="Arial" w:cs="Arial" w:eastAsia="Arial" w:hAnsi="Arial"/>
                <w:sz w:val="18"/>
                <w:szCs w:val="18"/>
                <w:color w:val="auto"/>
              </w:rPr>
              <w:t>8.</w:t>
            </w:r>
          </w:p>
        </w:tc>
        <w:tc>
          <w:tcPr>
            <w:tcW w:w="78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Regulatory Capital</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41</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8.1.</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Regulatory Capital – BAP</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41</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8.2.</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Regulatory Capital – BCP Stand-alone based on Peru GAAP</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42</w:t>
            </w:r>
          </w:p>
        </w:tc>
      </w:tr>
      <w:tr>
        <w:trPr>
          <w:trHeight w:val="200"/>
        </w:trPr>
        <w:tc>
          <w:tcPr>
            <w:tcW w:w="180" w:type="dxa"/>
            <w:vAlign w:val="bottom"/>
          </w:tcPr>
          <w:p>
            <w:pPr>
              <w:spacing w:after="0" w:line="201" w:lineRule="exact"/>
              <w:rPr>
                <w:sz w:val="20"/>
                <w:szCs w:val="20"/>
                <w:color w:val="auto"/>
              </w:rPr>
            </w:pPr>
            <w:r>
              <w:rPr>
                <w:rFonts w:ascii="Arial" w:cs="Arial" w:eastAsia="Arial" w:hAnsi="Arial"/>
                <w:sz w:val="18"/>
                <w:szCs w:val="18"/>
                <w:color w:val="auto"/>
              </w:rPr>
              <w:t>9.</w:t>
            </w:r>
          </w:p>
        </w:tc>
        <w:tc>
          <w:tcPr>
            <w:tcW w:w="78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Distribution channels</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44</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9.1.</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Universal Banking</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44</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9.1.1. Points of contact by geographic area – BCP Stand-alone</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44</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9.1.2. Transactions per channel – BCP Stand-alone</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45</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9.1.3. Points of Contact – BCP Bolivia</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46</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9.2.</w:t>
            </w: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rPr>
              <w:t>Microfinance</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46</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9.2.1. Points of Contact – Mibanco</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46</w:t>
            </w:r>
          </w:p>
        </w:tc>
      </w:tr>
      <w:tr>
        <w:trPr>
          <w:trHeight w:val="200"/>
        </w:trPr>
        <w:tc>
          <w:tcPr>
            <w:tcW w:w="7980" w:type="dxa"/>
            <w:vAlign w:val="bottom"/>
            <w:gridSpan w:val="3"/>
          </w:tcPr>
          <w:p>
            <w:pPr>
              <w:spacing w:after="0" w:line="201" w:lineRule="exact"/>
              <w:rPr>
                <w:sz w:val="20"/>
                <w:szCs w:val="20"/>
                <w:color w:val="auto"/>
              </w:rPr>
            </w:pPr>
            <w:r>
              <w:rPr>
                <w:rFonts w:ascii="Arial" w:cs="Arial" w:eastAsia="Arial" w:hAnsi="Arial"/>
                <w:sz w:val="18"/>
                <w:szCs w:val="18"/>
                <w:color w:val="auto"/>
              </w:rPr>
              <w:t>10.  Economic Perspectives</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47</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10.1. Peru Economic Forecasts</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47</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10.2. Main Economic Variables</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47</w:t>
            </w:r>
          </w:p>
        </w:tc>
      </w:tr>
      <w:tr>
        <w:trPr>
          <w:trHeight w:val="200"/>
        </w:trPr>
        <w:tc>
          <w:tcPr>
            <w:tcW w:w="7980" w:type="dxa"/>
            <w:vAlign w:val="bottom"/>
            <w:gridSpan w:val="3"/>
          </w:tcPr>
          <w:p>
            <w:pPr>
              <w:spacing w:after="0" w:line="201" w:lineRule="exact"/>
              <w:rPr>
                <w:sz w:val="20"/>
                <w:szCs w:val="20"/>
                <w:color w:val="auto"/>
              </w:rPr>
            </w:pPr>
            <w:r>
              <w:rPr>
                <w:rFonts w:ascii="Arial" w:cs="Arial" w:eastAsia="Arial" w:hAnsi="Arial"/>
                <w:sz w:val="18"/>
                <w:szCs w:val="18"/>
                <w:color w:val="auto"/>
              </w:rPr>
              <w:t>11.  Appendix</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51</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11.1. Credicorp</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51</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11.2. BCP Consolidated</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53</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11.3. Mibanco</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56</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11.4. BCP Bolivia</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57</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11.5. Credicorp Capital</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58</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11.6. Atlantic Security Bank</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59</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11.7. Grupo Pacifico</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61</w:t>
            </w:r>
          </w:p>
        </w:tc>
      </w:tr>
      <w:tr>
        <w:trPr>
          <w:trHeight w:val="200"/>
        </w:trPr>
        <w:tc>
          <w:tcPr>
            <w:tcW w:w="180" w:type="dxa"/>
            <w:vAlign w:val="bottom"/>
          </w:tcPr>
          <w:p>
            <w:pPr>
              <w:spacing w:after="0"/>
              <w:rPr>
                <w:sz w:val="17"/>
                <w:szCs w:val="17"/>
                <w:color w:val="auto"/>
              </w:rPr>
            </w:pPr>
          </w:p>
        </w:tc>
        <w:tc>
          <w:tcPr>
            <w:tcW w:w="78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11.8. Prima AFP</w:t>
            </w:r>
          </w:p>
        </w:tc>
        <w:tc>
          <w:tcPr>
            <w:tcW w:w="3260" w:type="dxa"/>
            <w:vAlign w:val="bottom"/>
          </w:tcPr>
          <w:p>
            <w:pPr>
              <w:jc w:val="center"/>
              <w:ind w:left="2051"/>
              <w:spacing w:after="0" w:line="201" w:lineRule="exact"/>
              <w:rPr>
                <w:sz w:val="20"/>
                <w:szCs w:val="20"/>
                <w:color w:val="auto"/>
              </w:rPr>
            </w:pPr>
            <w:r>
              <w:rPr>
                <w:rFonts w:ascii="Arial" w:cs="Arial" w:eastAsia="Arial" w:hAnsi="Arial"/>
                <w:sz w:val="18"/>
                <w:szCs w:val="18"/>
                <w:color w:val="auto"/>
                <w:w w:val="99"/>
              </w:rPr>
              <w:t>63</w:t>
            </w:r>
          </w:p>
        </w:tc>
      </w:tr>
      <w:tr>
        <w:trPr>
          <w:trHeight w:val="213"/>
        </w:trPr>
        <w:tc>
          <w:tcPr>
            <w:tcW w:w="180" w:type="dxa"/>
            <w:vAlign w:val="bottom"/>
          </w:tcPr>
          <w:p>
            <w:pPr>
              <w:spacing w:after="0"/>
              <w:rPr>
                <w:sz w:val="18"/>
                <w:szCs w:val="18"/>
                <w:color w:val="auto"/>
              </w:rPr>
            </w:pP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11.9. Table of calculations</w:t>
            </w:r>
          </w:p>
        </w:tc>
        <w:tc>
          <w:tcPr>
            <w:tcW w:w="3260" w:type="dxa"/>
            <w:vAlign w:val="bottom"/>
          </w:tcPr>
          <w:p>
            <w:pPr>
              <w:jc w:val="center"/>
              <w:ind w:left="2051"/>
              <w:spacing w:after="0"/>
              <w:rPr>
                <w:sz w:val="20"/>
                <w:szCs w:val="20"/>
                <w:color w:val="auto"/>
              </w:rPr>
            </w:pPr>
            <w:r>
              <w:rPr>
                <w:rFonts w:ascii="Arial" w:cs="Arial" w:eastAsia="Arial" w:hAnsi="Arial"/>
                <w:sz w:val="18"/>
                <w:szCs w:val="18"/>
                <w:color w:val="auto"/>
                <w:w w:val="99"/>
              </w:rPr>
              <w:t>64</w:t>
            </w:r>
          </w:p>
        </w:tc>
      </w:tr>
      <w:tr>
        <w:trPr>
          <w:trHeight w:val="655"/>
        </w:trPr>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5500" w:type="dxa"/>
            <w:vAlign w:val="bottom"/>
            <w:gridSpan w:val="8"/>
          </w:tcPr>
          <w:p>
            <w:pPr>
              <w:jc w:val="right"/>
              <w:ind w:right="760"/>
              <w:spacing w:after="0"/>
              <w:rPr>
                <w:sz w:val="20"/>
                <w:szCs w:val="20"/>
                <w:color w:val="auto"/>
              </w:rPr>
            </w:pPr>
            <w:r>
              <w:rPr>
                <w:rFonts w:ascii="Arial" w:cs="Arial" w:eastAsia="Arial" w:hAnsi="Arial"/>
                <w:sz w:val="18"/>
                <w:szCs w:val="18"/>
                <w:b w:val="1"/>
                <w:bCs w:val="1"/>
                <w:color w:val="auto"/>
                <w:w w:val="99"/>
              </w:rPr>
              <w:t>Credicorp Ltd. (NYSE: BAP): First Quarter Results 2020</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080" w:type="dxa"/>
            <w:vAlign w:val="bottom"/>
          </w:tcPr>
          <w:p>
            <w:pPr>
              <w:spacing w:after="0"/>
              <w:rPr>
                <w:sz w:val="20"/>
                <w:szCs w:val="20"/>
                <w:color w:val="auto"/>
              </w:rPr>
            </w:pPr>
            <w:r>
              <w:rPr>
                <w:rFonts w:ascii="Arial" w:cs="Arial" w:eastAsia="Arial" w:hAnsi="Arial"/>
                <w:sz w:val="18"/>
                <w:szCs w:val="18"/>
                <w:b w:val="1"/>
                <w:bCs w:val="1"/>
                <w:color w:val="auto"/>
              </w:rPr>
              <w:t>Financial Overview</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0"/>
        </w:trPr>
        <w:tc>
          <w:tcPr>
            <w:tcW w:w="3080" w:type="dxa"/>
            <w:vAlign w:val="bottom"/>
          </w:tcPr>
          <w:p>
            <w:pPr>
              <w:spacing w:after="0"/>
              <w:rPr>
                <w:sz w:val="20"/>
                <w:szCs w:val="20"/>
                <w:color w:val="auto"/>
              </w:rPr>
            </w:pPr>
            <w:r>
              <w:rPr>
                <w:rFonts w:ascii="Arial" w:cs="Arial" w:eastAsia="Arial" w:hAnsi="Arial"/>
                <w:sz w:val="18"/>
                <w:szCs w:val="18"/>
                <w:b w:val="1"/>
                <w:bCs w:val="1"/>
                <w:color w:val="auto"/>
              </w:rPr>
              <w:t>Credicorp Ltd.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95"/>
              </w:rPr>
              <w:t>% change</w:t>
            </w:r>
          </w:p>
        </w:tc>
        <w:tc>
          <w:tcPr>
            <w:tcW w:w="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2"/>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1Q19</w:t>
            </w: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4Q19</w:t>
            </w: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1Q20</w:t>
            </w: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r>
      <w:tr>
        <w:trPr>
          <w:trHeight w:val="247"/>
        </w:trPr>
        <w:tc>
          <w:tcPr>
            <w:tcW w:w="3080" w:type="dxa"/>
            <w:vAlign w:val="bottom"/>
            <w:shd w:val="clear" w:color="auto" w:fill="CCEEFF"/>
          </w:tcPr>
          <w:p>
            <w:pPr>
              <w:spacing w:after="0" w:line="246" w:lineRule="exact"/>
              <w:rPr>
                <w:sz w:val="20"/>
                <w:szCs w:val="20"/>
                <w:color w:val="auto"/>
              </w:rPr>
            </w:pPr>
            <w:r>
              <w:rPr>
                <w:rFonts w:ascii="Arial" w:cs="Arial" w:eastAsia="Arial" w:hAnsi="Arial"/>
                <w:sz w:val="17"/>
                <w:szCs w:val="17"/>
                <w:color w:val="auto"/>
              </w:rPr>
              <w:t xml:space="preserve">Net interest income </w:t>
            </w:r>
            <w:r>
              <w:rPr>
                <w:rFonts w:ascii="Arial" w:cs="Arial" w:eastAsia="Arial" w:hAnsi="Arial"/>
                <w:sz w:val="28"/>
                <w:szCs w:val="28"/>
                <w:color w:val="auto"/>
                <w:vertAlign w:val="superscript"/>
              </w:rPr>
              <w:t>(1)</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2,197,168</w:t>
            </w:r>
          </w:p>
        </w:tc>
        <w:tc>
          <w:tcPr>
            <w:tcW w:w="2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2,364,826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2,379,300</w:t>
            </w: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r>
      <w:tr>
        <w:trPr>
          <w:trHeight w:val="199"/>
        </w:trPr>
        <w:tc>
          <w:tcPr>
            <w:tcW w:w="5820" w:type="dxa"/>
            <w:vAlign w:val="bottom"/>
            <w:gridSpan w:val="5"/>
          </w:tcPr>
          <w:p>
            <w:pPr>
              <w:spacing w:after="0" w:line="199" w:lineRule="exact"/>
              <w:rPr>
                <w:sz w:val="20"/>
                <w:szCs w:val="20"/>
                <w:color w:val="auto"/>
              </w:rPr>
            </w:pPr>
            <w:r>
              <w:rPr>
                <w:rFonts w:ascii="Arial" w:cs="Arial" w:eastAsia="Arial" w:hAnsi="Arial"/>
                <w:sz w:val="18"/>
                <w:szCs w:val="18"/>
                <w:color w:val="auto"/>
              </w:rPr>
              <w:t>Provision for credit losses on loan portfolio, net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7"/>
        </w:trPr>
        <w:tc>
          <w:tcPr>
            <w:tcW w:w="3080" w:type="dxa"/>
            <w:vAlign w:val="bottom"/>
          </w:tcPr>
          <w:p>
            <w:pPr>
              <w:spacing w:after="0"/>
              <w:rPr>
                <w:sz w:val="20"/>
                <w:szCs w:val="20"/>
                <w:color w:val="auto"/>
              </w:rPr>
            </w:pPr>
            <w:r>
              <w:rPr>
                <w:rFonts w:ascii="Arial" w:cs="Arial" w:eastAsia="Arial" w:hAnsi="Arial"/>
                <w:sz w:val="18"/>
                <w:szCs w:val="18"/>
                <w:color w:val="auto"/>
              </w:rPr>
              <w:t>recoveries</w:t>
            </w:r>
          </w:p>
        </w:tc>
        <w:tc>
          <w:tcPr>
            <w:tcW w:w="2740" w:type="dxa"/>
            <w:vAlign w:val="bottom"/>
            <w:gridSpan w:val="4"/>
          </w:tcPr>
          <w:p>
            <w:pPr>
              <w:jc w:val="right"/>
              <w:ind w:right="200"/>
              <w:spacing w:after="0"/>
              <w:rPr>
                <w:sz w:val="20"/>
                <w:szCs w:val="20"/>
                <w:color w:val="auto"/>
              </w:rPr>
            </w:pPr>
            <w:r>
              <w:rPr>
                <w:rFonts w:ascii="Arial" w:cs="Arial" w:eastAsia="Arial" w:hAnsi="Arial"/>
                <w:sz w:val="18"/>
                <w:szCs w:val="18"/>
                <w:color w:val="auto"/>
              </w:rPr>
              <w:t>(383,211)</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(511,660)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(1,341,481)</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162.2%</w:t>
            </w:r>
          </w:p>
        </w:tc>
        <w:tc>
          <w:tcPr>
            <w:tcW w:w="3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250.1%</w:t>
            </w:r>
          </w:p>
        </w:tc>
      </w:tr>
      <w:tr>
        <w:trPr>
          <w:trHeight w:val="254"/>
        </w:trPr>
        <w:tc>
          <w:tcPr>
            <w:tcW w:w="3080" w:type="dxa"/>
            <w:vAlign w:val="bottom"/>
            <w:shd w:val="clear" w:color="auto" w:fill="CCEEFF"/>
          </w:tcPr>
          <w:p>
            <w:pPr>
              <w:spacing w:after="0" w:line="253" w:lineRule="exact"/>
              <w:rPr>
                <w:sz w:val="20"/>
                <w:szCs w:val="20"/>
                <w:color w:val="auto"/>
              </w:rPr>
            </w:pPr>
            <w:r>
              <w:rPr>
                <w:rFonts w:ascii="Arial" w:cs="Arial" w:eastAsia="Arial" w:hAnsi="Arial"/>
                <w:sz w:val="18"/>
                <w:szCs w:val="18"/>
                <w:b w:val="1"/>
                <w:bCs w:val="1"/>
                <w:color w:val="auto"/>
                <w:w w:val="98"/>
              </w:rPr>
              <w:t>Risk-adjusted net interest income</w:t>
            </w:r>
            <w:r>
              <w:rPr>
                <w:rFonts w:ascii="Arial" w:cs="Arial" w:eastAsia="Arial" w:hAnsi="Arial"/>
                <w:sz w:val="29"/>
                <w:szCs w:val="29"/>
                <w:b w:val="1"/>
                <w:bCs w:val="1"/>
                <w:color w:val="auto"/>
                <w:w w:val="98"/>
                <w:vertAlign w:val="superscript"/>
              </w:rPr>
              <w:t>(1)</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1,813,957</w:t>
            </w:r>
          </w:p>
        </w:tc>
        <w:tc>
          <w:tcPr>
            <w:tcW w:w="2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1,853,166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1,037,819</w:t>
            </w:r>
          </w:p>
        </w:tc>
        <w:tc>
          <w:tcPr>
            <w:tcW w:w="2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-44.0%</w:t>
            </w:r>
          </w:p>
        </w:tc>
        <w:tc>
          <w:tcPr>
            <w:tcW w:w="3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r>
      <w:tr>
        <w:trPr>
          <w:trHeight w:val="254"/>
        </w:trPr>
        <w:tc>
          <w:tcPr>
            <w:tcW w:w="3080" w:type="dxa"/>
            <w:vAlign w:val="bottom"/>
          </w:tcPr>
          <w:p>
            <w:pPr>
              <w:spacing w:after="0" w:line="253" w:lineRule="exact"/>
              <w:rPr>
                <w:sz w:val="20"/>
                <w:szCs w:val="20"/>
                <w:color w:val="auto"/>
              </w:rPr>
            </w:pPr>
            <w:r>
              <w:rPr>
                <w:rFonts w:ascii="Arial" w:cs="Arial" w:eastAsia="Arial" w:hAnsi="Arial"/>
                <w:sz w:val="18"/>
                <w:szCs w:val="18"/>
                <w:color w:val="auto"/>
              </w:rPr>
              <w:t xml:space="preserve">Non-financial income </w:t>
            </w:r>
            <w:r>
              <w:rPr>
                <w:rFonts w:ascii="Arial" w:cs="Arial" w:eastAsia="Arial" w:hAnsi="Arial"/>
                <w:sz w:val="29"/>
                <w:szCs w:val="29"/>
                <w:color w:val="auto"/>
                <w:vertAlign w:val="superscript"/>
              </w:rPr>
              <w:t>(1)</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1,176,337</w:t>
            </w:r>
          </w:p>
        </w:tc>
        <w:tc>
          <w:tcPr>
            <w:tcW w:w="26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1,265,196</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957,864</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r>
      <w:tr>
        <w:trPr>
          <w:trHeight w:val="254"/>
        </w:trPr>
        <w:tc>
          <w:tcPr>
            <w:tcW w:w="30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Insurance underwriting result </w:t>
            </w:r>
            <w:r>
              <w:rPr>
                <w:rFonts w:ascii="Arial" w:cs="Arial" w:eastAsia="Arial" w:hAnsi="Arial"/>
                <w:sz w:val="29"/>
                <w:szCs w:val="29"/>
                <w:color w:val="auto"/>
                <w:vertAlign w:val="superscript"/>
              </w:rPr>
              <w:t>(1)</w:t>
            </w:r>
          </w:p>
        </w:tc>
        <w:tc>
          <w:tcPr>
            <w:tcW w:w="27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109,111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144,490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141,926</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r>
      <w:tr>
        <w:trPr>
          <w:trHeight w:val="254"/>
        </w:trPr>
        <w:tc>
          <w:tcPr>
            <w:tcW w:w="3080" w:type="dxa"/>
            <w:vAlign w:val="bottom"/>
          </w:tcPr>
          <w:p>
            <w:pPr>
              <w:spacing w:after="0" w:line="253" w:lineRule="exact"/>
              <w:rPr>
                <w:sz w:val="20"/>
                <w:szCs w:val="20"/>
                <w:color w:val="auto"/>
              </w:rPr>
            </w:pPr>
            <w:r>
              <w:rPr>
                <w:rFonts w:ascii="Arial" w:cs="Arial" w:eastAsia="Arial" w:hAnsi="Arial"/>
                <w:sz w:val="18"/>
                <w:szCs w:val="18"/>
                <w:color w:val="auto"/>
              </w:rPr>
              <w:t xml:space="preserve">Total expenses </w:t>
            </w:r>
            <w:r>
              <w:rPr>
                <w:rFonts w:ascii="Arial" w:cs="Arial" w:eastAsia="Arial" w:hAnsi="Arial"/>
                <w:sz w:val="29"/>
                <w:szCs w:val="29"/>
                <w:color w:val="auto"/>
                <w:vertAlign w:val="superscript"/>
              </w:rPr>
              <w:t>(1)</w:t>
            </w:r>
          </w:p>
        </w:tc>
        <w:tc>
          <w:tcPr>
            <w:tcW w:w="2740" w:type="dxa"/>
            <w:vAlign w:val="bottom"/>
            <w:gridSpan w:val="4"/>
          </w:tcPr>
          <w:p>
            <w:pPr>
              <w:jc w:val="right"/>
              <w:ind w:right="200"/>
              <w:spacing w:after="0"/>
              <w:rPr>
                <w:sz w:val="20"/>
                <w:szCs w:val="20"/>
                <w:color w:val="auto"/>
              </w:rPr>
            </w:pPr>
            <w:r>
              <w:rPr>
                <w:rFonts w:ascii="Arial" w:cs="Arial" w:eastAsia="Arial" w:hAnsi="Arial"/>
                <w:sz w:val="18"/>
                <w:szCs w:val="18"/>
                <w:color w:val="auto"/>
              </w:rPr>
              <w:t>(1,553,976)</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(1,886,670)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(1,778,635)</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r>
      <w:tr>
        <w:trPr>
          <w:trHeight w:val="254"/>
        </w:trPr>
        <w:tc>
          <w:tcPr>
            <w:tcW w:w="3080" w:type="dxa"/>
            <w:vAlign w:val="bottom"/>
            <w:shd w:val="clear" w:color="auto" w:fill="CCEEFF"/>
          </w:tcPr>
          <w:p>
            <w:pPr>
              <w:spacing w:after="0" w:line="253" w:lineRule="exact"/>
              <w:rPr>
                <w:sz w:val="20"/>
                <w:szCs w:val="20"/>
                <w:color w:val="auto"/>
              </w:rPr>
            </w:pPr>
            <w:r>
              <w:rPr>
                <w:rFonts w:ascii="Arial" w:cs="Arial" w:eastAsia="Arial" w:hAnsi="Arial"/>
                <w:sz w:val="18"/>
                <w:szCs w:val="18"/>
                <w:b w:val="1"/>
                <w:bCs w:val="1"/>
                <w:color w:val="auto"/>
              </w:rPr>
              <w:t xml:space="preserve">Profit before income tax </w:t>
            </w:r>
            <w:r>
              <w:rPr>
                <w:rFonts w:ascii="Arial" w:cs="Arial" w:eastAsia="Arial" w:hAnsi="Arial"/>
                <w:sz w:val="29"/>
                <w:szCs w:val="29"/>
                <w:b w:val="1"/>
                <w:bCs w:val="1"/>
                <w:color w:val="auto"/>
                <w:vertAlign w:val="superscript"/>
              </w:rPr>
              <w:t>(1)</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1,545,429</w:t>
            </w:r>
          </w:p>
        </w:tc>
        <w:tc>
          <w:tcPr>
            <w:tcW w:w="2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1,376,182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358,974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-73.9%</w:t>
            </w:r>
          </w:p>
        </w:tc>
        <w:tc>
          <w:tcPr>
            <w:tcW w:w="3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-76.8%</w:t>
            </w:r>
          </w:p>
        </w:tc>
      </w:tr>
      <w:tr>
        <w:trPr>
          <w:trHeight w:val="254"/>
        </w:trPr>
        <w:tc>
          <w:tcPr>
            <w:tcW w:w="3080" w:type="dxa"/>
            <w:vAlign w:val="bottom"/>
          </w:tcPr>
          <w:p>
            <w:pPr>
              <w:spacing w:after="0" w:line="253" w:lineRule="exact"/>
              <w:rPr>
                <w:sz w:val="20"/>
                <w:szCs w:val="20"/>
                <w:color w:val="auto"/>
              </w:rPr>
            </w:pPr>
            <w:r>
              <w:rPr>
                <w:rFonts w:ascii="Arial" w:cs="Arial" w:eastAsia="Arial" w:hAnsi="Arial"/>
                <w:sz w:val="18"/>
                <w:szCs w:val="18"/>
                <w:color w:val="auto"/>
              </w:rPr>
              <w:t xml:space="preserve">Income taxes </w:t>
            </w:r>
            <w:r>
              <w:rPr>
                <w:rFonts w:ascii="Arial" w:cs="Arial" w:eastAsia="Arial" w:hAnsi="Arial"/>
                <w:sz w:val="29"/>
                <w:szCs w:val="29"/>
                <w:color w:val="auto"/>
                <w:vertAlign w:val="superscript"/>
              </w:rPr>
              <w:t>(1)</w:t>
            </w:r>
          </w:p>
        </w:tc>
        <w:tc>
          <w:tcPr>
            <w:tcW w:w="2740" w:type="dxa"/>
            <w:vAlign w:val="bottom"/>
            <w:gridSpan w:val="4"/>
          </w:tcPr>
          <w:p>
            <w:pPr>
              <w:jc w:val="right"/>
              <w:ind w:right="200"/>
              <w:spacing w:after="0"/>
              <w:rPr>
                <w:sz w:val="20"/>
                <w:szCs w:val="20"/>
                <w:color w:val="auto"/>
              </w:rPr>
            </w:pPr>
            <w:r>
              <w:rPr>
                <w:rFonts w:ascii="Arial" w:cs="Arial" w:eastAsia="Arial" w:hAnsi="Arial"/>
                <w:sz w:val="18"/>
                <w:szCs w:val="18"/>
                <w:color w:val="auto"/>
              </w:rPr>
              <w:t>(422,165)</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(383,225)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(145,799)</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-62.0%</w:t>
            </w:r>
          </w:p>
        </w:tc>
        <w:tc>
          <w:tcPr>
            <w:tcW w:w="30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-65.5%</w:t>
            </w:r>
          </w:p>
        </w:tc>
      </w:tr>
      <w:tr>
        <w:trPr>
          <w:trHeight w:val="213"/>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1,123,264</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992,957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213,175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-78.5%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-81.0%</w:t>
            </w:r>
          </w:p>
        </w:tc>
      </w:tr>
      <w:tr>
        <w:trPr>
          <w:trHeight w:val="213"/>
        </w:trPr>
        <w:tc>
          <w:tcPr>
            <w:tcW w:w="30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740" w:type="dxa"/>
            <w:vAlign w:val="bottom"/>
            <w:gridSpan w:val="4"/>
          </w:tcPr>
          <w:p>
            <w:pPr>
              <w:jc w:val="right"/>
              <w:ind w:right="260"/>
              <w:spacing w:after="0"/>
              <w:rPr>
                <w:sz w:val="20"/>
                <w:szCs w:val="20"/>
                <w:color w:val="auto"/>
              </w:rPr>
            </w:pPr>
            <w:r>
              <w:rPr>
                <w:rFonts w:ascii="Arial" w:cs="Arial" w:eastAsia="Arial" w:hAnsi="Arial"/>
                <w:sz w:val="18"/>
                <w:szCs w:val="18"/>
                <w:color w:val="auto"/>
              </w:rPr>
              <w:t>22,397</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20,127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3,901</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-80.6%</w:t>
            </w:r>
          </w:p>
        </w:tc>
        <w:tc>
          <w:tcPr>
            <w:tcW w:w="3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-82.6%</w:t>
            </w:r>
          </w:p>
        </w:tc>
      </w:tr>
      <w:tr>
        <w:trPr>
          <w:trHeight w:val="213"/>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attributable to Credicorp</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1,100,867</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972,830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209,274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-78.5%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-81.0%</w:t>
            </w:r>
          </w:p>
        </w:tc>
      </w:tr>
      <w:tr>
        <w:trPr>
          <w:trHeight w:val="213"/>
        </w:trPr>
        <w:tc>
          <w:tcPr>
            <w:tcW w:w="3080" w:type="dxa"/>
            <w:vAlign w:val="bottom"/>
          </w:tcPr>
          <w:p>
            <w:pPr>
              <w:spacing w:after="0"/>
              <w:rPr>
                <w:sz w:val="20"/>
                <w:szCs w:val="20"/>
                <w:color w:val="auto"/>
              </w:rPr>
            </w:pPr>
            <w:r>
              <w:rPr>
                <w:rFonts w:ascii="Arial" w:cs="Arial" w:eastAsia="Arial" w:hAnsi="Arial"/>
                <w:sz w:val="18"/>
                <w:szCs w:val="18"/>
                <w:color w:val="auto"/>
              </w:rPr>
              <w:t>Net income / share (S/)</w:t>
            </w:r>
          </w:p>
        </w:tc>
        <w:tc>
          <w:tcPr>
            <w:tcW w:w="2740" w:type="dxa"/>
            <w:vAlign w:val="bottom"/>
            <w:gridSpan w:val="4"/>
          </w:tcPr>
          <w:p>
            <w:pPr>
              <w:jc w:val="right"/>
              <w:ind w:right="260"/>
              <w:spacing w:after="0"/>
              <w:rPr>
                <w:sz w:val="20"/>
                <w:szCs w:val="20"/>
                <w:color w:val="auto"/>
              </w:rPr>
            </w:pPr>
            <w:r>
              <w:rPr>
                <w:rFonts w:ascii="Arial" w:cs="Arial" w:eastAsia="Arial" w:hAnsi="Arial"/>
                <w:sz w:val="18"/>
                <w:szCs w:val="18"/>
                <w:color w:val="auto"/>
              </w:rPr>
              <w:t>13.80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12.20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2.62</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-78.5%</w:t>
            </w:r>
          </w:p>
        </w:tc>
        <w:tc>
          <w:tcPr>
            <w:tcW w:w="3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-81.0%</w:t>
            </w:r>
          </w:p>
        </w:tc>
      </w:tr>
      <w:tr>
        <w:trPr>
          <w:trHeight w:val="213"/>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108,350,384</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115,609,679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120,708,515</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13"/>
        </w:trPr>
        <w:tc>
          <w:tcPr>
            <w:tcW w:w="308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103,727,257</w:t>
            </w:r>
          </w:p>
        </w:tc>
        <w:tc>
          <w:tcPr>
            <w:tcW w:w="2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112,005,385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119,563,545</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r>
      <w:tr>
        <w:trPr>
          <w:trHeight w:val="213"/>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equity</w:t>
            </w:r>
          </w:p>
        </w:tc>
        <w:tc>
          <w:tcPr>
            <w:tcW w:w="27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23,692,091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26,237,960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23,205,639</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20" w:type="dxa"/>
            <w:vAlign w:val="bottom"/>
          </w:tcPr>
          <w:p>
            <w:pPr>
              <w:spacing w:after="0"/>
              <w:rPr>
                <w:sz w:val="20"/>
                <w:szCs w:val="20"/>
                <w:color w:val="auto"/>
              </w:rPr>
            </w:pPr>
            <w:r>
              <w:rPr>
                <w:rFonts w:ascii="Arial" w:cs="Arial" w:eastAsia="Arial" w:hAnsi="Arial"/>
                <w:sz w:val="18"/>
                <w:szCs w:val="18"/>
                <w:b w:val="1"/>
                <w:bCs w:val="1"/>
                <w:color w:val="auto"/>
              </w:rPr>
              <w:t>Profitability</w:t>
            </w:r>
          </w:p>
        </w:tc>
        <w:tc>
          <w:tcPr>
            <w:tcW w:w="1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4"/>
        </w:trPr>
        <w:tc>
          <w:tcPr>
            <w:tcW w:w="422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(1)(2)</w:t>
            </w:r>
          </w:p>
        </w:tc>
        <w:tc>
          <w:tcPr>
            <w:tcW w:w="18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5.39%</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5.49%</w:t>
            </w: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5.35%</w:t>
            </w:r>
          </w:p>
        </w:tc>
        <w:tc>
          <w:tcPr>
            <w:tcW w:w="13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-14 bps</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 bps</w:t>
            </w:r>
          </w:p>
        </w:tc>
      </w:tr>
      <w:tr>
        <w:trPr>
          <w:trHeight w:val="254"/>
        </w:trPr>
        <w:tc>
          <w:tcPr>
            <w:tcW w:w="4220" w:type="dxa"/>
            <w:vAlign w:val="bottom"/>
          </w:tcPr>
          <w:p>
            <w:pPr>
              <w:spacing w:after="0" w:line="253" w:lineRule="exact"/>
              <w:rPr>
                <w:sz w:val="20"/>
                <w:szCs w:val="20"/>
                <w:color w:val="auto"/>
              </w:rPr>
            </w:pPr>
            <w:r>
              <w:rPr>
                <w:rFonts w:ascii="Arial" w:cs="Arial" w:eastAsia="Arial" w:hAnsi="Arial"/>
                <w:sz w:val="18"/>
                <w:szCs w:val="18"/>
                <w:color w:val="auto"/>
              </w:rPr>
              <w:t xml:space="preserve">Risk-adjusted Net interest margin </w:t>
            </w:r>
            <w:r>
              <w:rPr>
                <w:rFonts w:ascii="Arial" w:cs="Arial" w:eastAsia="Arial" w:hAnsi="Arial"/>
                <w:sz w:val="29"/>
                <w:szCs w:val="29"/>
                <w:color w:val="auto"/>
                <w:vertAlign w:val="superscript"/>
              </w:rPr>
              <w:t>(1)(2)</w:t>
            </w:r>
          </w:p>
        </w:tc>
        <w:tc>
          <w:tcPr>
            <w:tcW w:w="1860" w:type="dxa"/>
            <w:vAlign w:val="bottom"/>
          </w:tcPr>
          <w:p>
            <w:pPr>
              <w:jc w:val="right"/>
              <w:ind w:right="291"/>
              <w:spacing w:after="0"/>
              <w:rPr>
                <w:sz w:val="20"/>
                <w:szCs w:val="20"/>
                <w:color w:val="auto"/>
              </w:rPr>
            </w:pPr>
            <w:r>
              <w:rPr>
                <w:rFonts w:ascii="Arial" w:cs="Arial" w:eastAsia="Arial" w:hAnsi="Arial"/>
                <w:sz w:val="18"/>
                <w:szCs w:val="18"/>
                <w:color w:val="auto"/>
              </w:rPr>
              <w:t>4.45%</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4.30%</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2.33%</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-197 bps</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-212 bps</w:t>
            </w:r>
          </w:p>
        </w:tc>
      </w:tr>
      <w:tr>
        <w:trPr>
          <w:trHeight w:val="254"/>
        </w:trPr>
        <w:tc>
          <w:tcPr>
            <w:tcW w:w="422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Funding cost </w:t>
            </w:r>
            <w:r>
              <w:rPr>
                <w:rFonts w:ascii="Arial" w:cs="Arial" w:eastAsia="Arial" w:hAnsi="Arial"/>
                <w:sz w:val="29"/>
                <w:szCs w:val="29"/>
                <w:color w:val="auto"/>
                <w:vertAlign w:val="superscript"/>
              </w:rPr>
              <w:t>(1)(2)</w:t>
            </w:r>
          </w:p>
        </w:tc>
        <w:tc>
          <w:tcPr>
            <w:tcW w:w="18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2.38%</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2.30%</w:t>
            </w: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2.13%</w:t>
            </w:r>
          </w:p>
        </w:tc>
        <w:tc>
          <w:tcPr>
            <w:tcW w:w="13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-17 bps</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 bps</w:t>
            </w:r>
          </w:p>
        </w:tc>
      </w:tr>
      <w:tr>
        <w:trPr>
          <w:trHeight w:val="254"/>
        </w:trPr>
        <w:tc>
          <w:tcPr>
            <w:tcW w:w="4220" w:type="dxa"/>
            <w:vAlign w:val="bottom"/>
          </w:tcPr>
          <w:p>
            <w:pPr>
              <w:spacing w:after="0" w:line="253" w:lineRule="exact"/>
              <w:rPr>
                <w:sz w:val="20"/>
                <w:szCs w:val="20"/>
                <w:color w:val="auto"/>
              </w:rPr>
            </w:pPr>
            <w:r>
              <w:rPr>
                <w:rFonts w:ascii="Arial" w:cs="Arial" w:eastAsia="Arial" w:hAnsi="Arial"/>
                <w:sz w:val="18"/>
                <w:szCs w:val="18"/>
                <w:color w:val="auto"/>
              </w:rPr>
              <w:t xml:space="preserve">ROAE </w:t>
            </w:r>
            <w:r>
              <w:rPr>
                <w:rFonts w:ascii="Arial" w:cs="Arial" w:eastAsia="Arial" w:hAnsi="Arial"/>
                <w:sz w:val="29"/>
                <w:szCs w:val="29"/>
                <w:color w:val="auto"/>
                <w:vertAlign w:val="superscript"/>
              </w:rPr>
              <w:t>(2)</w:t>
            </w:r>
          </w:p>
        </w:tc>
        <w:tc>
          <w:tcPr>
            <w:tcW w:w="1860" w:type="dxa"/>
            <w:vAlign w:val="bottom"/>
          </w:tcPr>
          <w:p>
            <w:pPr>
              <w:jc w:val="right"/>
              <w:ind w:right="291"/>
              <w:spacing w:after="0"/>
              <w:rPr>
                <w:sz w:val="20"/>
                <w:szCs w:val="20"/>
                <w:color w:val="auto"/>
              </w:rPr>
            </w:pPr>
            <w:r>
              <w:rPr>
                <w:rFonts w:ascii="Arial" w:cs="Arial" w:eastAsia="Arial" w:hAnsi="Arial"/>
                <w:sz w:val="18"/>
                <w:szCs w:val="18"/>
                <w:color w:val="auto"/>
              </w:rPr>
              <w:t>18.5%</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14.9%</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3.4%</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-1150 bps</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-1510 bps</w:t>
            </w:r>
          </w:p>
        </w:tc>
      </w:tr>
      <w:tr>
        <w:trPr>
          <w:trHeight w:val="254"/>
        </w:trPr>
        <w:tc>
          <w:tcPr>
            <w:tcW w:w="422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ROAA </w:t>
            </w:r>
            <w:r>
              <w:rPr>
                <w:rFonts w:ascii="Arial" w:cs="Arial" w:eastAsia="Arial" w:hAnsi="Arial"/>
                <w:sz w:val="29"/>
                <w:szCs w:val="29"/>
                <w:color w:val="auto"/>
                <w:vertAlign w:val="superscript"/>
              </w:rPr>
              <w:t>(2)</w:t>
            </w:r>
          </w:p>
        </w:tc>
        <w:tc>
          <w:tcPr>
            <w:tcW w:w="18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2.5%</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2.1%</w:t>
            </w: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0.4%</w:t>
            </w:r>
          </w:p>
        </w:tc>
        <w:tc>
          <w:tcPr>
            <w:tcW w:w="13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-170 bps</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-210 bps</w:t>
            </w:r>
          </w:p>
        </w:tc>
      </w:tr>
      <w:tr>
        <w:trPr>
          <w:trHeight w:val="213"/>
        </w:trPr>
        <w:tc>
          <w:tcPr>
            <w:tcW w:w="4220" w:type="dxa"/>
            <w:vAlign w:val="bottom"/>
          </w:tcPr>
          <w:p>
            <w:pPr>
              <w:spacing w:after="0"/>
              <w:rPr>
                <w:sz w:val="20"/>
                <w:szCs w:val="20"/>
                <w:color w:val="auto"/>
              </w:rPr>
            </w:pPr>
            <w:r>
              <w:rPr>
                <w:rFonts w:ascii="Arial" w:cs="Arial" w:eastAsia="Arial" w:hAnsi="Arial"/>
                <w:sz w:val="18"/>
                <w:szCs w:val="18"/>
                <w:b w:val="1"/>
                <w:bCs w:val="1"/>
                <w:color w:val="auto"/>
              </w:rPr>
              <w:t>Loan portfolio quality</w:t>
            </w:r>
          </w:p>
        </w:tc>
        <w:tc>
          <w:tcPr>
            <w:tcW w:w="1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4"/>
        </w:trPr>
        <w:tc>
          <w:tcPr>
            <w:tcW w:w="422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IOL ratio </w:t>
            </w:r>
            <w:r>
              <w:rPr>
                <w:rFonts w:ascii="Arial" w:cs="Arial" w:eastAsia="Arial" w:hAnsi="Arial"/>
                <w:sz w:val="29"/>
                <w:szCs w:val="29"/>
                <w:color w:val="auto"/>
                <w:vertAlign w:val="superscript"/>
              </w:rPr>
              <w:t>(3)</w:t>
            </w:r>
          </w:p>
        </w:tc>
        <w:tc>
          <w:tcPr>
            <w:tcW w:w="18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2.91%</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2.85%</w:t>
            </w: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2.97%</w:t>
            </w:r>
          </w:p>
        </w:tc>
        <w:tc>
          <w:tcPr>
            <w:tcW w:w="13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12 bps</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 bps</w:t>
            </w:r>
          </w:p>
        </w:tc>
      </w:tr>
      <w:tr>
        <w:trPr>
          <w:trHeight w:val="213"/>
        </w:trPr>
        <w:tc>
          <w:tcPr>
            <w:tcW w:w="4220" w:type="dxa"/>
            <w:vAlign w:val="bottom"/>
          </w:tcPr>
          <w:p>
            <w:pPr>
              <w:spacing w:after="0"/>
              <w:rPr>
                <w:sz w:val="20"/>
                <w:szCs w:val="20"/>
                <w:color w:val="auto"/>
              </w:rPr>
            </w:pPr>
            <w:r>
              <w:rPr>
                <w:rFonts w:ascii="Arial" w:cs="Arial" w:eastAsia="Arial" w:hAnsi="Arial"/>
                <w:sz w:val="18"/>
                <w:szCs w:val="18"/>
                <w:color w:val="auto"/>
              </w:rPr>
              <w:t>IOL over 90 days ratio</w:t>
            </w:r>
          </w:p>
        </w:tc>
        <w:tc>
          <w:tcPr>
            <w:tcW w:w="1860" w:type="dxa"/>
            <w:vAlign w:val="bottom"/>
          </w:tcPr>
          <w:p>
            <w:pPr>
              <w:jc w:val="right"/>
              <w:ind w:right="291"/>
              <w:spacing w:after="0"/>
              <w:rPr>
                <w:sz w:val="20"/>
                <w:szCs w:val="20"/>
                <w:color w:val="auto"/>
              </w:rPr>
            </w:pPr>
            <w:r>
              <w:rPr>
                <w:rFonts w:ascii="Arial" w:cs="Arial" w:eastAsia="Arial" w:hAnsi="Arial"/>
                <w:sz w:val="18"/>
                <w:szCs w:val="18"/>
                <w:color w:val="auto"/>
              </w:rPr>
              <w:t>2.09%</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2.15%</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1.86%</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-29 bps</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-23 bps</w:t>
            </w:r>
          </w:p>
        </w:tc>
      </w:tr>
      <w:tr>
        <w:trPr>
          <w:trHeight w:val="254"/>
        </w:trPr>
        <w:tc>
          <w:tcPr>
            <w:tcW w:w="422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NPL ratio </w:t>
            </w:r>
            <w:r>
              <w:rPr>
                <w:rFonts w:ascii="Arial" w:cs="Arial" w:eastAsia="Arial" w:hAnsi="Arial"/>
                <w:sz w:val="29"/>
                <w:szCs w:val="29"/>
                <w:color w:val="auto"/>
                <w:vertAlign w:val="superscript"/>
              </w:rPr>
              <w:t>(4)</w:t>
            </w:r>
          </w:p>
        </w:tc>
        <w:tc>
          <w:tcPr>
            <w:tcW w:w="18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4.09%</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3.88%</w:t>
            </w: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3.90%</w:t>
            </w:r>
          </w:p>
        </w:tc>
        <w:tc>
          <w:tcPr>
            <w:tcW w:w="13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 bps</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 bps</w:t>
            </w:r>
          </w:p>
        </w:tc>
      </w:tr>
      <w:tr>
        <w:trPr>
          <w:trHeight w:val="254"/>
        </w:trPr>
        <w:tc>
          <w:tcPr>
            <w:tcW w:w="4220" w:type="dxa"/>
            <w:vAlign w:val="bottom"/>
          </w:tcPr>
          <w:p>
            <w:pPr>
              <w:spacing w:after="0" w:line="253"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(2)(5)</w:t>
            </w:r>
          </w:p>
        </w:tc>
        <w:tc>
          <w:tcPr>
            <w:tcW w:w="1860" w:type="dxa"/>
            <w:vAlign w:val="bottom"/>
          </w:tcPr>
          <w:p>
            <w:pPr>
              <w:jc w:val="right"/>
              <w:ind w:right="291"/>
              <w:spacing w:after="0"/>
              <w:rPr>
                <w:sz w:val="20"/>
                <w:szCs w:val="20"/>
                <w:color w:val="auto"/>
              </w:rPr>
            </w:pPr>
            <w:r>
              <w:rPr>
                <w:rFonts w:ascii="Arial" w:cs="Arial" w:eastAsia="Arial" w:hAnsi="Arial"/>
                <w:sz w:val="18"/>
                <w:szCs w:val="18"/>
                <w:color w:val="auto"/>
              </w:rPr>
              <w:t>1.41%</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1.77%</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4.45%</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268 bps</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304 bps</w:t>
            </w:r>
          </w:p>
        </w:tc>
      </w:tr>
      <w:tr>
        <w:trPr>
          <w:trHeight w:val="21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Coverage ratio of IOLs</w:t>
            </w:r>
          </w:p>
        </w:tc>
        <w:tc>
          <w:tcPr>
            <w:tcW w:w="18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154.2%</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153.7%</w:t>
            </w: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165.7%</w:t>
            </w:r>
          </w:p>
        </w:tc>
        <w:tc>
          <w:tcPr>
            <w:tcW w:w="13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1200 bps</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1150 bps</w:t>
            </w:r>
          </w:p>
        </w:tc>
      </w:tr>
      <w:tr>
        <w:trPr>
          <w:trHeight w:val="213"/>
        </w:trPr>
        <w:tc>
          <w:tcPr>
            <w:tcW w:w="4220" w:type="dxa"/>
            <w:vAlign w:val="bottom"/>
          </w:tcPr>
          <w:p>
            <w:pPr>
              <w:spacing w:after="0"/>
              <w:rPr>
                <w:sz w:val="20"/>
                <w:szCs w:val="20"/>
                <w:color w:val="auto"/>
              </w:rPr>
            </w:pPr>
            <w:r>
              <w:rPr>
                <w:rFonts w:ascii="Arial" w:cs="Arial" w:eastAsia="Arial" w:hAnsi="Arial"/>
                <w:sz w:val="18"/>
                <w:szCs w:val="18"/>
                <w:color w:val="auto"/>
              </w:rPr>
              <w:t>Coverage ratio of IOL 90-days</w:t>
            </w:r>
          </w:p>
        </w:tc>
        <w:tc>
          <w:tcPr>
            <w:tcW w:w="1860" w:type="dxa"/>
            <w:vAlign w:val="bottom"/>
          </w:tcPr>
          <w:p>
            <w:pPr>
              <w:jc w:val="right"/>
              <w:ind w:right="291"/>
              <w:spacing w:after="0"/>
              <w:rPr>
                <w:sz w:val="20"/>
                <w:szCs w:val="20"/>
                <w:color w:val="auto"/>
              </w:rPr>
            </w:pPr>
            <w:r>
              <w:rPr>
                <w:rFonts w:ascii="Arial" w:cs="Arial" w:eastAsia="Arial" w:hAnsi="Arial"/>
                <w:sz w:val="18"/>
                <w:szCs w:val="18"/>
                <w:color w:val="auto"/>
              </w:rPr>
              <w:t>214.8%</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204.5%</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264.8%</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6030 bps</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5000 bps</w:t>
            </w:r>
          </w:p>
        </w:tc>
      </w:tr>
      <w:tr>
        <w:trPr>
          <w:trHeight w:val="21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Coverage ratio of NPLs</w:t>
            </w:r>
          </w:p>
        </w:tc>
        <w:tc>
          <w:tcPr>
            <w:tcW w:w="18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109.7%</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113.2%</w:t>
            </w: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126.1%</w:t>
            </w:r>
          </w:p>
        </w:tc>
        <w:tc>
          <w:tcPr>
            <w:tcW w:w="13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1290 bps</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1640 bps</w:t>
            </w:r>
          </w:p>
        </w:tc>
      </w:tr>
      <w:tr>
        <w:trPr>
          <w:trHeight w:val="213"/>
        </w:trPr>
        <w:tc>
          <w:tcPr>
            <w:tcW w:w="4220" w:type="dxa"/>
            <w:vAlign w:val="bottom"/>
          </w:tcPr>
          <w:p>
            <w:pPr>
              <w:spacing w:after="0"/>
              <w:rPr>
                <w:sz w:val="20"/>
                <w:szCs w:val="20"/>
                <w:color w:val="auto"/>
              </w:rPr>
            </w:pPr>
            <w:r>
              <w:rPr>
                <w:rFonts w:ascii="Arial" w:cs="Arial" w:eastAsia="Arial" w:hAnsi="Arial"/>
                <w:sz w:val="18"/>
                <w:szCs w:val="18"/>
                <w:b w:val="1"/>
                <w:bCs w:val="1"/>
                <w:color w:val="auto"/>
              </w:rPr>
              <w:t>Operating efficiency</w:t>
            </w:r>
          </w:p>
        </w:tc>
        <w:tc>
          <w:tcPr>
            <w:tcW w:w="1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4"/>
        </w:trPr>
        <w:tc>
          <w:tcPr>
            <w:tcW w:w="422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Efficiency ratio </w:t>
            </w:r>
            <w:r>
              <w:rPr>
                <w:rFonts w:ascii="Arial" w:cs="Arial" w:eastAsia="Arial" w:hAnsi="Arial"/>
                <w:sz w:val="29"/>
                <w:szCs w:val="29"/>
                <w:color w:val="auto"/>
                <w:vertAlign w:val="superscript"/>
              </w:rPr>
              <w:t>(1)(6)</w:t>
            </w:r>
          </w:p>
        </w:tc>
        <w:tc>
          <w:tcPr>
            <w:tcW w:w="18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42.4%</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45.7%</w:t>
            </w: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43.4%</w:t>
            </w:r>
          </w:p>
        </w:tc>
        <w:tc>
          <w:tcPr>
            <w:tcW w:w="13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-230 bps</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 bps</w:t>
            </w:r>
          </w:p>
        </w:tc>
      </w:tr>
      <w:tr>
        <w:trPr>
          <w:trHeight w:val="254"/>
        </w:trPr>
        <w:tc>
          <w:tcPr>
            <w:tcW w:w="4220" w:type="dxa"/>
            <w:vAlign w:val="bottom"/>
          </w:tcPr>
          <w:p>
            <w:pPr>
              <w:spacing w:after="0" w:line="253" w:lineRule="exact"/>
              <w:rPr>
                <w:sz w:val="20"/>
                <w:szCs w:val="20"/>
                <w:color w:val="auto"/>
              </w:rPr>
            </w:pPr>
            <w:r>
              <w:rPr>
                <w:rFonts w:ascii="Arial" w:cs="Arial" w:eastAsia="Arial" w:hAnsi="Arial"/>
                <w:sz w:val="18"/>
                <w:szCs w:val="18"/>
                <w:color w:val="auto"/>
              </w:rPr>
              <w:t xml:space="preserve">Operating expenses / Total average assets </w:t>
            </w:r>
            <w:r>
              <w:rPr>
                <w:rFonts w:ascii="Arial" w:cs="Arial" w:eastAsia="Arial" w:hAnsi="Arial"/>
                <w:sz w:val="29"/>
                <w:szCs w:val="29"/>
                <w:color w:val="auto"/>
                <w:vertAlign w:val="superscript"/>
              </w:rPr>
              <w:t>(1)(7)</w:t>
            </w:r>
          </w:p>
        </w:tc>
        <w:tc>
          <w:tcPr>
            <w:tcW w:w="1860" w:type="dxa"/>
            <w:vAlign w:val="bottom"/>
          </w:tcPr>
          <w:p>
            <w:pPr>
              <w:jc w:val="right"/>
              <w:ind w:right="291"/>
              <w:spacing w:after="0"/>
              <w:rPr>
                <w:sz w:val="20"/>
                <w:szCs w:val="20"/>
                <w:color w:val="auto"/>
              </w:rPr>
            </w:pPr>
            <w:r>
              <w:rPr>
                <w:rFonts w:ascii="Arial" w:cs="Arial" w:eastAsia="Arial" w:hAnsi="Arial"/>
                <w:sz w:val="18"/>
                <w:szCs w:val="18"/>
                <w:color w:val="auto"/>
              </w:rPr>
              <w:t>3.60%</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3.99%</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3.57%</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-42 bps</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 bps</w:t>
            </w:r>
          </w:p>
        </w:tc>
      </w:tr>
      <w:tr>
        <w:trPr>
          <w:trHeight w:val="213"/>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Insurance ratios</w:t>
            </w:r>
          </w:p>
        </w:tc>
        <w:tc>
          <w:tcPr>
            <w:tcW w:w="18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4"/>
        </w:trPr>
        <w:tc>
          <w:tcPr>
            <w:tcW w:w="4220" w:type="dxa"/>
            <w:vAlign w:val="bottom"/>
          </w:tcPr>
          <w:p>
            <w:pPr>
              <w:spacing w:after="0" w:line="253" w:lineRule="exact"/>
              <w:rPr>
                <w:sz w:val="20"/>
                <w:szCs w:val="20"/>
                <w:color w:val="auto"/>
              </w:rPr>
            </w:pPr>
            <w:r>
              <w:rPr>
                <w:rFonts w:ascii="Arial" w:cs="Arial" w:eastAsia="Arial" w:hAnsi="Arial"/>
                <w:sz w:val="18"/>
                <w:szCs w:val="18"/>
                <w:color w:val="auto"/>
              </w:rPr>
              <w:t xml:space="preserve">Combined ratio of P&amp;C </w:t>
            </w:r>
            <w:r>
              <w:rPr>
                <w:rFonts w:ascii="Arial" w:cs="Arial" w:eastAsia="Arial" w:hAnsi="Arial"/>
                <w:sz w:val="29"/>
                <w:szCs w:val="29"/>
                <w:color w:val="auto"/>
                <w:vertAlign w:val="superscript"/>
              </w:rPr>
              <w:t>(8)(9)</w:t>
            </w:r>
          </w:p>
        </w:tc>
        <w:tc>
          <w:tcPr>
            <w:tcW w:w="1860" w:type="dxa"/>
            <w:vAlign w:val="bottom"/>
          </w:tcPr>
          <w:p>
            <w:pPr>
              <w:jc w:val="right"/>
              <w:ind w:right="291"/>
              <w:spacing w:after="0"/>
              <w:rPr>
                <w:sz w:val="20"/>
                <w:szCs w:val="20"/>
                <w:color w:val="auto"/>
              </w:rPr>
            </w:pPr>
            <w:r>
              <w:rPr>
                <w:rFonts w:ascii="Arial" w:cs="Arial" w:eastAsia="Arial" w:hAnsi="Arial"/>
                <w:sz w:val="18"/>
                <w:szCs w:val="18"/>
                <w:color w:val="auto"/>
              </w:rPr>
              <w:t>104.4%</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94.1%</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94.4%</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30 bps</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-1000 bps</w:t>
            </w:r>
          </w:p>
        </w:tc>
      </w:tr>
      <w:tr>
        <w:trPr>
          <w:trHeight w:val="254"/>
        </w:trPr>
        <w:tc>
          <w:tcPr>
            <w:tcW w:w="422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Loss ratio </w:t>
            </w:r>
            <w:r>
              <w:rPr>
                <w:rFonts w:ascii="Arial" w:cs="Arial" w:eastAsia="Arial" w:hAnsi="Arial"/>
                <w:sz w:val="29"/>
                <w:szCs w:val="29"/>
                <w:color w:val="auto"/>
                <w:vertAlign w:val="superscript"/>
              </w:rPr>
              <w:t>(9)(10)</w:t>
            </w:r>
          </w:p>
        </w:tc>
        <w:tc>
          <w:tcPr>
            <w:tcW w:w="18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65.6%</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62.7%</w:t>
            </w: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59.9%</w:t>
            </w:r>
          </w:p>
        </w:tc>
        <w:tc>
          <w:tcPr>
            <w:tcW w:w="13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-280 bps</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-570 bps</w:t>
            </w:r>
          </w:p>
        </w:tc>
      </w:tr>
      <w:tr>
        <w:trPr>
          <w:trHeight w:val="254"/>
        </w:trPr>
        <w:tc>
          <w:tcPr>
            <w:tcW w:w="4220" w:type="dxa"/>
            <w:vAlign w:val="bottom"/>
          </w:tcPr>
          <w:p>
            <w:pPr>
              <w:spacing w:after="0" w:line="253" w:lineRule="exact"/>
              <w:rPr>
                <w:sz w:val="20"/>
                <w:szCs w:val="20"/>
                <w:color w:val="auto"/>
              </w:rPr>
            </w:pPr>
            <w:r>
              <w:rPr>
                <w:rFonts w:ascii="Arial" w:cs="Arial" w:eastAsia="Arial" w:hAnsi="Arial"/>
                <w:sz w:val="18"/>
                <w:szCs w:val="18"/>
                <w:b w:val="1"/>
                <w:bCs w:val="1"/>
                <w:color w:val="auto"/>
              </w:rPr>
              <w:t xml:space="preserve">Capital adequacy </w:t>
            </w:r>
            <w:r>
              <w:rPr>
                <w:rFonts w:ascii="Arial" w:cs="Arial" w:eastAsia="Arial" w:hAnsi="Arial"/>
                <w:sz w:val="29"/>
                <w:szCs w:val="29"/>
                <w:b w:val="1"/>
                <w:bCs w:val="1"/>
                <w:color w:val="auto"/>
                <w:vertAlign w:val="superscript"/>
              </w:rPr>
              <w:t>(11)</w:t>
            </w:r>
          </w:p>
        </w:tc>
        <w:tc>
          <w:tcPr>
            <w:tcW w:w="18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4"/>
        </w:trPr>
        <w:tc>
          <w:tcPr>
            <w:tcW w:w="422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(12)</w:t>
            </w:r>
          </w:p>
        </w:tc>
        <w:tc>
          <w:tcPr>
            <w:tcW w:w="18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15.49%</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14.47%</w:t>
            </w: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13.52%</w:t>
            </w:r>
          </w:p>
        </w:tc>
        <w:tc>
          <w:tcPr>
            <w:tcW w:w="13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-95 bps</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-197 bps</w:t>
            </w:r>
          </w:p>
        </w:tc>
      </w:tr>
      <w:tr>
        <w:trPr>
          <w:trHeight w:val="254"/>
        </w:trPr>
        <w:tc>
          <w:tcPr>
            <w:tcW w:w="4220" w:type="dxa"/>
            <w:vAlign w:val="bottom"/>
          </w:tcPr>
          <w:p>
            <w:pPr>
              <w:spacing w:after="0" w:line="253" w:lineRule="exact"/>
              <w:rPr>
                <w:sz w:val="20"/>
                <w:szCs w:val="20"/>
                <w:color w:val="auto"/>
              </w:rPr>
            </w:pPr>
            <w:r>
              <w:rPr>
                <w:rFonts w:ascii="Arial" w:cs="Arial" w:eastAsia="Arial" w:hAnsi="Arial"/>
                <w:sz w:val="18"/>
                <w:szCs w:val="18"/>
                <w:color w:val="auto"/>
              </w:rPr>
              <w:t xml:space="preserve">Tier 1 ratio </w:t>
            </w:r>
            <w:r>
              <w:rPr>
                <w:rFonts w:ascii="Arial" w:cs="Arial" w:eastAsia="Arial" w:hAnsi="Arial"/>
                <w:sz w:val="29"/>
                <w:szCs w:val="29"/>
                <w:color w:val="auto"/>
                <w:vertAlign w:val="superscript"/>
              </w:rPr>
              <w:t>(13)</w:t>
            </w:r>
          </w:p>
        </w:tc>
        <w:tc>
          <w:tcPr>
            <w:tcW w:w="1860" w:type="dxa"/>
            <w:vAlign w:val="bottom"/>
          </w:tcPr>
          <w:p>
            <w:pPr>
              <w:jc w:val="right"/>
              <w:ind w:right="291"/>
              <w:spacing w:after="0"/>
              <w:rPr>
                <w:sz w:val="20"/>
                <w:szCs w:val="20"/>
                <w:color w:val="auto"/>
              </w:rPr>
            </w:pPr>
            <w:r>
              <w:rPr>
                <w:rFonts w:ascii="Arial" w:cs="Arial" w:eastAsia="Arial" w:hAnsi="Arial"/>
                <w:sz w:val="18"/>
                <w:szCs w:val="18"/>
                <w:color w:val="auto"/>
              </w:rPr>
              <w:t>11.73%</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11.07%</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10.33%</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-74 bps</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-140 bps</w:t>
            </w:r>
          </w:p>
        </w:tc>
      </w:tr>
      <w:tr>
        <w:trPr>
          <w:trHeight w:val="254"/>
        </w:trPr>
        <w:tc>
          <w:tcPr>
            <w:tcW w:w="422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(14)</w:t>
            </w:r>
          </w:p>
        </w:tc>
        <w:tc>
          <w:tcPr>
            <w:tcW w:w="18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11.39%</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12.35%</w:t>
            </w: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11.89%</w:t>
            </w:r>
          </w:p>
        </w:tc>
        <w:tc>
          <w:tcPr>
            <w:tcW w:w="13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-46 bps</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50 bps</w:t>
            </w:r>
          </w:p>
        </w:tc>
      </w:tr>
      <w:tr>
        <w:trPr>
          <w:trHeight w:val="213"/>
        </w:trPr>
        <w:tc>
          <w:tcPr>
            <w:tcW w:w="4220" w:type="dxa"/>
            <w:vAlign w:val="bottom"/>
          </w:tcPr>
          <w:p>
            <w:pPr>
              <w:spacing w:after="0"/>
              <w:rPr>
                <w:sz w:val="20"/>
                <w:szCs w:val="20"/>
                <w:color w:val="auto"/>
              </w:rPr>
            </w:pPr>
            <w:r>
              <w:rPr>
                <w:rFonts w:ascii="Arial" w:cs="Arial" w:eastAsia="Arial" w:hAnsi="Arial"/>
                <w:sz w:val="18"/>
                <w:szCs w:val="18"/>
                <w:b w:val="1"/>
                <w:bCs w:val="1"/>
                <w:color w:val="auto"/>
              </w:rPr>
              <w:t>Employees</w:t>
            </w:r>
          </w:p>
        </w:tc>
        <w:tc>
          <w:tcPr>
            <w:tcW w:w="1860" w:type="dxa"/>
            <w:vAlign w:val="bottom"/>
          </w:tcPr>
          <w:p>
            <w:pPr>
              <w:jc w:val="right"/>
              <w:ind w:right="431"/>
              <w:spacing w:after="0"/>
              <w:rPr>
                <w:sz w:val="20"/>
                <w:szCs w:val="20"/>
                <w:color w:val="auto"/>
              </w:rPr>
            </w:pPr>
            <w:r>
              <w:rPr>
                <w:rFonts w:ascii="Arial" w:cs="Arial" w:eastAsia="Arial" w:hAnsi="Arial"/>
                <w:sz w:val="18"/>
                <w:szCs w:val="18"/>
                <w:b w:val="1"/>
                <w:bCs w:val="1"/>
                <w:color w:val="auto"/>
              </w:rPr>
              <w:t>34,266</w:t>
            </w:r>
          </w:p>
        </w:tc>
        <w:tc>
          <w:tcPr>
            <w:tcW w:w="1360" w:type="dxa"/>
            <w:vAlign w:val="bottom"/>
          </w:tcPr>
          <w:p>
            <w:pPr>
              <w:jc w:val="right"/>
              <w:ind w:right="411"/>
              <w:spacing w:after="0"/>
              <w:rPr>
                <w:sz w:val="20"/>
                <w:szCs w:val="20"/>
                <w:color w:val="auto"/>
              </w:rPr>
            </w:pPr>
            <w:r>
              <w:rPr>
                <w:rFonts w:ascii="Arial" w:cs="Arial" w:eastAsia="Arial" w:hAnsi="Arial"/>
                <w:sz w:val="18"/>
                <w:szCs w:val="18"/>
                <w:b w:val="1"/>
                <w:bCs w:val="1"/>
                <w:color w:val="auto"/>
              </w:rPr>
              <w:t>35,846</w:t>
            </w:r>
          </w:p>
        </w:tc>
        <w:tc>
          <w:tcPr>
            <w:tcW w:w="1280" w:type="dxa"/>
            <w:vAlign w:val="bottom"/>
          </w:tcPr>
          <w:p>
            <w:pPr>
              <w:jc w:val="right"/>
              <w:ind w:right="331"/>
              <w:spacing w:after="0"/>
              <w:rPr>
                <w:sz w:val="20"/>
                <w:szCs w:val="20"/>
                <w:color w:val="auto"/>
              </w:rPr>
            </w:pPr>
            <w:r>
              <w:rPr>
                <w:rFonts w:ascii="Arial" w:cs="Arial" w:eastAsia="Arial" w:hAnsi="Arial"/>
                <w:sz w:val="18"/>
                <w:szCs w:val="18"/>
                <w:b w:val="1"/>
                <w:bCs w:val="1"/>
                <w:color w:val="auto"/>
              </w:rPr>
              <w:t>38,327</w:t>
            </w:r>
          </w:p>
        </w:tc>
        <w:tc>
          <w:tcPr>
            <w:tcW w:w="1380" w:type="dxa"/>
            <w:vAlign w:val="bottom"/>
          </w:tcPr>
          <w:p>
            <w:pPr>
              <w:ind w:left="720"/>
              <w:spacing w:after="0"/>
              <w:rPr>
                <w:sz w:val="20"/>
                <w:szCs w:val="20"/>
                <w:color w:val="auto"/>
              </w:rPr>
            </w:pPr>
            <w:r>
              <w:rPr>
                <w:rFonts w:ascii="Arial" w:cs="Arial" w:eastAsia="Arial" w:hAnsi="Arial"/>
                <w:sz w:val="18"/>
                <w:szCs w:val="18"/>
                <w:b w:val="1"/>
                <w:bCs w:val="1"/>
                <w:color w:val="auto"/>
              </w:rPr>
              <w:t>6.9%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11.9%</w:t>
            </w:r>
          </w:p>
        </w:tc>
      </w:tr>
      <w:tr>
        <w:trPr>
          <w:trHeight w:val="213"/>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Information</w:t>
            </w:r>
          </w:p>
        </w:tc>
        <w:tc>
          <w:tcPr>
            <w:tcW w:w="18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4220" w:type="dxa"/>
            <w:vAlign w:val="bottom"/>
          </w:tcPr>
          <w:p>
            <w:pPr>
              <w:spacing w:after="0"/>
              <w:rPr>
                <w:sz w:val="20"/>
                <w:szCs w:val="20"/>
                <w:color w:val="auto"/>
              </w:rPr>
            </w:pPr>
            <w:r>
              <w:rPr>
                <w:rFonts w:ascii="Arial" w:cs="Arial" w:eastAsia="Arial" w:hAnsi="Arial"/>
                <w:sz w:val="18"/>
                <w:szCs w:val="18"/>
                <w:color w:val="auto"/>
              </w:rPr>
              <w:t>Outstanding Shares</w:t>
            </w:r>
          </w:p>
        </w:tc>
        <w:tc>
          <w:tcPr>
            <w:tcW w:w="1860" w:type="dxa"/>
            <w:vAlign w:val="bottom"/>
          </w:tcPr>
          <w:p>
            <w:pPr>
              <w:jc w:val="right"/>
              <w:ind w:right="431"/>
              <w:spacing w:after="0"/>
              <w:rPr>
                <w:sz w:val="20"/>
                <w:szCs w:val="20"/>
                <w:color w:val="auto"/>
              </w:rPr>
            </w:pPr>
            <w:r>
              <w:rPr>
                <w:rFonts w:ascii="Arial" w:cs="Arial" w:eastAsia="Arial" w:hAnsi="Arial"/>
                <w:sz w:val="18"/>
                <w:szCs w:val="18"/>
                <w:color w:val="auto"/>
              </w:rPr>
              <w:t>94,382</w:t>
            </w:r>
          </w:p>
        </w:tc>
        <w:tc>
          <w:tcPr>
            <w:tcW w:w="1360" w:type="dxa"/>
            <w:vAlign w:val="bottom"/>
          </w:tcPr>
          <w:p>
            <w:pPr>
              <w:jc w:val="right"/>
              <w:ind w:right="411"/>
              <w:spacing w:after="0"/>
              <w:rPr>
                <w:sz w:val="20"/>
                <w:szCs w:val="20"/>
                <w:color w:val="auto"/>
              </w:rPr>
            </w:pPr>
            <w:r>
              <w:rPr>
                <w:rFonts w:ascii="Arial" w:cs="Arial" w:eastAsia="Arial" w:hAnsi="Arial"/>
                <w:sz w:val="18"/>
                <w:szCs w:val="18"/>
                <w:color w:val="auto"/>
              </w:rPr>
              <w:t>94,382</w:t>
            </w: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94,382</w:t>
            </w:r>
          </w:p>
        </w:tc>
        <w:tc>
          <w:tcPr>
            <w:tcW w:w="1380" w:type="dxa"/>
            <w:vAlign w:val="bottom"/>
          </w:tcPr>
          <w:p>
            <w:pPr>
              <w:ind w:left="720"/>
              <w:spacing w:after="0"/>
              <w:rPr>
                <w:sz w:val="20"/>
                <w:szCs w:val="20"/>
                <w:color w:val="auto"/>
              </w:rPr>
            </w:pPr>
            <w:r>
              <w:rPr>
                <w:rFonts w:ascii="Arial" w:cs="Arial" w:eastAsia="Arial" w:hAnsi="Arial"/>
                <w:sz w:val="18"/>
                <w:szCs w:val="18"/>
                <w:color w:val="auto"/>
              </w:rPr>
              <w:t>0.0%</w:t>
            </w:r>
          </w:p>
        </w:tc>
        <w:tc>
          <w:tcPr>
            <w:tcW w:w="114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54"/>
        </w:trPr>
        <w:tc>
          <w:tcPr>
            <w:tcW w:w="4220" w:type="dxa"/>
            <w:vAlign w:val="bottom"/>
            <w:shd w:val="clear" w:color="auto" w:fill="CCEEFF"/>
          </w:tcPr>
          <w:p>
            <w:pPr>
              <w:ind w:left="160"/>
              <w:spacing w:after="0" w:line="253" w:lineRule="exact"/>
              <w:rPr>
                <w:sz w:val="20"/>
                <w:szCs w:val="20"/>
                <w:color w:val="auto"/>
              </w:rPr>
            </w:pPr>
            <w:r>
              <w:rPr>
                <w:rFonts w:ascii="Arial" w:cs="Arial" w:eastAsia="Arial" w:hAnsi="Arial"/>
                <w:sz w:val="18"/>
                <w:szCs w:val="18"/>
                <w:color w:val="auto"/>
              </w:rPr>
              <w:t xml:space="preserve">Treasury Shares </w:t>
            </w:r>
            <w:r>
              <w:rPr>
                <w:rFonts w:ascii="Arial" w:cs="Arial" w:eastAsia="Arial" w:hAnsi="Arial"/>
                <w:sz w:val="29"/>
                <w:szCs w:val="29"/>
                <w:color w:val="auto"/>
                <w:vertAlign w:val="superscript"/>
              </w:rPr>
              <w:t>(15)</w:t>
            </w:r>
          </w:p>
        </w:tc>
        <w:tc>
          <w:tcPr>
            <w:tcW w:w="18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14,621</w:t>
            </w:r>
          </w:p>
        </w:tc>
        <w:tc>
          <w:tcPr>
            <w:tcW w:w="136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14,621</w:t>
            </w:r>
          </w:p>
        </w:tc>
        <w:tc>
          <w:tcPr>
            <w:tcW w:w="12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14,621</w:t>
            </w:r>
          </w:p>
        </w:tc>
        <w:tc>
          <w:tcPr>
            <w:tcW w:w="1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26"/>
        </w:trPr>
        <w:tc>
          <w:tcPr>
            <w:tcW w:w="4220" w:type="dxa"/>
            <w:vAlign w:val="bottom"/>
          </w:tcPr>
          <w:p>
            <w:pPr>
              <w:ind w:left="160"/>
              <w:spacing w:after="0"/>
              <w:rPr>
                <w:sz w:val="20"/>
                <w:szCs w:val="20"/>
                <w:color w:val="auto"/>
              </w:rPr>
            </w:pPr>
            <w:r>
              <w:rPr>
                <w:rFonts w:ascii="Arial" w:cs="Arial" w:eastAsia="Arial" w:hAnsi="Arial"/>
                <w:sz w:val="18"/>
                <w:szCs w:val="18"/>
                <w:color w:val="auto"/>
              </w:rPr>
              <w:t>Floating Shares</w:t>
            </w:r>
          </w:p>
        </w:tc>
        <w:tc>
          <w:tcPr>
            <w:tcW w:w="1860" w:type="dxa"/>
            <w:vAlign w:val="bottom"/>
          </w:tcPr>
          <w:p>
            <w:pPr>
              <w:jc w:val="right"/>
              <w:ind w:right="431"/>
              <w:spacing w:after="0"/>
              <w:rPr>
                <w:sz w:val="20"/>
                <w:szCs w:val="20"/>
                <w:color w:val="auto"/>
              </w:rPr>
            </w:pPr>
            <w:r>
              <w:rPr>
                <w:rFonts w:ascii="Arial" w:cs="Arial" w:eastAsia="Arial" w:hAnsi="Arial"/>
                <w:sz w:val="18"/>
                <w:szCs w:val="18"/>
                <w:color w:val="auto"/>
              </w:rPr>
              <w:t>79,761</w:t>
            </w:r>
          </w:p>
        </w:tc>
        <w:tc>
          <w:tcPr>
            <w:tcW w:w="1360" w:type="dxa"/>
            <w:vAlign w:val="bottom"/>
          </w:tcPr>
          <w:p>
            <w:pPr>
              <w:jc w:val="right"/>
              <w:ind w:right="411"/>
              <w:spacing w:after="0"/>
              <w:rPr>
                <w:sz w:val="20"/>
                <w:szCs w:val="20"/>
                <w:color w:val="auto"/>
              </w:rPr>
            </w:pPr>
            <w:r>
              <w:rPr>
                <w:rFonts w:ascii="Arial" w:cs="Arial" w:eastAsia="Arial" w:hAnsi="Arial"/>
                <w:sz w:val="18"/>
                <w:szCs w:val="18"/>
                <w:color w:val="auto"/>
              </w:rPr>
              <w:t>79,761</w:t>
            </w:r>
          </w:p>
        </w:tc>
        <w:tc>
          <w:tcPr>
            <w:tcW w:w="1280" w:type="dxa"/>
            <w:vAlign w:val="bottom"/>
          </w:tcPr>
          <w:p>
            <w:pPr>
              <w:jc w:val="right"/>
              <w:ind w:right="331"/>
              <w:spacing w:after="0"/>
              <w:rPr>
                <w:sz w:val="20"/>
                <w:szCs w:val="20"/>
                <w:color w:val="auto"/>
              </w:rPr>
            </w:pPr>
            <w:r>
              <w:rPr>
                <w:rFonts w:ascii="Arial" w:cs="Arial" w:eastAsia="Arial" w:hAnsi="Arial"/>
                <w:sz w:val="18"/>
                <w:szCs w:val="18"/>
                <w:color w:val="auto"/>
              </w:rPr>
              <w:t>79,761</w:t>
            </w:r>
          </w:p>
        </w:tc>
        <w:tc>
          <w:tcPr>
            <w:tcW w:w="1380" w:type="dxa"/>
            <w:vAlign w:val="bottom"/>
          </w:tcPr>
          <w:p>
            <w:pPr>
              <w:ind w:left="720"/>
              <w:spacing w:after="0"/>
              <w:rPr>
                <w:sz w:val="20"/>
                <w:szCs w:val="20"/>
                <w:color w:val="auto"/>
              </w:rPr>
            </w:pPr>
            <w:r>
              <w:rPr>
                <w:rFonts w:ascii="Arial" w:cs="Arial" w:eastAsia="Arial" w:hAnsi="Arial"/>
                <w:sz w:val="18"/>
                <w:szCs w:val="18"/>
                <w:color w:val="auto"/>
              </w:rPr>
              <w:t>0.0%</w:t>
            </w:r>
          </w:p>
        </w:tc>
        <w:tc>
          <w:tcPr>
            <w:tcW w:w="114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186" w:lineRule="exact"/>
        <w:rPr>
          <w:sz w:val="20"/>
          <w:szCs w:val="20"/>
          <w:color w:val="auto"/>
        </w:rPr>
      </w:pPr>
    </w:p>
    <w:p>
      <w:pPr>
        <w:ind w:left="260" w:hanging="253"/>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Annualized.</w:t>
      </w:r>
    </w:p>
    <w:p>
      <w:pPr>
        <w:spacing w:after="0" w:line="6" w:lineRule="exact"/>
        <w:rPr>
          <w:rFonts w:ascii="Arial" w:cs="Arial" w:eastAsia="Arial" w:hAnsi="Arial"/>
          <w:sz w:val="18"/>
          <w:szCs w:val="18"/>
          <w:color w:val="auto"/>
        </w:rPr>
      </w:pPr>
    </w:p>
    <w:p>
      <w:pPr>
        <w:ind w:right="20" w:firstLine="7"/>
        <w:spacing w:after="0" w:line="247" w:lineRule="auto"/>
        <w:tabs>
          <w:tab w:leader="none" w:pos="25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overdue loans: includes overdue loans and loans under legal collection, according to our internal policy for overdue loans. Internal Overdue ratio: Internal overdue loans / Total loans.</w:t>
      </w:r>
    </w:p>
    <w:p>
      <w:pPr>
        <w:ind w:left="260" w:hanging="253"/>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Non-performing loans (NPL): Internal overdue loans + Refinanced loans. NPL ratio: NPL / Total loans.</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 of risk: Annualized Provision for credit losses on loan portfolio, net of recoveries / Total loans.</w:t>
      </w:r>
    </w:p>
    <w:p>
      <w:pPr>
        <w:spacing w:after="0" w:line="6" w:lineRule="exact"/>
        <w:rPr>
          <w:rFonts w:ascii="Arial" w:cs="Arial" w:eastAsia="Arial" w:hAnsi="Arial"/>
          <w:sz w:val="18"/>
          <w:szCs w:val="18"/>
          <w:color w:val="auto"/>
        </w:rPr>
      </w:pPr>
    </w:p>
    <w:p>
      <w:pPr>
        <w:jc w:val="both"/>
        <w:ind w:firstLine="7"/>
        <w:spacing w:after="0" w:line="247" w:lineRule="auto"/>
        <w:tabs>
          <w:tab w:leader="none" w:pos="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Efficiency ratio = (Salaries and employee benefits + Administrative expenses + Depreciation and amortization + Association in participation + Acquisition cost) / (Net interest income + Fee Income + Net gain on foreign exchange transactions + Net Gain From associates + Net gain on derivatives held for trading + Result on exchange differences + Net Premiums Earned).</w:t>
      </w:r>
    </w:p>
    <w:p>
      <w:pPr>
        <w:spacing w:after="0" w:line="1" w:lineRule="exact"/>
        <w:rPr>
          <w:rFonts w:ascii="Arial" w:cs="Arial" w:eastAsia="Arial" w:hAnsi="Arial"/>
          <w:sz w:val="18"/>
          <w:szCs w:val="18"/>
          <w:color w:val="auto"/>
        </w:rPr>
      </w:pPr>
    </w:p>
    <w:p>
      <w:pPr>
        <w:ind w:left="260" w:hanging="253"/>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expenses / Average of Total Assets. Average is calculated with period-beginning and period-ending balances. "</w:t>
      </w:r>
    </w:p>
    <w:p>
      <w:pPr>
        <w:spacing w:after="0" w:line="6" w:lineRule="exact"/>
        <w:rPr>
          <w:rFonts w:ascii="Arial" w:cs="Arial" w:eastAsia="Arial" w:hAnsi="Arial"/>
          <w:sz w:val="18"/>
          <w:szCs w:val="18"/>
          <w:color w:val="auto"/>
        </w:rPr>
      </w:pPr>
    </w:p>
    <w:p>
      <w:pPr>
        <w:ind w:right="20" w:firstLine="7"/>
        <w:spacing w:after="0" w:line="247" w:lineRule="auto"/>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Combined ratio = (Net claims / Net earned premiums) + [(Acquisition cost + Operating expenses) / Net earned premiums]. Does not include Life insurance business.</w:t>
      </w:r>
    </w:p>
    <w:p>
      <w:pPr>
        <w:ind w:left="260" w:hanging="253"/>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Considers Grupo Pacifico's figures before eliminations for consolidation to Credicorp.</w:t>
      </w:r>
    </w:p>
    <w:p>
      <w:pPr>
        <w:spacing w:after="0" w:line="6" w:lineRule="exact"/>
        <w:rPr>
          <w:rFonts w:ascii="Arial" w:cs="Arial" w:eastAsia="Arial" w:hAnsi="Arial"/>
          <w:sz w:val="18"/>
          <w:szCs w:val="18"/>
          <w:color w:val="auto"/>
        </w:rPr>
      </w:pPr>
    </w:p>
    <w:p>
      <w:pPr>
        <w:ind w:left="340" w:hanging="333"/>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6" w:lineRule="exact"/>
        <w:rPr>
          <w:rFonts w:ascii="Arial" w:cs="Arial" w:eastAsia="Arial" w:hAnsi="Arial"/>
          <w:sz w:val="18"/>
          <w:szCs w:val="18"/>
          <w:color w:val="auto"/>
        </w:rPr>
      </w:pPr>
    </w:p>
    <w:p>
      <w:pPr>
        <w:ind w:left="340" w:hanging="333"/>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Capital ratios are for BCP Stand-alone and based on Peru GAAP.</w:t>
      </w:r>
    </w:p>
    <w:p>
      <w:pPr>
        <w:spacing w:after="0" w:line="6" w:lineRule="exact"/>
        <w:rPr>
          <w:rFonts w:ascii="Arial" w:cs="Arial" w:eastAsia="Arial" w:hAnsi="Arial"/>
          <w:sz w:val="18"/>
          <w:szCs w:val="18"/>
          <w:color w:val="auto"/>
        </w:rPr>
      </w:pPr>
    </w:p>
    <w:p>
      <w:pPr>
        <w:ind w:left="340" w:hanging="333"/>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ectPr>
          <w:pgSz w:w="11900" w:h="16838" w:orient="portrait"/>
          <w:cols w:equalWidth="0" w:num="1">
            <w:col w:w="11240"/>
          </w:cols>
          <w:pgMar w:left="320" w:top="895" w:right="339" w:bottom="0" w:gutter="0" w:footer="0" w:header="0"/>
        </w:sectPr>
      </w:pPr>
    </w:p>
    <w:bookmarkStart w:id="5" w:name="page6"/>
    <w:bookmarkEnd w:id="5"/>
    <w:p>
      <w:pPr>
        <w:jc w:val="both"/>
        <w:ind w:firstLine="7"/>
        <w:spacing w:after="0" w:line="267" w:lineRule="auto"/>
        <w:tabs>
          <w:tab w:leader="none" w:pos="349" w:val="left"/>
        </w:tabs>
        <w:numPr>
          <w:ilvl w:val="0"/>
          <w:numId w:val="3"/>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7"/>
          <w:szCs w:val="17"/>
          <w:color w:val="auto"/>
        </w:rPr>
      </w:pPr>
    </w:p>
    <w:p>
      <w:pPr>
        <w:ind w:firstLine="7"/>
        <w:spacing w:after="0" w:line="247" w:lineRule="auto"/>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right="20"/>
        <w:spacing w:after="0" w:line="262" w:lineRule="auto"/>
        <w:rPr>
          <w:rFonts w:ascii="Arial" w:cs="Arial" w:eastAsia="Arial" w:hAnsi="Arial"/>
          <w:sz w:val="18"/>
          <w:szCs w:val="18"/>
          <w:color w:val="auto"/>
        </w:rPr>
      </w:pPr>
      <w:r>
        <w:rPr>
          <w:rFonts w:ascii="Arial" w:cs="Arial" w:eastAsia="Arial" w:hAnsi="Arial"/>
          <w:sz w:val="17"/>
          <w:szCs w:val="17"/>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340" w:hanging="33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shares are held by Atlantic Security Holding Corporation (ASHC).</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Credicorp and subsidiaries</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7"/>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 *</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9"/>
              </w:rPr>
              <w:t>% change</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1"/>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S/ 000</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1Q19</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4Q19</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1Q20</w:t>
            </w:r>
          </w:p>
        </w:tc>
        <w:tc>
          <w:tcPr>
            <w:tcW w:w="162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YoY</w:t>
            </w:r>
          </w:p>
        </w:tc>
      </w:tr>
      <w:tr>
        <w:trPr>
          <w:trHeight w:val="208"/>
        </w:trPr>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Universal Banking</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3"/>
        </w:trPr>
        <w:tc>
          <w:tcPr>
            <w:tcW w:w="4700" w:type="dxa"/>
            <w:vAlign w:val="bottom"/>
            <w:gridSpan w:val="2"/>
          </w:tcPr>
          <w:p>
            <w:pPr>
              <w:spacing w:after="0"/>
              <w:rPr>
                <w:sz w:val="20"/>
                <w:szCs w:val="20"/>
                <w:color w:val="auto"/>
              </w:rPr>
            </w:pPr>
            <w:r>
              <w:rPr>
                <w:rFonts w:ascii="Arial" w:cs="Arial" w:eastAsia="Arial" w:hAnsi="Arial"/>
                <w:sz w:val="18"/>
                <w:szCs w:val="18"/>
                <w:color w:val="auto"/>
              </w:rPr>
              <w:t>BCP Stand-alone</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815,966</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725,464</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142,204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-80.4%</w:t>
            </w: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-82.6%</w:t>
            </w:r>
          </w:p>
        </w:tc>
      </w:tr>
      <w:tr>
        <w:trPr>
          <w:trHeight w:val="213"/>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BCP Bolivia</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12,640</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13,487</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6,829</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w:t>
            </w:r>
          </w:p>
        </w:tc>
      </w:tr>
      <w:tr>
        <w:trPr>
          <w:trHeight w:val="213"/>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Microfinance</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4"/>
        </w:trPr>
        <w:tc>
          <w:tcPr>
            <w:tcW w:w="470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(1)</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99,611</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100,034</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33,326</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-66.7%</w:t>
            </w:r>
          </w:p>
        </w:tc>
        <w:tc>
          <w:tcPr>
            <w:tcW w:w="2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r>
      <w:tr>
        <w:trPr>
          <w:trHeight w:val="213"/>
        </w:trPr>
        <w:tc>
          <w:tcPr>
            <w:tcW w:w="4700" w:type="dxa"/>
            <w:vAlign w:val="bottom"/>
            <w:gridSpan w:val="2"/>
          </w:tcPr>
          <w:p>
            <w:pPr>
              <w:spacing w:after="0"/>
              <w:rPr>
                <w:sz w:val="20"/>
                <w:szCs w:val="20"/>
                <w:color w:val="auto"/>
              </w:rPr>
            </w:pPr>
            <w:r>
              <w:rPr>
                <w:rFonts w:ascii="Arial" w:cs="Arial" w:eastAsia="Arial" w:hAnsi="Arial"/>
                <w:sz w:val="18"/>
                <w:szCs w:val="18"/>
                <w:color w:val="auto"/>
              </w:rPr>
              <w:t>Bancompartir S.A</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(1,630)</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(3,412)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13"/>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Encumbra</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1,825</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1,323</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1,047</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r>
      <w:tr>
        <w:trPr>
          <w:trHeight w:val="213"/>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Insurance and Pensions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4"/>
        </w:trPr>
        <w:tc>
          <w:tcPr>
            <w:tcW w:w="470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 xml:space="preserve">Grupo Pacifico </w:t>
            </w:r>
            <w:r>
              <w:rPr>
                <w:rFonts w:ascii="Arial" w:cs="Arial" w:eastAsia="Arial" w:hAnsi="Arial"/>
                <w:sz w:val="29"/>
                <w:szCs w:val="29"/>
                <w:color w:val="auto"/>
                <w:vertAlign w:val="superscript"/>
              </w:rPr>
              <w:t>(2)</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77,157</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113,760</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98,661</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w:t>
            </w:r>
          </w:p>
        </w:tc>
      </w:tr>
      <w:tr>
        <w:trPr>
          <w:trHeight w:val="213"/>
        </w:trPr>
        <w:tc>
          <w:tcPr>
            <w:tcW w:w="4700" w:type="dxa"/>
            <w:vAlign w:val="bottom"/>
            <w:gridSpan w:val="2"/>
          </w:tcPr>
          <w:p>
            <w:pPr>
              <w:spacing w:after="0"/>
              <w:rPr>
                <w:sz w:val="20"/>
                <w:szCs w:val="20"/>
                <w:color w:val="auto"/>
              </w:rPr>
            </w:pPr>
            <w:r>
              <w:rPr>
                <w:rFonts w:ascii="Arial" w:cs="Arial" w:eastAsia="Arial" w:hAnsi="Arial"/>
                <w:sz w:val="18"/>
                <w:szCs w:val="18"/>
                <w:color w:val="auto"/>
              </w:rPr>
              <w:t>Prima AFP</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57,000</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46,829</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(4,079)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-108.7%</w:t>
            </w: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-107.2%</w:t>
            </w:r>
          </w:p>
        </w:tc>
      </w:tr>
      <w:tr>
        <w:trPr>
          <w:trHeight w:val="213"/>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Banking and Wealth Management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3"/>
        </w:trPr>
        <w:tc>
          <w:tcPr>
            <w:tcW w:w="4700" w:type="dxa"/>
            <w:vAlign w:val="bottom"/>
            <w:gridSpan w:val="2"/>
          </w:tcPr>
          <w:p>
            <w:pPr>
              <w:spacing w:after="0"/>
              <w:rPr>
                <w:sz w:val="20"/>
                <w:szCs w:val="20"/>
                <w:color w:val="auto"/>
              </w:rPr>
            </w:pPr>
            <w:r>
              <w:rPr>
                <w:rFonts w:ascii="Arial" w:cs="Arial" w:eastAsia="Arial" w:hAnsi="Arial"/>
                <w:sz w:val="18"/>
                <w:szCs w:val="18"/>
                <w:color w:val="auto"/>
              </w:rPr>
              <w:t>Credicorp Capital</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15,419</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4,631</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359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-92.2%</w:t>
            </w: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-97.7%</w:t>
            </w:r>
          </w:p>
        </w:tc>
      </w:tr>
      <w:tr>
        <w:trPr>
          <w:trHeight w:val="213"/>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49,748</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42,824</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(512)</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-101.0%</w:t>
            </w:r>
          </w:p>
        </w:tc>
      </w:tr>
      <w:tr>
        <w:trPr>
          <w:trHeight w:val="254"/>
        </w:trPr>
        <w:tc>
          <w:tcPr>
            <w:tcW w:w="4700" w:type="dxa"/>
            <w:vAlign w:val="bottom"/>
            <w:gridSpan w:val="2"/>
          </w:tcPr>
          <w:p>
            <w:pPr>
              <w:spacing w:after="0" w:line="253" w:lineRule="exact"/>
              <w:rPr>
                <w:sz w:val="20"/>
                <w:szCs w:val="20"/>
                <w:color w:val="auto"/>
              </w:rPr>
            </w:pPr>
            <w:r>
              <w:rPr>
                <w:rFonts w:ascii="Arial" w:cs="Arial" w:eastAsia="Arial" w:hAnsi="Arial"/>
                <w:sz w:val="18"/>
                <w:szCs w:val="18"/>
                <w:b w:val="1"/>
                <w:bCs w:val="1"/>
                <w:color w:val="auto"/>
              </w:rPr>
              <w:t xml:space="preserve">Others </w:t>
            </w:r>
            <w:r>
              <w:rPr>
                <w:rFonts w:ascii="Arial" w:cs="Arial" w:eastAsia="Arial" w:hAnsi="Arial"/>
                <w:sz w:val="29"/>
                <w:szCs w:val="29"/>
                <w:b w:val="1"/>
                <w:bCs w:val="1"/>
                <w:color w:val="auto"/>
                <w:vertAlign w:val="superscript"/>
              </w:rPr>
              <w:t>(3)</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(28,499)</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(73,892)</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(65,149)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128.6%</w:t>
            </w:r>
          </w:p>
        </w:tc>
      </w:tr>
      <w:tr>
        <w:trPr>
          <w:trHeight w:val="213"/>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1,100,867</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972,830</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209,274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-81.0%</w:t>
            </w:r>
          </w:p>
        </w:tc>
      </w:tr>
    </w:tbl>
    <w:p>
      <w:pPr>
        <w:spacing w:after="0" w:line="19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*Contributions to Credicorp reflect the eliminations for consolidation purposes (e.g. eliminations for transactions among Credicorp’s subsidiaries or between Credicorp and its subsidiaries).</w:t>
      </w:r>
    </w:p>
    <w:p>
      <w:pPr>
        <w:ind w:left="260" w:hanging="253"/>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figure is lower than the net income of Mibanco because Credicorp owns 99.921% of Mibanco (directly and indirectly).</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contribution is higher than Grupo Pacifico’s net income because Credicorp owns 65.20% directly, and 33.59% through Grupo Credito.</w:t>
      </w:r>
    </w:p>
    <w:p>
      <w:pPr>
        <w:spacing w:after="0" w:line="6" w:lineRule="exact"/>
        <w:rPr>
          <w:rFonts w:ascii="Arial" w:cs="Arial" w:eastAsia="Arial" w:hAnsi="Arial"/>
          <w:sz w:val="18"/>
          <w:szCs w:val="18"/>
          <w:color w:val="auto"/>
        </w:rPr>
      </w:pPr>
    </w:p>
    <w:p>
      <w:pPr>
        <w:ind w:right="400" w:firstLine="7"/>
        <w:spacing w:after="0" w:line="255" w:lineRule="auto"/>
        <w:tabs>
          <w:tab w:leader="none" w:pos="273"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Grupo Credito excluding Prima (Servicorp and Emisiones BCP Latam), others of Atlantic Security Holding Corporation and others of Credicorp Ltd.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1"/>
        </w:trPr>
        <w:tc>
          <w:tcPr>
            <w:tcW w:w="7160" w:type="dxa"/>
            <w:vAlign w:val="bottom"/>
            <w:gridSpan w:val="2"/>
          </w:tcPr>
          <w:p>
            <w:pPr>
              <w:ind w:left="3280"/>
              <w:spacing w:after="0"/>
              <w:rPr>
                <w:sz w:val="20"/>
                <w:szCs w:val="20"/>
                <w:color w:val="auto"/>
              </w:rPr>
            </w:pPr>
            <w:r>
              <w:rPr>
                <w:rFonts w:ascii="Arial" w:cs="Arial" w:eastAsia="Arial" w:hAnsi="Arial"/>
                <w:sz w:val="18"/>
                <w:szCs w:val="18"/>
                <w:b w:val="1"/>
                <w:bCs w:val="1"/>
                <w:color w:val="auto"/>
              </w:rPr>
              <w:t>ROAE</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1Q19</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4Q19</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1Q20</w:t>
            </w:r>
          </w:p>
        </w:tc>
      </w:tr>
      <w:tr>
        <w:trPr>
          <w:trHeight w:val="208"/>
        </w:trPr>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Universal Banking</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3"/>
        </w:trPr>
        <w:tc>
          <w:tcPr>
            <w:tcW w:w="7160" w:type="dxa"/>
            <w:vAlign w:val="bottom"/>
            <w:gridSpan w:val="2"/>
          </w:tcPr>
          <w:p>
            <w:pPr>
              <w:spacing w:after="0"/>
              <w:rPr>
                <w:sz w:val="20"/>
                <w:szCs w:val="20"/>
                <w:color w:val="auto"/>
              </w:rPr>
            </w:pPr>
            <w:r>
              <w:rPr>
                <w:rFonts w:ascii="Arial" w:cs="Arial" w:eastAsia="Arial" w:hAnsi="Arial"/>
                <w:sz w:val="18"/>
                <w:szCs w:val="18"/>
                <w:color w:val="auto"/>
              </w:rPr>
              <w:t>BCP Stand-alone</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3"/>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BCP Bolivia</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13"/>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Microfinance</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67"/>
        </w:trPr>
        <w:tc>
          <w:tcPr>
            <w:tcW w:w="7160" w:type="dxa"/>
            <w:vAlign w:val="bottom"/>
            <w:gridSpan w:val="2"/>
            <w:shd w:val="clear" w:color="auto" w:fill="CCEEFF"/>
          </w:tcPr>
          <w:p>
            <w:pPr>
              <w:spacing w:after="0" w:line="267"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13"/>
        </w:trPr>
        <w:tc>
          <w:tcPr>
            <w:tcW w:w="7160" w:type="dxa"/>
            <w:vAlign w:val="bottom"/>
            <w:gridSpan w:val="2"/>
          </w:tcPr>
          <w:p>
            <w:pPr>
              <w:spacing w:after="0"/>
              <w:rPr>
                <w:sz w:val="20"/>
                <w:szCs w:val="20"/>
                <w:color w:val="auto"/>
              </w:rPr>
            </w:pPr>
            <w:r>
              <w:rPr>
                <w:rFonts w:ascii="Arial" w:cs="Arial" w:eastAsia="Arial" w:hAnsi="Arial"/>
                <w:sz w:val="18"/>
                <w:szCs w:val="18"/>
                <w:color w:val="auto"/>
              </w:rPr>
              <w:t>Bancompartir</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13"/>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Encumbra</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213"/>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Insurance and Pensions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67"/>
        </w:trPr>
        <w:tc>
          <w:tcPr>
            <w:tcW w:w="7160" w:type="dxa"/>
            <w:vAlign w:val="bottom"/>
            <w:gridSpan w:val="2"/>
            <w:shd w:val="clear" w:color="auto" w:fill="CCEEFF"/>
          </w:tcPr>
          <w:p>
            <w:pPr>
              <w:spacing w:after="0" w:line="267" w:lineRule="exact"/>
              <w:rPr>
                <w:sz w:val="20"/>
                <w:szCs w:val="20"/>
                <w:color w:val="auto"/>
              </w:rPr>
            </w:pPr>
            <w:r>
              <w:rPr>
                <w:rFonts w:ascii="Arial" w:cs="Arial" w:eastAsia="Arial" w:hAnsi="Arial"/>
                <w:sz w:val="18"/>
                <w:szCs w:val="18"/>
                <w:color w:val="auto"/>
              </w:rPr>
              <w:t>Grupo Pacifico</w:t>
            </w:r>
            <w:r>
              <w:rPr>
                <w:rFonts w:ascii="Arial" w:cs="Arial" w:eastAsia="Arial" w:hAnsi="Arial"/>
                <w:sz w:val="29"/>
                <w:szCs w:val="29"/>
                <w:color w:val="auto"/>
                <w:vertAlign w:val="superscript"/>
              </w:rPr>
              <w:t>(2)</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r>
      <w:tr>
        <w:trPr>
          <w:trHeight w:val="213"/>
        </w:trPr>
        <w:tc>
          <w:tcPr>
            <w:tcW w:w="7160" w:type="dxa"/>
            <w:vAlign w:val="bottom"/>
            <w:gridSpan w:val="2"/>
          </w:tcPr>
          <w:p>
            <w:pPr>
              <w:spacing w:after="0"/>
              <w:rPr>
                <w:sz w:val="20"/>
                <w:szCs w:val="20"/>
                <w:color w:val="auto"/>
              </w:rPr>
            </w:pPr>
            <w:r>
              <w:rPr>
                <w:rFonts w:ascii="Arial" w:cs="Arial" w:eastAsia="Arial" w:hAnsi="Arial"/>
                <w:sz w:val="18"/>
                <w:szCs w:val="18"/>
                <w:color w:val="auto"/>
              </w:rPr>
              <w:t>Prima</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37.6%</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27.3%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3"/>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Banking and Wealth Management</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3"/>
        </w:trPr>
        <w:tc>
          <w:tcPr>
            <w:tcW w:w="7160" w:type="dxa"/>
            <w:vAlign w:val="bottom"/>
            <w:gridSpan w:val="2"/>
          </w:tcPr>
          <w:p>
            <w:pPr>
              <w:spacing w:after="0"/>
              <w:rPr>
                <w:sz w:val="20"/>
                <w:szCs w:val="20"/>
                <w:color w:val="auto"/>
              </w:rPr>
            </w:pPr>
            <w:r>
              <w:rPr>
                <w:rFonts w:ascii="Arial" w:cs="Arial" w:eastAsia="Arial" w:hAnsi="Arial"/>
                <w:sz w:val="18"/>
                <w:szCs w:val="18"/>
                <w:color w:val="auto"/>
              </w:rPr>
              <w:t>Credicorp Capital</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3"/>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Credicorp</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18.5%</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14.9%</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3.4%</w:t>
            </w:r>
          </w:p>
        </w:tc>
      </w:tr>
    </w:tbl>
    <w:p>
      <w:pPr>
        <w:spacing w:after="0" w:line="182" w:lineRule="exact"/>
        <w:rPr>
          <w:sz w:val="20"/>
          <w:szCs w:val="20"/>
          <w:color w:val="auto"/>
        </w:rPr>
      </w:pPr>
    </w:p>
    <w:p>
      <w:pPr>
        <w:ind w:left="320" w:hanging="313"/>
        <w:spacing w:after="0" w:line="255"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ROAE including goodwill of BCP from the acquisition of Edyficar (Approximately US$ 50.7 million) was 19.8% in 1Q19, 18.2% in 4Q19 and 6.1% in 1Q20.</w:t>
      </w:r>
    </w:p>
    <w:p>
      <w:pPr>
        <w:ind w:left="280" w:hanging="273"/>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Figures include unrealized gains or losses that are considered in Pacifico’s Net Equity from the investment portfolio of Pacifico Vida.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ROAE excluding such unrealized gains was 14.4% in 1Q19, 19.9% in 4Q19 and 16.5% in 1Q20.</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ind w:left="460" w:hanging="453"/>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At the end of March 2020, IEAs posted growth of +4.6% QoQ. This expansion was mainly attributable to an increase in loan and investment balances. The YoY evolution, which eliminates the effects of seasonality on loans, reflects growth of +11.6% in IEA, which was primarily driven by loan expansion, and, albeit to a lesser extent, by an increase in available funds and investments. Loans, the most profitable asset, registered growth of+1.0% QoQ and +7.8% YoY in average daily balances. This was mainly attributable to the increase in loans at BCP Stand-alone, which was led by the Retail Banking portfolio.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ind w:left="88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1"/>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Mar 19</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Dec 19</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Mar 20</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48"/>
        </w:trPr>
        <w:tc>
          <w:tcPr>
            <w:tcW w:w="4480" w:type="dxa"/>
            <w:vAlign w:val="bottom"/>
            <w:shd w:val="clear" w:color="auto" w:fill="CCEEFF"/>
          </w:tcPr>
          <w:p>
            <w:pPr>
              <w:spacing w:after="0" w:line="247" w:lineRule="exact"/>
              <w:rPr>
                <w:sz w:val="20"/>
                <w:szCs w:val="20"/>
                <w:color w:val="auto"/>
              </w:rPr>
            </w:pPr>
            <w:r>
              <w:rPr>
                <w:rFonts w:ascii="Arial" w:cs="Arial" w:eastAsia="Arial" w:hAnsi="Arial"/>
                <w:sz w:val="17"/>
                <w:szCs w:val="17"/>
                <w:color w:val="auto"/>
              </w:rPr>
              <w:t>Cash and due from banks</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14,816,077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19,690,884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19,162,140</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r>
      <w:tr>
        <w:trPr>
          <w:trHeight w:val="254"/>
        </w:trPr>
        <w:tc>
          <w:tcPr>
            <w:tcW w:w="4580" w:type="dxa"/>
            <w:vAlign w:val="bottom"/>
            <w:gridSpan w:val="2"/>
          </w:tcPr>
          <w:p>
            <w:pPr>
              <w:spacing w:after="0" w:line="253" w:lineRule="exact"/>
              <w:rPr>
                <w:sz w:val="20"/>
                <w:szCs w:val="20"/>
                <w:color w:val="auto"/>
              </w:rPr>
            </w:pPr>
            <w:r>
              <w:rPr>
                <w:rFonts w:ascii="Arial" w:cs="Arial" w:eastAsia="Arial" w:hAnsi="Arial"/>
                <w:sz w:val="18"/>
                <w:szCs w:val="18"/>
                <w:color w:val="auto"/>
              </w:rPr>
              <w:t xml:space="preserve">Interbank funds </w:t>
            </w:r>
            <w:r>
              <w:rPr>
                <w:rFonts w:ascii="Arial" w:cs="Arial" w:eastAsia="Arial" w:hAnsi="Arial"/>
                <w:sz w:val="29"/>
                <w:szCs w:val="29"/>
                <w:color w:val="auto"/>
                <w:vertAlign w:val="superscript"/>
              </w:rPr>
              <w:t>(1)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288,093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111,575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376,289</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237.3%</w:t>
            </w:r>
          </w:p>
        </w:tc>
        <w:tc>
          <w:tcPr>
            <w:tcW w:w="32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r>
      <w:tr>
        <w:trPr>
          <w:trHeight w:val="213"/>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34,960,529</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33,547,444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36,638,448</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199"/>
        </w:trPr>
        <w:tc>
          <w:tcPr>
            <w:tcW w:w="4580" w:type="dxa"/>
            <w:vAlign w:val="bottom"/>
            <w:gridSpan w:val="2"/>
          </w:tcPr>
          <w:p>
            <w:pPr>
              <w:spacing w:after="0" w:line="199" w:lineRule="exact"/>
              <w:rPr>
                <w:sz w:val="20"/>
                <w:szCs w:val="20"/>
                <w:color w:val="auto"/>
              </w:rPr>
            </w:pPr>
            <w:r>
              <w:rPr>
                <w:rFonts w:ascii="Arial" w:cs="Arial" w:eastAsia="Arial" w:hAnsi="Arial"/>
                <w:sz w:val="18"/>
                <w:szCs w:val="18"/>
                <w:color w:val="auto"/>
                <w:w w:val="91"/>
              </w:rPr>
              <w:t>Cash collateral, reverse repurchase agreements and securities</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7"/>
        </w:trPr>
        <w:tc>
          <w:tcPr>
            <w:tcW w:w="4580" w:type="dxa"/>
            <w:vAlign w:val="bottom"/>
            <w:gridSpan w:val="2"/>
          </w:tcPr>
          <w:p>
            <w:pPr>
              <w:spacing w:after="0"/>
              <w:rPr>
                <w:sz w:val="20"/>
                <w:szCs w:val="20"/>
                <w:color w:val="auto"/>
              </w:rPr>
            </w:pPr>
            <w:r>
              <w:rPr>
                <w:rFonts w:ascii="Arial" w:cs="Arial" w:eastAsia="Arial" w:hAnsi="Arial"/>
                <w:sz w:val="18"/>
                <w:szCs w:val="18"/>
                <w:color w:val="auto"/>
              </w:rPr>
              <w:t>borrow ing</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4,026,447</w:t>
            </w:r>
          </w:p>
        </w:tc>
        <w:tc>
          <w:tcPr>
            <w:tcW w:w="1120" w:type="dxa"/>
            <w:vAlign w:val="bottom"/>
          </w:tcPr>
          <w:p>
            <w:pPr>
              <w:jc w:val="right"/>
              <w:spacing w:after="0"/>
              <w:rPr>
                <w:sz w:val="20"/>
                <w:szCs w:val="20"/>
                <w:color w:val="auto"/>
              </w:rPr>
            </w:pPr>
            <w:r>
              <w:rPr>
                <w:rFonts w:ascii="Arial" w:cs="Arial" w:eastAsia="Arial" w:hAnsi="Arial"/>
                <w:sz w:val="18"/>
                <w:szCs w:val="18"/>
                <w:color w:val="auto"/>
              </w:rPr>
              <w:t>4,288,524</w:t>
            </w: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4,424,345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14"/>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Financial assets designated at fair value through profit or loss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576,618</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620,544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559,321</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54"/>
        </w:trPr>
        <w:tc>
          <w:tcPr>
            <w:tcW w:w="4580" w:type="dxa"/>
            <w:vAlign w:val="bottom"/>
            <w:gridSpan w:val="2"/>
          </w:tcPr>
          <w:p>
            <w:pPr>
              <w:spacing w:after="0" w:line="253" w:lineRule="exact"/>
              <w:rPr>
                <w:sz w:val="20"/>
                <w:szCs w:val="20"/>
                <w:color w:val="auto"/>
              </w:rPr>
            </w:pPr>
            <w:r>
              <w:rPr>
                <w:rFonts w:ascii="Arial" w:cs="Arial" w:eastAsia="Arial" w:hAnsi="Arial"/>
                <w:sz w:val="18"/>
                <w:szCs w:val="18"/>
                <w:color w:val="auto"/>
              </w:rPr>
              <w:t xml:space="preserve">Total loans </w:t>
            </w:r>
            <w:r>
              <w:rPr>
                <w:rFonts w:ascii="Arial" w:cs="Arial" w:eastAsia="Arial" w:hAnsi="Arial"/>
                <w:sz w:val="29"/>
                <w:szCs w:val="29"/>
                <w:color w:val="auto"/>
                <w:vertAlign w:val="superscript"/>
              </w:rPr>
              <w:t>(2)</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108,350,384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115,609,679</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120,708,515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r>
      <w:tr>
        <w:trPr>
          <w:trHeight w:val="213"/>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163,018,148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173,868,650</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181,869,058</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r>
    </w:tbl>
    <w:p>
      <w:pPr>
        <w:spacing w:after="0" w:line="199" w:lineRule="exact"/>
        <w:rPr>
          <w:sz w:val="20"/>
          <w:szCs w:val="20"/>
          <w:color w:val="auto"/>
        </w:rPr>
      </w:pPr>
    </w:p>
    <w:p>
      <w:pPr>
        <w:ind w:left="260" w:hanging="253"/>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Quarter-end balances.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1"/>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Mar 19</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Dec 19</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Mar 20</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7"/>
              </w:rPr>
              <w:t>QoQ</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08"/>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Fair value through profit or loss investments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4,136,148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3,864,531</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4,021,899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13"/>
        </w:trPr>
        <w:tc>
          <w:tcPr>
            <w:tcW w:w="4580" w:type="dxa"/>
            <w:vAlign w:val="bottom"/>
            <w:gridSpan w:val="2"/>
          </w:tcPr>
          <w:p>
            <w:pPr>
              <w:spacing w:after="0"/>
              <w:rPr>
                <w:sz w:val="20"/>
                <w:szCs w:val="20"/>
                <w:color w:val="auto"/>
              </w:rPr>
            </w:pPr>
            <w:r>
              <w:rPr>
                <w:rFonts w:ascii="Arial" w:cs="Arial" w:eastAsia="Arial" w:hAnsi="Arial"/>
                <w:sz w:val="18"/>
                <w:szCs w:val="18"/>
                <w:color w:val="auto"/>
                <w:w w:val="94"/>
              </w:rPr>
              <w:t>Fair value through other comprehensive income investments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27,184,560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26,205,867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28,374,836</w:t>
            </w:r>
          </w:p>
        </w:tc>
        <w:tc>
          <w:tcPr>
            <w:tcW w:w="7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13"/>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cost investments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3,639,821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3,477,046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4,241,713</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22.0%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34,960,529</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33,547,444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36,638,448</w:t>
            </w:r>
          </w:p>
        </w:tc>
        <w:tc>
          <w:tcPr>
            <w:tcW w:w="78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w:t>
            </w:r>
          </w:p>
        </w:tc>
        <w:tc>
          <w:tcPr>
            <w:tcW w:w="3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4.8%</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Evolution of IEA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loans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loans, measured in quarter-end balances, grew +4.4% QoQ. It is important to note that this growth is mainly attributable to the translation effect on the FC portfolio, which was spurred by a 3.7% appreciation in the US Dollar. If we exclude this effect, total loans would have grown 2.9% in real terms. At the end of March 2020, FC loans represented 40.1% of total loans measured in quarter-end balances. The portfolio’s quarterly evolution was mainly attributable to shifts in loan balances at BCP Stand-alone, which posted mixed results:</w:t>
      </w:r>
    </w:p>
    <w:p>
      <w:pPr>
        <w:spacing w:after="0" w:line="188" w:lineRule="exact"/>
        <w:rPr>
          <w:sz w:val="20"/>
          <w:szCs w:val="20"/>
          <w:color w:val="auto"/>
        </w:rPr>
      </w:pPr>
    </w:p>
    <w:p>
      <w:pPr>
        <w:ind w:left="880" w:hanging="500"/>
        <w:spacing w:after="0" w:line="270"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largest increase in the portfolio was driven by Wholesale banking, which registered double-digit growth (+10.5% QoQ). This was primarily attributable to the translation effect caused by the appreciation of the US Dollar.</w:t>
      </w:r>
    </w:p>
    <w:p>
      <w:pPr>
        <w:spacing w:after="0" w:line="174" w:lineRule="exact"/>
        <w:rPr>
          <w:rFonts w:ascii="Arial" w:cs="Arial" w:eastAsia="Arial" w:hAnsi="Arial"/>
          <w:sz w:val="18"/>
          <w:szCs w:val="18"/>
          <w:color w:val="auto"/>
        </w:rPr>
      </w:pPr>
    </w:p>
    <w:p>
      <w:pPr>
        <w:jc w:val="both"/>
        <w:ind w:left="880" w:hanging="500"/>
        <w:spacing w:after="0" w:line="255"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Retail Banking portfolio remained stable, registering positive variations in the balances of the Mortgage, Consumer and Business segments while the Credit Card and SME-Pyme segments reported negative variations. It is important to note that the SME-Pyme segment registers a degree of seasonality in 1Q every year when balances fall in comparison to those reported in the last few months of the previous year, which are bolstered by Christmas and year-end campaigns.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YoY, loans increased +11.4% (+9.9% YoY if we exclude the exchange rate variation). This growth was attributable to expansion across all segments in 2019, which was attributable, in order of the contribution to total growth, to the following:</w:t>
      </w:r>
    </w:p>
    <w:p>
      <w:pPr>
        <w:spacing w:after="0" w:line="175" w:lineRule="exact"/>
        <w:rPr>
          <w:sz w:val="20"/>
          <w:szCs w:val="20"/>
          <w:color w:val="auto"/>
        </w:rPr>
      </w:pPr>
    </w:p>
    <w:p>
      <w:pPr>
        <w:ind w:left="880" w:right="20" w:hanging="500"/>
        <w:spacing w:after="0" w:line="270"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the Wholesale Banking portfolio, led by Corporate Banking; this was primarily attributable to an increase in loan disbursements for medium and long-term loans in LC and to financing for working capital in both LC and FC.</w:t>
      </w:r>
    </w:p>
    <w:p>
      <w:pPr>
        <w:spacing w:after="0" w:line="174" w:lineRule="exact"/>
        <w:rPr>
          <w:rFonts w:ascii="Arial" w:cs="Arial" w:eastAsia="Arial" w:hAnsi="Arial"/>
          <w:sz w:val="18"/>
          <w:szCs w:val="18"/>
          <w:color w:val="auto"/>
        </w:rPr>
      </w:pPr>
    </w:p>
    <w:p>
      <w:pPr>
        <w:ind w:left="880" w:hanging="500"/>
        <w:spacing w:after="0" w:line="270"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Retail Banking loans, which was led by the Mortgage segment and followed by the Consumer, SME Business, SME-Pyme and Credit Card segments.</w:t>
      </w:r>
    </w:p>
    <w:p>
      <w:pPr>
        <w:spacing w:after="0" w:line="174" w:lineRule="exact"/>
        <w:rPr>
          <w:rFonts w:ascii="Arial" w:cs="Arial" w:eastAsia="Arial" w:hAnsi="Arial"/>
          <w:sz w:val="18"/>
          <w:szCs w:val="18"/>
          <w:color w:val="auto"/>
        </w:rPr>
      </w:pPr>
    </w:p>
    <w:p>
      <w:pPr>
        <w:ind w:left="880" w:hanging="50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in Mibanco’s portfolio (+5.3% YoY) and BCP Bolivia (+4.3% YoY)</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investments increased +4.8% YoY. In the QoQ evolution, total investments rose +9.2%. Expansion was driven by growth in the fair value through other comprehensive income portfolio (formerly investments available for sale) at BCP Stand-alone, which was driven by purchases of low risk assets in a context of attractive prices due to the adverse scenario generated by COVID-19. This phenomenon has depressed the markets and financial assets across the globe but on the flip side, has generated investment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IEA</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Available funds fell -2.7% QoQ after a reduction was registered in FC funds, which were transferred to other profitable assets when the Central Bank freed up reserves to inject liquidity into the financial system to battle the effects of COVID-19. In the YoY evolution, available funds grew +29.3%, driven by an increase in FC funds held in BCRP and, to a lesser extent, by an increase in FC balances held in foreign Banks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Credicorp Loans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Loan evolution by business segment</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shows the structure of loans by subsidiary and business segment measured in average daily balances. These balances provide the most complete picture of how loan interests, which constitutes Credicorp’s primary source of income, has evolved. Additionally, average daily balances reflect trends or variations to a different degree than quarter-end balances which may include pre-payments or loans made at the end of the quarter. In comparative terms, these payments, affect average daily balances less than quarter-end balances and as such, the former provide a more balanced picture of loan evolution.</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Average daily balances registered growth of +1.0% QoQ due to an increase in the balances of Consumer, Mortgage and Corporate Banking loans within BCP, and growth in Mibanco. This was partially offset by the drop in SME-Business and Middle Market banking within BCP. In the YoY evolution, growth in average daily loan balances was situated at +7.8%, driven by an upward tick in 2019 that was led by the Mortgage, Consumer and SME-Pyme segments in Retail Banking and the Corporate Banking segment in Wholesale Banking. Growth QoQ and YoY in loan balances were concentrated in local currency.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Loan evolution measured in average daily balances by segment </w:t>
      </w:r>
      <w:r>
        <w:rPr>
          <w:rFonts w:ascii="Arial" w:cs="Arial" w:eastAsia="Arial" w:hAnsi="Arial"/>
          <w:sz w:val="29"/>
          <w:szCs w:val="29"/>
          <w:b w:val="1"/>
          <w:bCs w:val="1"/>
          <w:color w:val="auto"/>
          <w:vertAlign w:val="superscript"/>
        </w:rPr>
        <w:t>(1)(2)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TOTAL LOANS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5"/>
            <w:vMerge w:val="restart"/>
          </w:tcPr>
          <w:p>
            <w:pPr>
              <w:jc w:val="right"/>
              <w:ind w:right="66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8"/>
                <w:szCs w:val="18"/>
                <w:color w:val="auto"/>
              </w:rPr>
            </w:pPr>
          </w:p>
        </w:tc>
        <w:tc>
          <w:tcPr>
            <w:tcW w:w="2240" w:type="dxa"/>
            <w:vAlign w:val="bottom"/>
            <w:gridSpan w:val="5"/>
            <w:vMerge w:val="restart"/>
          </w:tcPr>
          <w:p>
            <w:pPr>
              <w:jc w:val="center"/>
              <w:ind w:left="451"/>
              <w:spacing w:after="0"/>
              <w:rPr>
                <w:sz w:val="20"/>
                <w:szCs w:val="20"/>
                <w:color w:val="auto"/>
              </w:rPr>
            </w:pPr>
            <w:r>
              <w:rPr>
                <w:rFonts w:ascii="Arial" w:cs="Arial" w:eastAsia="Arial" w:hAnsi="Arial"/>
                <w:sz w:val="18"/>
                <w:szCs w:val="18"/>
                <w:b w:val="1"/>
                <w:bCs w:val="1"/>
                <w:color w:val="auto"/>
                <w:w w:val="91"/>
              </w:rPr>
              <w:t>% Part. in total loans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2960" w:type="dxa"/>
            <w:vAlign w:val="bottom"/>
            <w:gridSpan w:val="6"/>
          </w:tcPr>
          <w:p>
            <w:pPr>
              <w:jc w:val="right"/>
              <w:ind w:right="820"/>
              <w:spacing w:after="0"/>
              <w:rPr>
                <w:sz w:val="20"/>
                <w:szCs w:val="20"/>
                <w:color w:val="auto"/>
              </w:rPr>
            </w:pPr>
            <w:r>
              <w:rPr>
                <w:rFonts w:ascii="Arial" w:cs="Arial" w:eastAsia="Arial" w:hAnsi="Arial"/>
                <w:sz w:val="18"/>
                <w:szCs w:val="18"/>
                <w:i w:val="1"/>
                <w:iCs w:val="1"/>
                <w:color w:val="auto"/>
              </w:rPr>
              <w:t>Expressed in million S/</w:t>
            </w:r>
          </w:p>
        </w:tc>
        <w:tc>
          <w:tcPr>
            <w:tcW w:w="1900" w:type="dxa"/>
            <w:vAlign w:val="bottom"/>
            <w:gridSpan w:val="5"/>
            <w:vMerge w:val="continue"/>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5"/>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auto"/>
              </w:rPr>
              <w:t>BCP Stand-alone</w:t>
            </w: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1Q19</w:t>
            </w:r>
          </w:p>
        </w:tc>
        <w:tc>
          <w:tcPr>
            <w:tcW w:w="320" w:type="dxa"/>
            <w:vAlign w:val="bottom"/>
          </w:tcPr>
          <w:p>
            <w:pPr>
              <w:spacing w:after="0"/>
              <w:rPr>
                <w:sz w:val="20"/>
                <w:szCs w:val="20"/>
                <w:color w:val="auto"/>
              </w:rPr>
            </w:pP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4Q19</w:t>
            </w:r>
          </w:p>
        </w:tc>
        <w:tc>
          <w:tcPr>
            <w:tcW w:w="320" w:type="dxa"/>
            <w:vAlign w:val="bottom"/>
          </w:tcPr>
          <w:p>
            <w:pPr>
              <w:spacing w:after="0"/>
              <w:rPr>
                <w:sz w:val="20"/>
                <w:szCs w:val="20"/>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1Q20</w:t>
            </w:r>
          </w:p>
        </w:tc>
        <w:tc>
          <w:tcPr>
            <w:tcW w:w="320" w:type="dxa"/>
            <w:vAlign w:val="bottom"/>
          </w:tcPr>
          <w:p>
            <w:pPr>
              <w:spacing w:after="0"/>
              <w:rPr>
                <w:sz w:val="20"/>
                <w:szCs w:val="20"/>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QoQ</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1Q19</w:t>
            </w:r>
          </w:p>
        </w:tc>
        <w:tc>
          <w:tcPr>
            <w:tcW w:w="40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4Q19</w:t>
            </w: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1Q20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18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88,020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94,390</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95,083</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0.7%</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8.0%</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81.9%</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82.3%</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82.1%</w:t>
            </w:r>
          </w:p>
        </w:tc>
        <w:tc>
          <w:tcPr>
            <w:tcW w:w="0" w:type="dxa"/>
            <w:vAlign w:val="bottom"/>
          </w:tcPr>
          <w:p>
            <w:pPr>
              <w:spacing w:after="0"/>
              <w:rPr>
                <w:sz w:val="1"/>
                <w:szCs w:val="1"/>
                <w:color w:val="auto"/>
              </w:rPr>
            </w:pPr>
          </w:p>
        </w:tc>
      </w:tr>
      <w:tr>
        <w:trPr>
          <w:trHeight w:val="213"/>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Wholesale Banking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45,299</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47,446</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47,658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0" w:type="dxa"/>
            <w:vAlign w:val="bottom"/>
          </w:tcPr>
          <w:p>
            <w:pPr>
              <w:spacing w:after="0"/>
              <w:rPr>
                <w:sz w:val="1"/>
                <w:szCs w:val="1"/>
                <w:color w:val="auto"/>
              </w:rPr>
            </w:pPr>
          </w:p>
        </w:tc>
      </w:tr>
      <w:tr>
        <w:trPr>
          <w:trHeight w:val="213"/>
        </w:trPr>
        <w:tc>
          <w:tcPr>
            <w:tcW w:w="3180" w:type="dxa"/>
            <w:vAlign w:val="bottom"/>
          </w:tcPr>
          <w:p>
            <w:pPr>
              <w:ind w:left="240"/>
              <w:spacing w:after="0"/>
              <w:rPr>
                <w:sz w:val="20"/>
                <w:szCs w:val="20"/>
                <w:color w:val="auto"/>
              </w:rPr>
            </w:pPr>
            <w:r>
              <w:rPr>
                <w:rFonts w:ascii="Arial" w:cs="Arial" w:eastAsia="Arial" w:hAnsi="Arial"/>
                <w:sz w:val="18"/>
                <w:szCs w:val="18"/>
                <w:color w:val="auto"/>
              </w:rPr>
              <w:t>Corporate</w:t>
            </w:r>
          </w:p>
        </w:tc>
        <w:tc>
          <w:tcPr>
            <w:tcW w:w="660" w:type="dxa"/>
            <w:vAlign w:val="bottom"/>
          </w:tcPr>
          <w:p>
            <w:pPr>
              <w:jc w:val="right"/>
              <w:spacing w:after="0"/>
              <w:rPr>
                <w:sz w:val="20"/>
                <w:szCs w:val="20"/>
                <w:color w:val="auto"/>
              </w:rPr>
            </w:pPr>
            <w:r>
              <w:rPr>
                <w:rFonts w:ascii="Arial" w:cs="Arial" w:eastAsia="Arial" w:hAnsi="Arial"/>
                <w:sz w:val="18"/>
                <w:szCs w:val="18"/>
                <w:color w:val="auto"/>
              </w:rPr>
              <w:t>27,670</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28,860</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29,146</w:t>
            </w:r>
          </w:p>
        </w:tc>
        <w:tc>
          <w:tcPr>
            <w:tcW w:w="840" w:type="dxa"/>
            <w:vAlign w:val="bottom"/>
            <w:gridSpan w:val="2"/>
            <w:shd w:val="clear" w:color="auto" w:fill="C5D9F1"/>
          </w:tcPr>
          <w:p>
            <w:pPr>
              <w:jc w:val="right"/>
              <w:ind w:right="40"/>
              <w:spacing w:after="0"/>
              <w:rPr>
                <w:sz w:val="20"/>
                <w:szCs w:val="20"/>
                <w:color w:val="auto"/>
              </w:rPr>
            </w:pPr>
            <w:r>
              <w:rPr>
                <w:rFonts w:ascii="Arial" w:cs="Arial" w:eastAsia="Arial" w:hAnsi="Arial"/>
                <w:sz w:val="18"/>
                <w:szCs w:val="18"/>
                <w:color w:val="auto"/>
              </w:rPr>
              <w:t>1.0%</w:t>
            </w:r>
          </w:p>
        </w:tc>
        <w:tc>
          <w:tcPr>
            <w:tcW w:w="1060" w:type="dxa"/>
            <w:vAlign w:val="bottom"/>
            <w:gridSpan w:val="3"/>
            <w:shd w:val="clear" w:color="auto" w:fill="C5D9F1"/>
          </w:tcPr>
          <w:p>
            <w:pPr>
              <w:jc w:val="right"/>
              <w:ind w:right="40"/>
              <w:spacing w:after="0"/>
              <w:rPr>
                <w:sz w:val="20"/>
                <w:szCs w:val="20"/>
                <w:color w:val="auto"/>
              </w:rPr>
            </w:pPr>
            <w:r>
              <w:rPr>
                <w:rFonts w:ascii="Arial" w:cs="Arial" w:eastAsia="Arial" w:hAnsi="Arial"/>
                <w:sz w:val="18"/>
                <w:szCs w:val="18"/>
                <w:color w:val="auto"/>
              </w:rPr>
              <w:t>5.3%</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25.7%</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3"/>
        </w:trPr>
        <w:tc>
          <w:tcPr>
            <w:tcW w:w="3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Middle - Market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17,629</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18,586</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18,511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16.4%</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3"/>
        </w:trPr>
        <w:tc>
          <w:tcPr>
            <w:tcW w:w="3180" w:type="dxa"/>
            <w:vAlign w:val="bottom"/>
          </w:tcPr>
          <w:p>
            <w:pPr>
              <w:ind w:left="140"/>
              <w:spacing w:after="0"/>
              <w:rPr>
                <w:sz w:val="20"/>
                <w:szCs w:val="20"/>
                <w:color w:val="auto"/>
              </w:rPr>
            </w:pPr>
            <w:r>
              <w:rPr>
                <w:rFonts w:ascii="Arial" w:cs="Arial" w:eastAsia="Arial" w:hAnsi="Arial"/>
                <w:sz w:val="18"/>
                <w:szCs w:val="18"/>
                <w:b w:val="1"/>
                <w:bCs w:val="1"/>
                <w:color w:val="auto"/>
              </w:rPr>
              <w:t>Retail Banking</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42,720</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46,944</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47,425</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11.0%</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39.8%</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41.0%</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40.9%</w:t>
            </w:r>
          </w:p>
        </w:tc>
        <w:tc>
          <w:tcPr>
            <w:tcW w:w="0" w:type="dxa"/>
            <w:vAlign w:val="bottom"/>
          </w:tcPr>
          <w:p>
            <w:pPr>
              <w:spacing w:after="0"/>
              <w:rPr>
                <w:sz w:val="1"/>
                <w:szCs w:val="1"/>
                <w:color w:val="auto"/>
              </w:rPr>
            </w:pPr>
          </w:p>
        </w:tc>
      </w:tr>
      <w:tr>
        <w:trPr>
          <w:trHeight w:val="213"/>
        </w:trPr>
        <w:tc>
          <w:tcPr>
            <w:tcW w:w="3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SME - Business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5,806</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5,456</w:t>
            </w:r>
          </w:p>
        </w:tc>
        <w:tc>
          <w:tcPr>
            <w:tcW w:w="840" w:type="dxa"/>
            <w:vAlign w:val="bottom"/>
            <w:gridSpan w:val="2"/>
            <w:shd w:val="clear" w:color="auto" w:fill="FCD5B4"/>
          </w:tcPr>
          <w:p>
            <w:pPr>
              <w:jc w:val="right"/>
              <w:ind w:right="40"/>
              <w:spacing w:after="0"/>
              <w:rPr>
                <w:sz w:val="20"/>
                <w:szCs w:val="20"/>
                <w:color w:val="auto"/>
              </w:rPr>
            </w:pPr>
            <w:r>
              <w:rPr>
                <w:rFonts w:ascii="Arial" w:cs="Arial" w:eastAsia="Arial" w:hAnsi="Arial"/>
                <w:sz w:val="18"/>
                <w:szCs w:val="18"/>
                <w:color w:val="auto"/>
              </w:rPr>
              <w:t>-6.0%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3"/>
        </w:trPr>
        <w:tc>
          <w:tcPr>
            <w:tcW w:w="3180" w:type="dxa"/>
            <w:vAlign w:val="bottom"/>
          </w:tcPr>
          <w:p>
            <w:pPr>
              <w:ind w:left="240"/>
              <w:spacing w:after="0"/>
              <w:rPr>
                <w:sz w:val="20"/>
                <w:szCs w:val="20"/>
                <w:color w:val="auto"/>
              </w:rPr>
            </w:pPr>
            <w:r>
              <w:rPr>
                <w:rFonts w:ascii="Arial" w:cs="Arial" w:eastAsia="Arial" w:hAnsi="Arial"/>
                <w:sz w:val="18"/>
                <w:szCs w:val="18"/>
                <w:color w:val="auto"/>
              </w:rPr>
              <w:t>SME - Pyme</w:t>
            </w:r>
          </w:p>
        </w:tc>
        <w:tc>
          <w:tcPr>
            <w:tcW w:w="660" w:type="dxa"/>
            <w:vAlign w:val="bottom"/>
          </w:tcPr>
          <w:p>
            <w:pPr>
              <w:jc w:val="right"/>
              <w:spacing w:after="0"/>
              <w:rPr>
                <w:sz w:val="20"/>
                <w:szCs w:val="20"/>
                <w:color w:val="auto"/>
              </w:rPr>
            </w:pPr>
            <w:r>
              <w:rPr>
                <w:rFonts w:ascii="Arial" w:cs="Arial" w:eastAsia="Arial" w:hAnsi="Arial"/>
                <w:sz w:val="18"/>
                <w:szCs w:val="18"/>
                <w:color w:val="auto"/>
              </w:rPr>
              <w:t>9,413</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10,194</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10,330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9.7%</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8.8%</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3"/>
        </w:trPr>
        <w:tc>
          <w:tcPr>
            <w:tcW w:w="3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Mortgage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16,590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16,905</w:t>
            </w:r>
          </w:p>
        </w:tc>
        <w:tc>
          <w:tcPr>
            <w:tcW w:w="840" w:type="dxa"/>
            <w:vAlign w:val="bottom"/>
            <w:gridSpan w:val="2"/>
            <w:shd w:val="clear" w:color="auto" w:fill="C5D9F1"/>
          </w:tcPr>
          <w:p>
            <w:pPr>
              <w:jc w:val="right"/>
              <w:ind w:right="40"/>
              <w:spacing w:after="0"/>
              <w:rPr>
                <w:sz w:val="20"/>
                <w:szCs w:val="20"/>
                <w:color w:val="auto"/>
              </w:rPr>
            </w:pPr>
            <w:r>
              <w:rPr>
                <w:rFonts w:ascii="Arial" w:cs="Arial" w:eastAsia="Arial" w:hAnsi="Arial"/>
                <w:sz w:val="18"/>
                <w:szCs w:val="18"/>
                <w:color w:val="auto"/>
              </w:rPr>
              <w:t>1.9%</w:t>
            </w:r>
          </w:p>
        </w:tc>
        <w:tc>
          <w:tcPr>
            <w:tcW w:w="1060" w:type="dxa"/>
            <w:vAlign w:val="bottom"/>
            <w:gridSpan w:val="3"/>
            <w:shd w:val="clear" w:color="auto" w:fill="C5D9F1"/>
          </w:tcPr>
          <w:p>
            <w:pPr>
              <w:jc w:val="right"/>
              <w:ind w:right="40"/>
              <w:spacing w:after="0"/>
              <w:rPr>
                <w:sz w:val="20"/>
                <w:szCs w:val="20"/>
                <w:color w:val="auto"/>
              </w:rPr>
            </w:pPr>
            <w:r>
              <w:rPr>
                <w:rFonts w:ascii="Arial" w:cs="Arial" w:eastAsia="Arial" w:hAnsi="Arial"/>
                <w:sz w:val="18"/>
                <w:szCs w:val="18"/>
                <w:color w:val="auto"/>
              </w:rPr>
              <w:t>12.0%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14.1%</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3"/>
        </w:trPr>
        <w:tc>
          <w:tcPr>
            <w:tcW w:w="3180" w:type="dxa"/>
            <w:vAlign w:val="bottom"/>
          </w:tcPr>
          <w:p>
            <w:pPr>
              <w:ind w:left="240"/>
              <w:spacing w:after="0"/>
              <w:rPr>
                <w:sz w:val="20"/>
                <w:szCs w:val="20"/>
                <w:color w:val="auto"/>
              </w:rPr>
            </w:pPr>
            <w:r>
              <w:rPr>
                <w:rFonts w:ascii="Arial" w:cs="Arial" w:eastAsia="Arial" w:hAnsi="Arial"/>
                <w:sz w:val="18"/>
                <w:szCs w:val="18"/>
                <w:color w:val="auto"/>
              </w:rPr>
              <w:t>Consumer</w:t>
            </w:r>
          </w:p>
        </w:tc>
        <w:tc>
          <w:tcPr>
            <w:tcW w:w="660" w:type="dxa"/>
            <w:vAlign w:val="bottom"/>
          </w:tcPr>
          <w:p>
            <w:pPr>
              <w:jc w:val="right"/>
              <w:spacing w:after="0"/>
              <w:rPr>
                <w:sz w:val="20"/>
                <w:szCs w:val="20"/>
                <w:color w:val="auto"/>
              </w:rPr>
            </w:pPr>
            <w:r>
              <w:rPr>
                <w:rFonts w:ascii="Arial" w:cs="Arial" w:eastAsia="Arial" w:hAnsi="Arial"/>
                <w:sz w:val="18"/>
                <w:szCs w:val="18"/>
                <w:color w:val="auto"/>
              </w:rPr>
              <w:t>7,645</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8,659</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8,984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17.5%</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7.1%</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3"/>
        </w:trPr>
        <w:tc>
          <w:tcPr>
            <w:tcW w:w="3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Credit Card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5,695</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5,750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color w:val="auto"/>
              </w:rPr>
              <w:t>Mibanco</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9,910</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10,310</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10,629</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7.3%</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13"/>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Bolivia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7,096</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7,563</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7,686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color w:val="auto"/>
              </w:rPr>
              <w:t>ASB</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2,442</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2,368</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2,415</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tcPr>
          <w:p>
            <w:pPr>
              <w:spacing w:after="0"/>
              <w:rPr>
                <w:sz w:val="18"/>
                <w:szCs w:val="18"/>
                <w:color w:val="auto"/>
              </w:rPr>
            </w:pPr>
          </w:p>
        </w:tc>
        <w:tc>
          <w:tcPr>
            <w:tcW w:w="840" w:type="dxa"/>
            <w:vAlign w:val="bottom"/>
            <w:gridSpan w:val="2"/>
            <w:shd w:val="clear" w:color="auto" w:fill="FCD5B4"/>
          </w:tcPr>
          <w:p>
            <w:pPr>
              <w:jc w:val="right"/>
              <w:spacing w:after="0"/>
              <w:rPr>
                <w:sz w:val="20"/>
                <w:szCs w:val="20"/>
                <w:color w:val="auto"/>
              </w:rPr>
            </w:pPr>
            <w:r>
              <w:rPr>
                <w:rFonts w:ascii="Arial" w:cs="Arial" w:eastAsia="Arial" w:hAnsi="Arial"/>
                <w:sz w:val="18"/>
                <w:szCs w:val="18"/>
                <w:b w:val="1"/>
                <w:bCs w:val="1"/>
                <w:color w:val="auto"/>
              </w:rPr>
              <w:t>-1.1%</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3"/>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BAP's total loans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107,468</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114,631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115,813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3901440</wp:posOffset>
            </wp:positionH>
            <wp:positionV relativeFrom="paragraph">
              <wp:posOffset>-948055</wp:posOffset>
            </wp:positionV>
            <wp:extent cx="1203325" cy="271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3325" cy="271145"/>
                    </a:xfrm>
                    <a:prstGeom prst="rect">
                      <a:avLst/>
                    </a:prstGeom>
                    <a:noFill/>
                  </pic:spPr>
                </pic:pic>
              </a:graphicData>
            </a:graphic>
          </wp:anchor>
        </w:drawing>
      </w:r>
    </w:p>
    <w:p>
      <w:pPr>
        <w:spacing w:after="0" w:line="17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-121920</wp:posOffset>
            </wp:positionV>
            <wp:extent cx="406400" cy="135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6400" cy="135255"/>
                    </a:xfrm>
                    <a:prstGeom prst="rect">
                      <a:avLst/>
                    </a:prstGeom>
                    <a:noFill/>
                  </pic:spPr>
                </pic:pic>
              </a:graphicData>
            </a:graphic>
          </wp:anchor>
        </w:drawing>
      </w:r>
    </w:p>
    <w:p>
      <w:pPr>
        <w:spacing w:after="0" w:line="6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-121920</wp:posOffset>
            </wp:positionV>
            <wp:extent cx="406400" cy="135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6400" cy="135255"/>
                    </a:xfrm>
                    <a:prstGeom prst="rect">
                      <a:avLst/>
                    </a:prstGeom>
                    <a:noFill/>
                  </pic:spPr>
                </pic:pic>
              </a:graphicData>
            </a:graphic>
          </wp:anchor>
        </w:drawing>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19" w:lineRule="exact"/>
        <w:rPr>
          <w:sz w:val="20"/>
          <w:szCs w:val="20"/>
          <w:color w:val="auto"/>
        </w:rPr>
      </w:pPr>
    </w:p>
    <w:p>
      <w:pPr>
        <w:ind w:left="760" w:hanging="249"/>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6" w:lineRule="exact"/>
        <w:rPr>
          <w:rFonts w:ascii="Arial" w:cs="Arial" w:eastAsia="Arial" w:hAnsi="Arial"/>
          <w:sz w:val="18"/>
          <w:szCs w:val="18"/>
          <w:color w:val="auto"/>
        </w:rPr>
      </w:pPr>
    </w:p>
    <w:p>
      <w:pPr>
        <w:ind w:left="760" w:hanging="249"/>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Work out unit, and other banking.</w:t>
      </w:r>
    </w:p>
    <w:p>
      <w:pPr>
        <w:spacing w:after="0" w:line="200" w:lineRule="exact"/>
        <w:rPr>
          <w:sz w:val="20"/>
          <w:szCs w:val="20"/>
          <w:color w:val="auto"/>
        </w:rPr>
      </w:pPr>
    </w:p>
    <w:p>
      <w:pPr>
        <w:spacing w:after="0" w:line="220"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Loan Growth QoQ in Average Daily Balances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millions of 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15875</wp:posOffset>
            </wp:positionV>
            <wp:extent cx="6633845" cy="2440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33845" cy="244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 the analysis by segment, QoQ growth in average daily balances reflects mixed results in a context marked by COVID-19 and by a seasonal effect that pressured loan growth downwards:</w:t>
      </w:r>
    </w:p>
    <w:p>
      <w:pPr>
        <w:spacing w:after="0" w:line="175" w:lineRule="exact"/>
        <w:rPr>
          <w:sz w:val="20"/>
          <w:szCs w:val="20"/>
          <w:color w:val="auto"/>
        </w:rPr>
      </w:pPr>
    </w:p>
    <w:p>
      <w:pPr>
        <w:ind w:left="960" w:hanging="633"/>
        <w:spacing w:after="0" w:line="300" w:lineRule="auto"/>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the Retail Banking portfolio, the Consumer and Mortgage segments posted good growth, followed by SME-Pyme and Credit Cards. However, the SME-Business segment registered a drop in QoQ terms due to the seasonal effect experienced in this part of the year.</w:t>
      </w:r>
    </w:p>
    <w:p>
      <w:pPr>
        <w:spacing w:after="0" w:line="151" w:lineRule="exact"/>
        <w:rPr>
          <w:rFonts w:ascii="Arial" w:cs="Arial" w:eastAsia="Arial" w:hAnsi="Arial"/>
          <w:sz w:val="17"/>
          <w:szCs w:val="17"/>
          <w:color w:val="auto"/>
        </w:rPr>
      </w:pPr>
    </w:p>
    <w:p>
      <w:pPr>
        <w:ind w:left="960" w:hanging="633"/>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Growth in the microfinance portfolio, and, to a lesser extent, expansion in loans at BCP Bolivia.</w:t>
      </w:r>
    </w:p>
    <w:p>
      <w:pPr>
        <w:spacing w:after="0" w:line="219" w:lineRule="exact"/>
        <w:rPr>
          <w:rFonts w:ascii="Arial" w:cs="Arial" w:eastAsia="Arial" w:hAnsi="Arial"/>
          <w:sz w:val="18"/>
          <w:szCs w:val="18"/>
          <w:color w:val="auto"/>
        </w:rPr>
      </w:pPr>
    </w:p>
    <w:p>
      <w:pPr>
        <w:jc w:val="both"/>
        <w:ind w:left="960" w:hanging="633"/>
        <w:spacing w:after="0" w:line="258"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Within the Wholesale Banking portfolio, growth in Corporate Banking was attributable to an appreciation in the US Dollar given that FC loans account for 58% of total Wholesale Banking loans. The contraction in the Middle Market portfolio was even greater in real terms due to the translation effect given that 54% of all Middle Market loans are in FC.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Growth YoY in Average Daily Balances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millions of 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15875</wp:posOffset>
            </wp:positionV>
            <wp:extent cx="6583045" cy="2592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3045" cy="2592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analysis of YoY growth by segment, measured in average daily balances, reveals:</w:t>
      </w:r>
    </w:p>
    <w:p>
      <w:pPr>
        <w:spacing w:after="0" w:line="220" w:lineRule="exact"/>
        <w:rPr>
          <w:sz w:val="20"/>
          <w:szCs w:val="20"/>
          <w:color w:val="auto"/>
        </w:rPr>
      </w:pPr>
    </w:p>
    <w:p>
      <w:pPr>
        <w:jc w:val="both"/>
        <w:ind w:left="960" w:hanging="633"/>
        <w:spacing w:after="0" w:line="258"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Noteworthy growth in Retail Banking, led by expansion in the mortgage segment (+S/1,806 million, +12.0% YoY), which continued the upward climb reported in past quarters. Record growth for this segment was registered in 2019, fueled by market dynamism and Mivivienda loans.</w:t>
      </w:r>
    </w:p>
    <w:p>
      <w:pPr>
        <w:spacing w:after="0" w:line="186" w:lineRule="exact"/>
        <w:rPr>
          <w:rFonts w:ascii="Arial" w:cs="Arial" w:eastAsia="Arial" w:hAnsi="Arial"/>
          <w:sz w:val="18"/>
          <w:szCs w:val="18"/>
          <w:color w:val="auto"/>
        </w:rPr>
      </w:pPr>
    </w:p>
    <w:p>
      <w:pPr>
        <w:jc w:val="both"/>
        <w:ind w:left="960" w:hanging="633"/>
        <w:spacing w:after="0" w:line="296"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significant variations, which were registered in the Consumer segment (+S/1,339 million, +17.5% YoY), SME-Pyme (+S/917 million, +9.7%) and Credit Cards (+S/444 million, +8.4%) within Retail Banking and in the Corporate Banking (+S/1,476 million, +5.3%) and Middle Market Banking (+S/883 million, +5.0%) within Wholesale Banking. It is important to note the Corporate Banking and Middle Market Banking would have grown +3.5% (+971 million) and +3.3% (+585 million) respectively if we exclude the YoY dollar appreciation of +3.6%.</w:t>
      </w:r>
    </w:p>
    <w:p>
      <w:pPr>
        <w:spacing w:after="0" w:line="159" w:lineRule="exact"/>
        <w:rPr>
          <w:rFonts w:ascii="Arial" w:cs="Arial" w:eastAsia="Arial" w:hAnsi="Arial"/>
          <w:sz w:val="16"/>
          <w:szCs w:val="16"/>
          <w:color w:val="auto"/>
        </w:rPr>
      </w:pPr>
    </w:p>
    <w:p>
      <w:pPr>
        <w:jc w:val="both"/>
        <w:ind w:left="960" w:hanging="633"/>
        <w:spacing w:after="0" w:line="258"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Growth in Mibanco loans (+7.3% YoY), which reflects the bank’s strategy to grow its portfolio and remain focused on financial inclusion (new clients in the System) while meeting the needs of existing clients, many of whom face adversity due to the global spread of COVID-19. This phenomenon has hit microbusinesses particularly hard.</w:t>
      </w:r>
    </w:p>
    <w:p>
      <w:pPr>
        <w:spacing w:after="0" w:line="186" w:lineRule="exact"/>
        <w:rPr>
          <w:rFonts w:ascii="Arial" w:cs="Arial" w:eastAsia="Arial" w:hAnsi="Arial"/>
          <w:sz w:val="18"/>
          <w:szCs w:val="18"/>
          <w:color w:val="auto"/>
        </w:rPr>
      </w:pPr>
    </w:p>
    <w:p>
      <w:pPr>
        <w:jc w:val="both"/>
        <w:ind w:left="960" w:right="20" w:hanging="633"/>
        <w:spacing w:after="0" w:line="281"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Growth of +8.3% YoY in loans at BCP Bolivia. This evolution was primarily attributable to expansion in the Retail portfolio, which was led by the Mortgage segment (regulated portfolio) followed by the Consumer segment. Wholesale Banking also contributed to YoY growth, although to a lesser extent. Expansion in this portfolio was led by Middle Market banking, followed by Corporate Banking.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Evolution of the level of dollarization by segment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Loan evolution by currency - average daily balances </w:t>
      </w:r>
      <w:r>
        <w:rPr>
          <w:rFonts w:ascii="Arial" w:cs="Arial" w:eastAsia="Arial" w:hAnsi="Arial"/>
          <w:sz w:val="29"/>
          <w:szCs w:val="29"/>
          <w:b w:val="1"/>
          <w:bCs w:val="1"/>
          <w:color w:val="auto"/>
          <w:vertAlign w:val="superscript"/>
        </w:rPr>
        <w:t>(1)(2)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8"/>
          </w:tcPr>
          <w:p>
            <w:pPr>
              <w:jc w:val="center"/>
              <w:spacing w:after="0"/>
              <w:rPr>
                <w:sz w:val="20"/>
                <w:szCs w:val="20"/>
                <w:color w:val="auto"/>
              </w:rPr>
            </w:pPr>
            <w:r>
              <w:rPr>
                <w:rFonts w:ascii="Arial" w:cs="Arial" w:eastAsia="Arial" w:hAnsi="Arial"/>
                <w:sz w:val="12"/>
                <w:szCs w:val="12"/>
                <w:b w:val="1"/>
                <w:bCs w:val="1"/>
                <w:color w:val="auto"/>
              </w:rPr>
              <w:t>DOMESTIC CURRENCY LOANS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7"/>
          </w:tcPr>
          <w:p>
            <w:pPr>
              <w:jc w:val="center"/>
              <w:ind w:right="120"/>
              <w:spacing w:after="0"/>
              <w:rPr>
                <w:sz w:val="20"/>
                <w:szCs w:val="20"/>
                <w:color w:val="auto"/>
              </w:rPr>
            </w:pPr>
            <w:r>
              <w:rPr>
                <w:rFonts w:ascii="Arial" w:cs="Arial" w:eastAsia="Arial" w:hAnsi="Arial"/>
                <w:sz w:val="12"/>
                <w:szCs w:val="12"/>
                <w:b w:val="1"/>
                <w:bCs w:val="1"/>
                <w:color w:val="auto"/>
              </w:rPr>
              <w:t>FOREIGN CURRENCY LOANS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6"/>
              </w:rPr>
              <w:t>% part. by currency</w:t>
            </w:r>
          </w:p>
        </w:tc>
      </w:tr>
      <w:tr>
        <w:trPr>
          <w:trHeight w:val="127"/>
        </w:trPr>
        <w:tc>
          <w:tcPr>
            <w:tcW w:w="3260" w:type="dxa"/>
            <w:vAlign w:val="bottom"/>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920" w:type="dxa"/>
            <w:vAlign w:val="bottom"/>
            <w:tcBorders>
              <w:top w:val="single" w:sz="8" w:color="auto"/>
              <w:bottom w:val="single" w:sz="8" w:color="auto"/>
            </w:tcBorders>
            <w:gridSpan w:val="7"/>
          </w:tcPr>
          <w:p>
            <w:pPr>
              <w:jc w:val="center"/>
              <w:ind w:right="100"/>
              <w:spacing w:after="0" w:line="127" w:lineRule="exact"/>
              <w:rPr>
                <w:sz w:val="20"/>
                <w:szCs w:val="20"/>
                <w:color w:val="auto"/>
              </w:rPr>
            </w:pPr>
            <w:r>
              <w:rPr>
                <w:rFonts w:ascii="Arial" w:cs="Arial" w:eastAsia="Arial" w:hAnsi="Arial"/>
                <w:sz w:val="12"/>
                <w:szCs w:val="12"/>
                <w:i w:val="1"/>
                <w:iCs w:val="1"/>
                <w:color w:val="auto"/>
                <w:w w:val="93"/>
              </w:rPr>
              <w:t>Expressed in million S/</w:t>
            </w:r>
          </w:p>
        </w:tc>
        <w:tc>
          <w:tcPr>
            <w:tcW w:w="1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900" w:type="dxa"/>
            <w:vAlign w:val="bottom"/>
            <w:tcBorders>
              <w:top w:val="single" w:sz="8" w:color="auto"/>
              <w:bottom w:val="single" w:sz="8" w:color="auto"/>
            </w:tcBorders>
            <w:gridSpan w:val="7"/>
          </w:tcPr>
          <w:p>
            <w:pPr>
              <w:jc w:val="center"/>
              <w:ind w:right="120"/>
              <w:spacing w:after="0" w:line="127" w:lineRule="exact"/>
              <w:rPr>
                <w:sz w:val="20"/>
                <w:szCs w:val="20"/>
                <w:color w:val="auto"/>
              </w:rPr>
            </w:pPr>
            <w:r>
              <w:rPr>
                <w:rFonts w:ascii="Arial" w:cs="Arial" w:eastAsia="Arial" w:hAnsi="Arial"/>
                <w:sz w:val="12"/>
                <w:szCs w:val="12"/>
                <w:i w:val="1"/>
                <w:iCs w:val="1"/>
                <w:color w:val="auto"/>
                <w:w w:val="94"/>
              </w:rPr>
              <w:t>Expressed in million US$</w:t>
            </w:r>
          </w:p>
        </w:tc>
        <w:tc>
          <w:tcPr>
            <w:tcW w:w="1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bottom w:val="single" w:sz="8" w:color="auto"/>
            </w:tcBorders>
            <w:gridSpan w:val="3"/>
          </w:tcPr>
          <w:p>
            <w:pPr>
              <w:jc w:val="center"/>
              <w:ind w:left="298"/>
              <w:spacing w:after="0" w:line="127" w:lineRule="exact"/>
              <w:rPr>
                <w:sz w:val="20"/>
                <w:szCs w:val="20"/>
                <w:color w:val="auto"/>
              </w:rPr>
            </w:pPr>
            <w:r>
              <w:rPr>
                <w:rFonts w:ascii="Arial" w:cs="Arial" w:eastAsia="Arial" w:hAnsi="Arial"/>
                <w:sz w:val="12"/>
                <w:szCs w:val="12"/>
                <w:b w:val="1"/>
                <w:bCs w:val="1"/>
                <w:color w:val="auto"/>
                <w:w w:val="95"/>
              </w:rPr>
              <w:t>1Q20</w:t>
            </w:r>
          </w:p>
        </w:tc>
        <w:tc>
          <w:tcPr>
            <w:tcW w:w="36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326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ind w:right="18"/>
              <w:spacing w:after="0" w:line="127" w:lineRule="exact"/>
              <w:rPr>
                <w:sz w:val="20"/>
                <w:szCs w:val="20"/>
                <w:color w:val="auto"/>
              </w:rPr>
            </w:pPr>
            <w:r>
              <w:rPr>
                <w:rFonts w:ascii="Arial" w:cs="Arial" w:eastAsia="Arial" w:hAnsi="Arial"/>
                <w:sz w:val="12"/>
                <w:szCs w:val="12"/>
                <w:b w:val="1"/>
                <w:bCs w:val="1"/>
                <w:color w:val="auto"/>
              </w:rPr>
              <w:t>1Q19</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ind w:right="18"/>
              <w:spacing w:after="0" w:line="127" w:lineRule="exact"/>
              <w:rPr>
                <w:sz w:val="20"/>
                <w:szCs w:val="20"/>
                <w:color w:val="auto"/>
              </w:rPr>
            </w:pPr>
            <w:r>
              <w:rPr>
                <w:rFonts w:ascii="Arial" w:cs="Arial" w:eastAsia="Arial" w:hAnsi="Arial"/>
                <w:sz w:val="12"/>
                <w:szCs w:val="12"/>
                <w:b w:val="1"/>
                <w:bCs w:val="1"/>
                <w:color w:val="auto"/>
              </w:rPr>
              <w:t>4Q19</w:t>
            </w:r>
          </w:p>
        </w:tc>
        <w:tc>
          <w:tcPr>
            <w:tcW w:w="2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w w:val="95"/>
              </w:rPr>
              <w:t>1Q20</w:t>
            </w:r>
          </w:p>
        </w:tc>
        <w:tc>
          <w:tcPr>
            <w:tcW w:w="2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gridSpan w:val="2"/>
          </w:tcPr>
          <w:p>
            <w:pPr>
              <w:ind w:left="100"/>
              <w:spacing w:after="0" w:line="127" w:lineRule="exact"/>
              <w:rPr>
                <w:sz w:val="20"/>
                <w:szCs w:val="20"/>
                <w:color w:val="auto"/>
              </w:rPr>
            </w:pPr>
            <w:r>
              <w:rPr>
                <w:rFonts w:ascii="Arial" w:cs="Arial" w:eastAsia="Arial" w:hAnsi="Arial"/>
                <w:sz w:val="12"/>
                <w:szCs w:val="12"/>
                <w:b w:val="1"/>
                <w:bCs w:val="1"/>
                <w:color w:val="auto"/>
              </w:rPr>
              <w:t>QoQ</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gridSpan w:val="2"/>
          </w:tcPr>
          <w:p>
            <w:pPr>
              <w:ind w:left="120"/>
              <w:spacing w:after="0" w:line="127" w:lineRule="exact"/>
              <w:rPr>
                <w:sz w:val="20"/>
                <w:szCs w:val="20"/>
                <w:color w:val="auto"/>
              </w:rPr>
            </w:pPr>
            <w:r>
              <w:rPr>
                <w:rFonts w:ascii="Arial" w:cs="Arial" w:eastAsia="Arial" w:hAnsi="Arial"/>
                <w:sz w:val="12"/>
                <w:szCs w:val="12"/>
                <w:b w:val="1"/>
                <w:bCs w:val="1"/>
                <w:color w:val="auto"/>
              </w:rPr>
              <w:t>YoY</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ind w:right="18"/>
              <w:spacing w:after="0" w:line="127" w:lineRule="exact"/>
              <w:rPr>
                <w:sz w:val="20"/>
                <w:szCs w:val="20"/>
                <w:color w:val="auto"/>
              </w:rPr>
            </w:pPr>
            <w:r>
              <w:rPr>
                <w:rFonts w:ascii="Arial" w:cs="Arial" w:eastAsia="Arial" w:hAnsi="Arial"/>
                <w:sz w:val="12"/>
                <w:szCs w:val="12"/>
                <w:b w:val="1"/>
                <w:bCs w:val="1"/>
                <w:color w:val="auto"/>
              </w:rPr>
              <w:t>1Q19</w:t>
            </w:r>
          </w:p>
        </w:tc>
        <w:tc>
          <w:tcPr>
            <w:tcW w:w="22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18"/>
              <w:spacing w:after="0" w:line="127" w:lineRule="exact"/>
              <w:rPr>
                <w:sz w:val="20"/>
                <w:szCs w:val="20"/>
                <w:color w:val="auto"/>
              </w:rPr>
            </w:pPr>
            <w:r>
              <w:rPr>
                <w:rFonts w:ascii="Arial" w:cs="Arial" w:eastAsia="Arial" w:hAnsi="Arial"/>
                <w:sz w:val="12"/>
                <w:szCs w:val="12"/>
                <w:b w:val="1"/>
                <w:bCs w:val="1"/>
                <w:color w:val="auto"/>
              </w:rPr>
              <w:t>4Q19</w:t>
            </w:r>
          </w:p>
        </w:tc>
        <w:tc>
          <w:tcPr>
            <w:tcW w:w="2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w w:val="95"/>
              </w:rPr>
              <w:t>1Q20</w:t>
            </w:r>
          </w:p>
        </w:tc>
        <w:tc>
          <w:tcPr>
            <w:tcW w:w="2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gridSpan w:val="2"/>
          </w:tcPr>
          <w:p>
            <w:pPr>
              <w:ind w:left="100"/>
              <w:spacing w:after="0" w:line="127" w:lineRule="exact"/>
              <w:rPr>
                <w:sz w:val="20"/>
                <w:szCs w:val="20"/>
                <w:color w:val="auto"/>
              </w:rPr>
            </w:pPr>
            <w:r>
              <w:rPr>
                <w:rFonts w:ascii="Arial" w:cs="Arial" w:eastAsia="Arial" w:hAnsi="Arial"/>
                <w:sz w:val="12"/>
                <w:szCs w:val="12"/>
                <w:b w:val="1"/>
                <w:bCs w:val="1"/>
                <w:color w:val="auto"/>
              </w:rPr>
              <w:t>QoQ</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gridSpan w:val="2"/>
          </w:tcPr>
          <w:p>
            <w:pPr>
              <w:ind w:left="120"/>
              <w:spacing w:after="0" w:line="127" w:lineRule="exact"/>
              <w:rPr>
                <w:sz w:val="20"/>
                <w:szCs w:val="20"/>
                <w:color w:val="auto"/>
              </w:rPr>
            </w:pPr>
            <w:r>
              <w:rPr>
                <w:rFonts w:ascii="Arial" w:cs="Arial" w:eastAsia="Arial" w:hAnsi="Arial"/>
                <w:sz w:val="12"/>
                <w:szCs w:val="12"/>
                <w:b w:val="1"/>
                <w:bCs w:val="1"/>
                <w:color w:val="auto"/>
              </w:rPr>
              <w:t>YoY</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ind w:left="140"/>
              <w:spacing w:after="0" w:line="127" w:lineRule="exact"/>
              <w:rPr>
                <w:sz w:val="20"/>
                <w:szCs w:val="20"/>
                <w:color w:val="auto"/>
              </w:rPr>
            </w:pPr>
            <w:r>
              <w:rPr>
                <w:rFonts w:ascii="Arial" w:cs="Arial" w:eastAsia="Arial" w:hAnsi="Arial"/>
                <w:sz w:val="12"/>
                <w:szCs w:val="12"/>
                <w:b w:val="1"/>
                <w:bCs w:val="1"/>
                <w:color w:val="auto"/>
              </w:rPr>
              <w:t>LC</w:t>
            </w:r>
          </w:p>
        </w:tc>
        <w:tc>
          <w:tcPr>
            <w:tcW w:w="2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ind w:left="60"/>
              <w:spacing w:after="0" w:line="127" w:lineRule="exact"/>
              <w:rPr>
                <w:sz w:val="20"/>
                <w:szCs w:val="20"/>
                <w:color w:val="auto"/>
              </w:rPr>
            </w:pPr>
            <w:r>
              <w:rPr>
                <w:rFonts w:ascii="Arial" w:cs="Arial" w:eastAsia="Arial" w:hAnsi="Arial"/>
                <w:sz w:val="12"/>
                <w:szCs w:val="12"/>
                <w:b w:val="1"/>
                <w:bCs w:val="1"/>
                <w:color w:val="auto"/>
              </w:rPr>
              <w:t>FC</w:t>
            </w:r>
          </w:p>
        </w:tc>
        <w:tc>
          <w:tcPr>
            <w:tcW w:w="140" w:type="dxa"/>
            <w:vAlign w:val="bottom"/>
            <w:tcBorders>
              <w:bottom w:val="single" w:sz="8" w:color="CCEEFF"/>
            </w:tcBorders>
          </w:tcPr>
          <w:p>
            <w:pPr>
              <w:spacing w:after="0"/>
              <w:rPr>
                <w:sz w:val="11"/>
                <w:szCs w:val="11"/>
                <w:color w:val="auto"/>
              </w:rPr>
            </w:pPr>
          </w:p>
        </w:tc>
      </w:tr>
      <w:tr>
        <w:trPr>
          <w:trHeight w:val="127"/>
        </w:trPr>
        <w:tc>
          <w:tcPr>
            <w:tcW w:w="3260" w:type="dxa"/>
            <w:vAlign w:val="bottom"/>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BCP Stand-alone</w:t>
            </w:r>
          </w:p>
        </w:tc>
        <w:tc>
          <w:tcPr>
            <w:tcW w:w="4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54,956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60,870</w:t>
            </w: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60,854</w:t>
            </w:r>
          </w:p>
        </w:tc>
        <w:tc>
          <w:tcPr>
            <w:tcW w:w="2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20"/>
              <w:spacing w:after="0" w:line="127" w:lineRule="exact"/>
              <w:rPr>
                <w:sz w:val="20"/>
                <w:szCs w:val="20"/>
                <w:color w:val="auto"/>
              </w:rPr>
            </w:pPr>
            <w:r>
              <w:rPr>
                <w:rFonts w:ascii="Arial" w:cs="Arial" w:eastAsia="Arial" w:hAnsi="Arial"/>
                <w:sz w:val="12"/>
                <w:szCs w:val="12"/>
                <w:b w:val="1"/>
                <w:bCs w:val="1"/>
                <w:color w:val="auto"/>
              </w:rPr>
              <w:t>0.0%</w:t>
            </w: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20"/>
              <w:spacing w:after="0" w:line="127" w:lineRule="exact"/>
              <w:rPr>
                <w:sz w:val="20"/>
                <w:szCs w:val="20"/>
                <w:color w:val="auto"/>
              </w:rPr>
            </w:pPr>
            <w:r>
              <w:rPr>
                <w:rFonts w:ascii="Arial" w:cs="Arial" w:eastAsia="Arial" w:hAnsi="Arial"/>
                <w:sz w:val="12"/>
                <w:szCs w:val="12"/>
                <w:b w:val="1"/>
                <w:bCs w:val="1"/>
                <w:color w:val="auto"/>
              </w:rPr>
              <w:t>10.7%</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9,963</w:t>
            </w: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10,000</w:t>
            </w: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10,009</w:t>
            </w:r>
          </w:p>
        </w:tc>
        <w:tc>
          <w:tcPr>
            <w:tcW w:w="2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0.1%</w:t>
            </w: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0.5%</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2"/>
                <w:szCs w:val="12"/>
                <w:b w:val="1"/>
                <w:bCs w:val="1"/>
                <w:color w:val="auto"/>
              </w:rPr>
              <w:t>64.0%</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36.0%</w:t>
            </w:r>
          </w:p>
        </w:tc>
      </w:tr>
      <w:tr>
        <w:trPr>
          <w:trHeight w:val="133"/>
        </w:trPr>
        <w:tc>
          <w:tcPr>
            <w:tcW w:w="32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Wholesale Banking</w:t>
            </w:r>
          </w:p>
        </w:tc>
        <w:tc>
          <w:tcPr>
            <w:tcW w:w="540" w:type="dxa"/>
            <w:vAlign w:val="bottom"/>
            <w:gridSpan w:val="2"/>
          </w:tcPr>
          <w:p>
            <w:pPr>
              <w:jc w:val="right"/>
              <w:ind w:right="80"/>
              <w:spacing w:after="0" w:line="134" w:lineRule="exact"/>
              <w:rPr>
                <w:sz w:val="20"/>
                <w:szCs w:val="20"/>
                <w:color w:val="auto"/>
              </w:rPr>
            </w:pPr>
            <w:r>
              <w:rPr>
                <w:rFonts w:ascii="Arial" w:cs="Arial" w:eastAsia="Arial" w:hAnsi="Arial"/>
                <w:sz w:val="12"/>
                <w:szCs w:val="12"/>
                <w:b w:val="1"/>
                <w:bCs w:val="1"/>
                <w:color w:val="auto"/>
              </w:rPr>
              <w:t>19,753</w:t>
            </w:r>
          </w:p>
        </w:tc>
        <w:tc>
          <w:tcPr>
            <w:tcW w:w="800" w:type="dxa"/>
            <w:vAlign w:val="bottom"/>
            <w:gridSpan w:val="3"/>
          </w:tcPr>
          <w:p>
            <w:pPr>
              <w:jc w:val="right"/>
              <w:ind w:right="220"/>
              <w:spacing w:after="0" w:line="134" w:lineRule="exact"/>
              <w:rPr>
                <w:sz w:val="20"/>
                <w:szCs w:val="20"/>
                <w:color w:val="auto"/>
              </w:rPr>
            </w:pPr>
            <w:r>
              <w:rPr>
                <w:rFonts w:ascii="Arial" w:cs="Arial" w:eastAsia="Arial" w:hAnsi="Arial"/>
                <w:sz w:val="12"/>
                <w:szCs w:val="12"/>
                <w:b w:val="1"/>
                <w:bCs w:val="1"/>
                <w:color w:val="auto"/>
              </w:rPr>
              <w:t>21,614</w:t>
            </w:r>
          </w:p>
        </w:tc>
        <w:tc>
          <w:tcPr>
            <w:tcW w:w="66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auto"/>
              </w:rPr>
              <w:t>20,733</w:t>
            </w:r>
          </w:p>
        </w:tc>
        <w:tc>
          <w:tcPr>
            <w:tcW w:w="580" w:type="dxa"/>
            <w:vAlign w:val="bottom"/>
            <w:gridSpan w:val="3"/>
          </w:tcPr>
          <w:p>
            <w:pPr>
              <w:jc w:val="right"/>
              <w:ind w:right="20"/>
              <w:spacing w:after="0" w:line="134" w:lineRule="exact"/>
              <w:rPr>
                <w:sz w:val="20"/>
                <w:szCs w:val="20"/>
                <w:color w:val="auto"/>
              </w:rPr>
            </w:pPr>
            <w:r>
              <w:rPr>
                <w:rFonts w:ascii="Arial" w:cs="Arial" w:eastAsia="Arial" w:hAnsi="Arial"/>
                <w:sz w:val="12"/>
                <w:szCs w:val="12"/>
                <w:b w:val="1"/>
                <w:bCs w:val="1"/>
                <w:color w:val="auto"/>
              </w:rPr>
              <w:t>-4.1%</w:t>
            </w:r>
          </w:p>
        </w:tc>
        <w:tc>
          <w:tcPr>
            <w:tcW w:w="680" w:type="dxa"/>
            <w:vAlign w:val="bottom"/>
            <w:gridSpan w:val="4"/>
          </w:tcPr>
          <w:p>
            <w:pPr>
              <w:jc w:val="right"/>
              <w:ind w:right="20"/>
              <w:spacing w:after="0" w:line="134" w:lineRule="exact"/>
              <w:rPr>
                <w:sz w:val="20"/>
                <w:szCs w:val="20"/>
                <w:color w:val="auto"/>
              </w:rPr>
            </w:pPr>
            <w:r>
              <w:rPr>
                <w:rFonts w:ascii="Arial" w:cs="Arial" w:eastAsia="Arial" w:hAnsi="Arial"/>
                <w:sz w:val="12"/>
                <w:szCs w:val="12"/>
                <w:b w:val="1"/>
                <w:bCs w:val="1"/>
                <w:color w:val="auto"/>
              </w:rPr>
              <w:t>5.0%</w:t>
            </w:r>
          </w:p>
        </w:tc>
        <w:tc>
          <w:tcPr>
            <w:tcW w:w="780" w:type="dxa"/>
            <w:vAlign w:val="bottom"/>
            <w:gridSpan w:val="3"/>
          </w:tcPr>
          <w:p>
            <w:pPr>
              <w:jc w:val="right"/>
              <w:ind w:right="220"/>
              <w:spacing w:after="0" w:line="134" w:lineRule="exact"/>
              <w:rPr>
                <w:sz w:val="20"/>
                <w:szCs w:val="20"/>
                <w:color w:val="auto"/>
              </w:rPr>
            </w:pPr>
            <w:r>
              <w:rPr>
                <w:rFonts w:ascii="Arial" w:cs="Arial" w:eastAsia="Arial" w:hAnsi="Arial"/>
                <w:sz w:val="12"/>
                <w:szCs w:val="12"/>
                <w:b w:val="1"/>
                <w:bCs w:val="1"/>
                <w:color w:val="auto"/>
              </w:rPr>
              <w:t>7,698</w:t>
            </w:r>
          </w:p>
        </w:tc>
        <w:tc>
          <w:tcPr>
            <w:tcW w:w="66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auto"/>
              </w:rPr>
              <w:t>7,707</w:t>
            </w:r>
          </w:p>
        </w:tc>
        <w:tc>
          <w:tcPr>
            <w:tcW w:w="46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7,873</w:t>
            </w:r>
          </w:p>
        </w:tc>
        <w:tc>
          <w:tcPr>
            <w:tcW w:w="200" w:type="dxa"/>
            <w:vAlign w:val="bottom"/>
          </w:tcPr>
          <w:p>
            <w:pPr>
              <w:spacing w:after="0"/>
              <w:rPr>
                <w:sz w:val="11"/>
                <w:szCs w:val="11"/>
                <w:color w:val="auto"/>
              </w:rPr>
            </w:pPr>
          </w:p>
        </w:tc>
        <w:tc>
          <w:tcPr>
            <w:tcW w:w="580" w:type="dxa"/>
            <w:vAlign w:val="bottom"/>
            <w:gridSpan w:val="3"/>
          </w:tcPr>
          <w:p>
            <w:pPr>
              <w:jc w:val="right"/>
              <w:spacing w:after="0" w:line="134" w:lineRule="exact"/>
              <w:rPr>
                <w:sz w:val="20"/>
                <w:szCs w:val="20"/>
                <w:color w:val="auto"/>
              </w:rPr>
            </w:pPr>
            <w:r>
              <w:rPr>
                <w:rFonts w:ascii="Arial" w:cs="Arial" w:eastAsia="Arial" w:hAnsi="Arial"/>
                <w:sz w:val="12"/>
                <w:szCs w:val="12"/>
                <w:b w:val="1"/>
                <w:bCs w:val="1"/>
                <w:color w:val="auto"/>
              </w:rPr>
              <w:t>2.2%</w:t>
            </w:r>
          </w:p>
        </w:tc>
        <w:tc>
          <w:tcPr>
            <w:tcW w:w="680" w:type="dxa"/>
            <w:vAlign w:val="bottom"/>
            <w:gridSpan w:val="4"/>
          </w:tcPr>
          <w:p>
            <w:pPr>
              <w:jc w:val="right"/>
              <w:spacing w:after="0" w:line="134" w:lineRule="exact"/>
              <w:rPr>
                <w:sz w:val="20"/>
                <w:szCs w:val="20"/>
                <w:color w:val="auto"/>
              </w:rPr>
            </w:pPr>
            <w:r>
              <w:rPr>
                <w:rFonts w:ascii="Arial" w:cs="Arial" w:eastAsia="Arial" w:hAnsi="Arial"/>
                <w:sz w:val="12"/>
                <w:szCs w:val="12"/>
                <w:b w:val="1"/>
                <w:bCs w:val="1"/>
                <w:color w:val="auto"/>
              </w:rPr>
              <w:t>2.3%</w:t>
            </w:r>
          </w:p>
        </w:tc>
        <w:tc>
          <w:tcPr>
            <w:tcW w:w="780" w:type="dxa"/>
            <w:vAlign w:val="bottom"/>
            <w:gridSpan w:val="3"/>
          </w:tcPr>
          <w:p>
            <w:pPr>
              <w:jc w:val="right"/>
              <w:ind w:right="100"/>
              <w:spacing w:after="0" w:line="134" w:lineRule="exact"/>
              <w:rPr>
                <w:sz w:val="20"/>
                <w:szCs w:val="20"/>
                <w:color w:val="auto"/>
              </w:rPr>
            </w:pPr>
            <w:r>
              <w:rPr>
                <w:rFonts w:ascii="Arial" w:cs="Arial" w:eastAsia="Arial" w:hAnsi="Arial"/>
                <w:sz w:val="12"/>
                <w:szCs w:val="12"/>
                <w:b w:val="1"/>
                <w:bCs w:val="1"/>
                <w:color w:val="auto"/>
              </w:rPr>
              <w:t>43.5%</w:t>
            </w:r>
          </w:p>
        </w:tc>
        <w:tc>
          <w:tcPr>
            <w:tcW w:w="80" w:type="dxa"/>
            <w:vAlign w:val="bottom"/>
          </w:tcPr>
          <w:p>
            <w:pPr>
              <w:spacing w:after="0"/>
              <w:rPr>
                <w:sz w:val="11"/>
                <w:szCs w:val="11"/>
                <w:color w:val="auto"/>
              </w:rPr>
            </w:pPr>
          </w:p>
        </w:tc>
        <w:tc>
          <w:tcPr>
            <w:tcW w:w="500" w:type="dxa"/>
            <w:vAlign w:val="bottom"/>
            <w:gridSpan w:val="2"/>
          </w:tcPr>
          <w:p>
            <w:pPr>
              <w:jc w:val="right"/>
              <w:spacing w:after="0" w:line="134" w:lineRule="exact"/>
              <w:rPr>
                <w:sz w:val="20"/>
                <w:szCs w:val="20"/>
                <w:color w:val="auto"/>
              </w:rPr>
            </w:pPr>
            <w:r>
              <w:rPr>
                <w:rFonts w:ascii="Arial" w:cs="Arial" w:eastAsia="Arial" w:hAnsi="Arial"/>
                <w:sz w:val="12"/>
                <w:szCs w:val="12"/>
                <w:b w:val="1"/>
                <w:bCs w:val="1"/>
                <w:color w:val="auto"/>
              </w:rPr>
              <w:t>56.5%</w:t>
            </w:r>
          </w:p>
        </w:tc>
      </w:tr>
      <w:tr>
        <w:trPr>
          <w:trHeight w:val="133"/>
        </w:trPr>
        <w:tc>
          <w:tcPr>
            <w:tcW w:w="3260" w:type="dxa"/>
            <w:vAlign w:val="bottom"/>
            <w:shd w:val="clear" w:color="auto" w:fill="CCEEFF"/>
          </w:tcPr>
          <w:p>
            <w:pPr>
              <w:ind w:left="320"/>
              <w:spacing w:after="0" w:line="134" w:lineRule="exact"/>
              <w:rPr>
                <w:sz w:val="20"/>
                <w:szCs w:val="20"/>
                <w:color w:val="auto"/>
              </w:rPr>
            </w:pPr>
            <w:r>
              <w:rPr>
                <w:rFonts w:ascii="Arial" w:cs="Arial" w:eastAsia="Arial" w:hAnsi="Arial"/>
                <w:sz w:val="12"/>
                <w:szCs w:val="12"/>
                <w:color w:val="auto"/>
              </w:rPr>
              <w:t>Corporate</w:t>
            </w: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11,551</w:t>
            </w:r>
          </w:p>
        </w:tc>
        <w:tc>
          <w:tcPr>
            <w:tcW w:w="800" w:type="dxa"/>
            <w:vAlign w:val="bottom"/>
            <w:gridSpan w:val="3"/>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12,854</w:t>
            </w:r>
          </w:p>
        </w:tc>
        <w:tc>
          <w:tcPr>
            <w:tcW w:w="6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12,186</w:t>
            </w: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FCD5B4"/>
          </w:tcPr>
          <w:p>
            <w:pPr>
              <w:jc w:val="right"/>
              <w:ind w:right="40"/>
              <w:spacing w:after="0" w:line="134" w:lineRule="exact"/>
              <w:rPr>
                <w:sz w:val="20"/>
                <w:szCs w:val="20"/>
                <w:color w:val="auto"/>
              </w:rPr>
            </w:pPr>
            <w:r>
              <w:rPr>
                <w:rFonts w:ascii="Arial" w:cs="Arial" w:eastAsia="Arial" w:hAnsi="Arial"/>
                <w:sz w:val="12"/>
                <w:szCs w:val="12"/>
                <w:color w:val="auto"/>
              </w:rPr>
              <w:t>-5.2%</w:t>
            </w:r>
          </w:p>
        </w:tc>
        <w:tc>
          <w:tcPr>
            <w:tcW w:w="6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5.5%</w:t>
            </w:r>
          </w:p>
        </w:tc>
        <w:tc>
          <w:tcPr>
            <w:tcW w:w="780" w:type="dxa"/>
            <w:vAlign w:val="bottom"/>
            <w:gridSpan w:val="3"/>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4,857</w:t>
            </w:r>
          </w:p>
        </w:tc>
        <w:tc>
          <w:tcPr>
            <w:tcW w:w="6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4,775</w:t>
            </w:r>
          </w:p>
        </w:tc>
        <w:tc>
          <w:tcPr>
            <w:tcW w:w="4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4,959</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BFD9F1"/>
          </w:tcPr>
          <w:p>
            <w:pPr>
              <w:jc w:val="right"/>
              <w:ind w:right="20"/>
              <w:spacing w:after="0" w:line="134" w:lineRule="exact"/>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BFD9F1"/>
          </w:tcPr>
          <w:p>
            <w:pPr>
              <w:jc w:val="right"/>
              <w:ind w:right="20"/>
              <w:spacing w:after="0" w:line="134" w:lineRule="exact"/>
              <w:rPr>
                <w:sz w:val="20"/>
                <w:szCs w:val="20"/>
                <w:color w:val="auto"/>
              </w:rPr>
            </w:pPr>
            <w:r>
              <w:rPr>
                <w:rFonts w:ascii="Arial" w:cs="Arial" w:eastAsia="Arial" w:hAnsi="Arial"/>
                <w:sz w:val="12"/>
                <w:szCs w:val="12"/>
                <w:color w:val="auto"/>
              </w:rPr>
              <w:t>2.1%</w:t>
            </w:r>
          </w:p>
        </w:tc>
        <w:tc>
          <w:tcPr>
            <w:tcW w:w="780" w:type="dxa"/>
            <w:vAlign w:val="bottom"/>
            <w:gridSpan w:val="3"/>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41.8%</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58.2%</w:t>
            </w:r>
          </w:p>
        </w:tc>
      </w:tr>
      <w:tr>
        <w:trPr>
          <w:trHeight w:val="133"/>
        </w:trPr>
        <w:tc>
          <w:tcPr>
            <w:tcW w:w="3260" w:type="dxa"/>
            <w:vAlign w:val="bottom"/>
          </w:tcPr>
          <w:p>
            <w:pPr>
              <w:ind w:left="320"/>
              <w:spacing w:after="0" w:line="134" w:lineRule="exact"/>
              <w:rPr>
                <w:sz w:val="20"/>
                <w:szCs w:val="20"/>
                <w:color w:val="auto"/>
              </w:rPr>
            </w:pPr>
            <w:r>
              <w:rPr>
                <w:rFonts w:ascii="Arial" w:cs="Arial" w:eastAsia="Arial" w:hAnsi="Arial"/>
                <w:sz w:val="12"/>
                <w:szCs w:val="12"/>
                <w:color w:val="auto"/>
              </w:rPr>
              <w:t>Middle-Market</w:t>
            </w:r>
          </w:p>
        </w:tc>
        <w:tc>
          <w:tcPr>
            <w:tcW w:w="5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8,202</w:t>
            </w:r>
          </w:p>
        </w:tc>
        <w:tc>
          <w:tcPr>
            <w:tcW w:w="800" w:type="dxa"/>
            <w:vAlign w:val="bottom"/>
            <w:gridSpan w:val="3"/>
          </w:tcPr>
          <w:p>
            <w:pPr>
              <w:jc w:val="right"/>
              <w:ind w:right="220"/>
              <w:spacing w:after="0" w:line="134" w:lineRule="exact"/>
              <w:rPr>
                <w:sz w:val="20"/>
                <w:szCs w:val="20"/>
                <w:color w:val="auto"/>
              </w:rPr>
            </w:pPr>
            <w:r>
              <w:rPr>
                <w:rFonts w:ascii="Arial" w:cs="Arial" w:eastAsia="Arial" w:hAnsi="Arial"/>
                <w:sz w:val="12"/>
                <w:szCs w:val="12"/>
                <w:color w:val="auto"/>
              </w:rPr>
              <w:t>8,760</w:t>
            </w:r>
          </w:p>
        </w:tc>
        <w:tc>
          <w:tcPr>
            <w:tcW w:w="6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8,546</w:t>
            </w:r>
          </w:p>
        </w:tc>
        <w:tc>
          <w:tcPr>
            <w:tcW w:w="120" w:type="dxa"/>
            <w:vAlign w:val="bottom"/>
          </w:tcPr>
          <w:p>
            <w:pPr>
              <w:spacing w:after="0"/>
              <w:rPr>
                <w:sz w:val="11"/>
                <w:szCs w:val="11"/>
                <w:color w:val="auto"/>
              </w:rPr>
            </w:pPr>
          </w:p>
        </w:tc>
        <w:tc>
          <w:tcPr>
            <w:tcW w:w="46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-2.4%</w:t>
            </w:r>
          </w:p>
        </w:tc>
        <w:tc>
          <w:tcPr>
            <w:tcW w:w="68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4.2%</w:t>
            </w:r>
          </w:p>
        </w:tc>
        <w:tc>
          <w:tcPr>
            <w:tcW w:w="780" w:type="dxa"/>
            <w:vAlign w:val="bottom"/>
            <w:gridSpan w:val="3"/>
          </w:tcPr>
          <w:p>
            <w:pPr>
              <w:jc w:val="right"/>
              <w:ind w:right="220"/>
              <w:spacing w:after="0" w:line="134" w:lineRule="exact"/>
              <w:rPr>
                <w:sz w:val="20"/>
                <w:szCs w:val="20"/>
                <w:color w:val="auto"/>
              </w:rPr>
            </w:pPr>
            <w:r>
              <w:rPr>
                <w:rFonts w:ascii="Arial" w:cs="Arial" w:eastAsia="Arial" w:hAnsi="Arial"/>
                <w:sz w:val="12"/>
                <w:szCs w:val="12"/>
                <w:color w:val="auto"/>
              </w:rPr>
              <w:t>2,841</w:t>
            </w:r>
          </w:p>
        </w:tc>
        <w:tc>
          <w:tcPr>
            <w:tcW w:w="6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2,931</w:t>
            </w: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2,914</w:t>
            </w:r>
          </w:p>
        </w:tc>
        <w:tc>
          <w:tcPr>
            <w:tcW w:w="200" w:type="dxa"/>
            <w:vAlign w:val="bottom"/>
          </w:tcPr>
          <w:p>
            <w:pPr>
              <w:spacing w:after="0"/>
              <w:rPr>
                <w:sz w:val="11"/>
                <w:szCs w:val="11"/>
                <w:color w:val="auto"/>
              </w:rPr>
            </w:pPr>
          </w:p>
        </w:tc>
        <w:tc>
          <w:tcPr>
            <w:tcW w:w="580" w:type="dxa"/>
            <w:vAlign w:val="bottom"/>
            <w:gridSpan w:val="3"/>
          </w:tcPr>
          <w:p>
            <w:pPr>
              <w:jc w:val="right"/>
              <w:ind w:right="20"/>
              <w:spacing w:after="0" w:line="134" w:lineRule="exact"/>
              <w:rPr>
                <w:sz w:val="20"/>
                <w:szCs w:val="20"/>
                <w:color w:val="auto"/>
              </w:rPr>
            </w:pPr>
            <w:r>
              <w:rPr>
                <w:rFonts w:ascii="Arial" w:cs="Arial" w:eastAsia="Arial" w:hAnsi="Arial"/>
                <w:sz w:val="12"/>
                <w:szCs w:val="12"/>
                <w:color w:val="auto"/>
              </w:rPr>
              <w:t>-0.6%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2.6%</w:t>
            </w:r>
          </w:p>
        </w:tc>
        <w:tc>
          <w:tcPr>
            <w:tcW w:w="780" w:type="dxa"/>
            <w:vAlign w:val="bottom"/>
            <w:gridSpan w:val="3"/>
          </w:tcPr>
          <w:p>
            <w:pPr>
              <w:jc w:val="right"/>
              <w:ind w:right="120"/>
              <w:spacing w:after="0" w:line="134" w:lineRule="exact"/>
              <w:rPr>
                <w:sz w:val="20"/>
                <w:szCs w:val="20"/>
                <w:color w:val="auto"/>
              </w:rPr>
            </w:pPr>
            <w:r>
              <w:rPr>
                <w:rFonts w:ascii="Arial" w:cs="Arial" w:eastAsia="Arial" w:hAnsi="Arial"/>
                <w:sz w:val="12"/>
                <w:szCs w:val="12"/>
                <w:color w:val="auto"/>
              </w:rPr>
              <w:t>46.2%</w:t>
            </w:r>
          </w:p>
        </w:tc>
        <w:tc>
          <w:tcPr>
            <w:tcW w:w="80" w:type="dxa"/>
            <w:vAlign w:val="bottom"/>
          </w:tcPr>
          <w:p>
            <w:pPr>
              <w:spacing w:after="0"/>
              <w:rPr>
                <w:sz w:val="11"/>
                <w:szCs w:val="11"/>
                <w:color w:val="auto"/>
              </w:rPr>
            </w:pPr>
          </w:p>
        </w:tc>
        <w:tc>
          <w:tcPr>
            <w:tcW w:w="50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53.8%</w:t>
            </w:r>
          </w:p>
        </w:tc>
      </w:tr>
      <w:tr>
        <w:trPr>
          <w:trHeight w:val="133"/>
        </w:trPr>
        <w:tc>
          <w:tcPr>
            <w:tcW w:w="3260" w:type="dxa"/>
            <w:vAlign w:val="bottom"/>
            <w:shd w:val="clear" w:color="auto" w:fill="CCEEFF"/>
          </w:tcPr>
          <w:p>
            <w:pPr>
              <w:ind w:left="160"/>
              <w:spacing w:after="0" w:line="134" w:lineRule="exact"/>
              <w:rPr>
                <w:sz w:val="20"/>
                <w:szCs w:val="20"/>
                <w:color w:val="auto"/>
              </w:rPr>
            </w:pPr>
            <w:r>
              <w:rPr>
                <w:rFonts w:ascii="Arial" w:cs="Arial" w:eastAsia="Arial" w:hAnsi="Arial"/>
                <w:sz w:val="12"/>
                <w:szCs w:val="12"/>
                <w:b w:val="1"/>
                <w:bCs w:val="1"/>
                <w:color w:val="auto"/>
              </w:rPr>
              <w:t>Retail Banking</w:t>
            </w: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b w:val="1"/>
                <w:bCs w:val="1"/>
                <w:color w:val="auto"/>
              </w:rPr>
              <w:t>35,203</w:t>
            </w:r>
          </w:p>
        </w:tc>
        <w:tc>
          <w:tcPr>
            <w:tcW w:w="800" w:type="dxa"/>
            <w:vAlign w:val="bottom"/>
            <w:gridSpan w:val="3"/>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39,257</w:t>
            </w:r>
          </w:p>
        </w:tc>
        <w:tc>
          <w:tcPr>
            <w:tcW w:w="6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b w:val="1"/>
                <w:bCs w:val="1"/>
                <w:color w:val="auto"/>
              </w:rPr>
              <w:t>40,122</w:t>
            </w:r>
          </w:p>
        </w:tc>
        <w:tc>
          <w:tcPr>
            <w:tcW w:w="58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b w:val="1"/>
                <w:bCs w:val="1"/>
                <w:color w:val="auto"/>
              </w:rPr>
              <w:t>2.2%</w:t>
            </w:r>
          </w:p>
        </w:tc>
        <w:tc>
          <w:tcPr>
            <w:tcW w:w="680" w:type="dxa"/>
            <w:vAlign w:val="bottom"/>
            <w:gridSpan w:val="4"/>
            <w:shd w:val="clear" w:color="auto" w:fill="CCEEFF"/>
          </w:tcPr>
          <w:p>
            <w:pPr>
              <w:jc w:val="right"/>
              <w:ind w:right="20"/>
              <w:spacing w:after="0" w:line="134" w:lineRule="exact"/>
              <w:rPr>
                <w:sz w:val="20"/>
                <w:szCs w:val="20"/>
                <w:color w:val="auto"/>
              </w:rPr>
            </w:pPr>
            <w:r>
              <w:rPr>
                <w:rFonts w:ascii="Arial" w:cs="Arial" w:eastAsia="Arial" w:hAnsi="Arial"/>
                <w:sz w:val="12"/>
                <w:szCs w:val="12"/>
                <w:b w:val="1"/>
                <w:bCs w:val="1"/>
                <w:color w:val="auto"/>
              </w:rPr>
              <w:t>14.0%</w:t>
            </w:r>
          </w:p>
        </w:tc>
        <w:tc>
          <w:tcPr>
            <w:tcW w:w="780" w:type="dxa"/>
            <w:vAlign w:val="bottom"/>
            <w:gridSpan w:val="3"/>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2,265</w:t>
            </w:r>
          </w:p>
        </w:tc>
        <w:tc>
          <w:tcPr>
            <w:tcW w:w="6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2,293</w:t>
            </w:r>
          </w:p>
        </w:tc>
        <w:tc>
          <w:tcPr>
            <w:tcW w:w="4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2,136</w:t>
            </w:r>
          </w:p>
        </w:tc>
        <w:tc>
          <w:tcPr>
            <w:tcW w:w="2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-6.9%</w:t>
            </w:r>
          </w:p>
        </w:tc>
        <w:tc>
          <w:tcPr>
            <w:tcW w:w="68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-5.7%</w:t>
            </w:r>
          </w:p>
        </w:tc>
        <w:tc>
          <w:tcPr>
            <w:tcW w:w="78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b w:val="1"/>
                <w:bCs w:val="1"/>
                <w:color w:val="auto"/>
              </w:rPr>
              <w:t>84.6%</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15.4%</w:t>
            </w:r>
          </w:p>
        </w:tc>
      </w:tr>
      <w:tr>
        <w:trPr>
          <w:trHeight w:val="133"/>
        </w:trPr>
        <w:tc>
          <w:tcPr>
            <w:tcW w:w="3260" w:type="dxa"/>
            <w:vAlign w:val="bottom"/>
          </w:tcPr>
          <w:p>
            <w:pPr>
              <w:ind w:left="320"/>
              <w:spacing w:after="0" w:line="134" w:lineRule="exact"/>
              <w:rPr>
                <w:sz w:val="20"/>
                <w:szCs w:val="20"/>
                <w:color w:val="auto"/>
              </w:rPr>
            </w:pPr>
            <w:r>
              <w:rPr>
                <w:rFonts w:ascii="Arial" w:cs="Arial" w:eastAsia="Arial" w:hAnsi="Arial"/>
                <w:sz w:val="12"/>
                <w:szCs w:val="12"/>
                <w:color w:val="auto"/>
              </w:rPr>
              <w:t>SME - Business</w:t>
            </w:r>
          </w:p>
        </w:tc>
        <w:tc>
          <w:tcPr>
            <w:tcW w:w="5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2,490</w:t>
            </w:r>
          </w:p>
        </w:tc>
        <w:tc>
          <w:tcPr>
            <w:tcW w:w="800" w:type="dxa"/>
            <w:vAlign w:val="bottom"/>
            <w:gridSpan w:val="3"/>
          </w:tcPr>
          <w:p>
            <w:pPr>
              <w:jc w:val="right"/>
              <w:ind w:right="220"/>
              <w:spacing w:after="0" w:line="134" w:lineRule="exact"/>
              <w:rPr>
                <w:sz w:val="20"/>
                <w:szCs w:val="20"/>
                <w:color w:val="auto"/>
              </w:rPr>
            </w:pPr>
            <w:r>
              <w:rPr>
                <w:rFonts w:ascii="Arial" w:cs="Arial" w:eastAsia="Arial" w:hAnsi="Arial"/>
                <w:sz w:val="12"/>
                <w:szCs w:val="12"/>
                <w:color w:val="auto"/>
              </w:rPr>
              <w:t>2,695</w:t>
            </w:r>
          </w:p>
        </w:tc>
        <w:tc>
          <w:tcPr>
            <w:tcW w:w="6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2,624</w:t>
            </w:r>
          </w:p>
        </w:tc>
        <w:tc>
          <w:tcPr>
            <w:tcW w:w="580" w:type="dxa"/>
            <w:vAlign w:val="bottom"/>
            <w:gridSpan w:val="3"/>
          </w:tcPr>
          <w:p>
            <w:pPr>
              <w:jc w:val="right"/>
              <w:ind w:right="40"/>
              <w:spacing w:after="0" w:line="134" w:lineRule="exact"/>
              <w:rPr>
                <w:sz w:val="20"/>
                <w:szCs w:val="20"/>
                <w:color w:val="auto"/>
              </w:rPr>
            </w:pPr>
            <w:r>
              <w:rPr>
                <w:rFonts w:ascii="Arial" w:cs="Arial" w:eastAsia="Arial" w:hAnsi="Arial"/>
                <w:sz w:val="12"/>
                <w:szCs w:val="12"/>
                <w:color w:val="auto"/>
              </w:rPr>
              <w:t>-2.6%</w:t>
            </w:r>
          </w:p>
        </w:tc>
        <w:tc>
          <w:tcPr>
            <w:tcW w:w="68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5.4%</w:t>
            </w:r>
          </w:p>
        </w:tc>
        <w:tc>
          <w:tcPr>
            <w:tcW w:w="780" w:type="dxa"/>
            <w:vAlign w:val="bottom"/>
            <w:gridSpan w:val="3"/>
          </w:tcPr>
          <w:p>
            <w:pPr>
              <w:jc w:val="right"/>
              <w:ind w:right="220"/>
              <w:spacing w:after="0" w:line="134" w:lineRule="exact"/>
              <w:rPr>
                <w:sz w:val="20"/>
                <w:szCs w:val="20"/>
                <w:color w:val="auto"/>
              </w:rPr>
            </w:pPr>
            <w:r>
              <w:rPr>
                <w:rFonts w:ascii="Arial" w:cs="Arial" w:eastAsia="Arial" w:hAnsi="Arial"/>
                <w:sz w:val="12"/>
                <w:szCs w:val="12"/>
                <w:color w:val="auto"/>
              </w:rPr>
              <w:t>834</w:t>
            </w:r>
          </w:p>
        </w:tc>
        <w:tc>
          <w:tcPr>
            <w:tcW w:w="6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928</w:t>
            </w:r>
          </w:p>
        </w:tc>
        <w:tc>
          <w:tcPr>
            <w:tcW w:w="6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828</w:t>
            </w:r>
          </w:p>
        </w:tc>
        <w:tc>
          <w:tcPr>
            <w:tcW w:w="120" w:type="dxa"/>
            <w:vAlign w:val="bottom"/>
          </w:tcPr>
          <w:p>
            <w:pPr>
              <w:spacing w:after="0"/>
              <w:rPr>
                <w:sz w:val="11"/>
                <w:szCs w:val="11"/>
                <w:color w:val="auto"/>
              </w:rPr>
            </w:pPr>
          </w:p>
        </w:tc>
        <w:tc>
          <w:tcPr>
            <w:tcW w:w="460" w:type="dxa"/>
            <w:vAlign w:val="bottom"/>
            <w:gridSpan w:val="2"/>
            <w:shd w:val="clear" w:color="auto" w:fill="FCD5B4"/>
          </w:tcPr>
          <w:p>
            <w:pPr>
              <w:jc w:val="right"/>
              <w:ind w:right="20"/>
              <w:spacing w:after="0" w:line="134" w:lineRule="exact"/>
              <w:rPr>
                <w:sz w:val="20"/>
                <w:szCs w:val="20"/>
                <w:color w:val="auto"/>
              </w:rPr>
            </w:pPr>
            <w:r>
              <w:rPr>
                <w:rFonts w:ascii="Arial" w:cs="Arial" w:eastAsia="Arial" w:hAnsi="Arial"/>
                <w:sz w:val="12"/>
                <w:szCs w:val="12"/>
                <w:color w:val="auto"/>
              </w:rPr>
              <w:t>-10.8%</w:t>
            </w:r>
          </w:p>
        </w:tc>
        <w:tc>
          <w:tcPr>
            <w:tcW w:w="680" w:type="dxa"/>
            <w:vAlign w:val="bottom"/>
            <w:gridSpan w:val="4"/>
          </w:tcPr>
          <w:p>
            <w:pPr>
              <w:jc w:val="right"/>
              <w:ind w:right="20"/>
              <w:spacing w:after="0" w:line="134" w:lineRule="exact"/>
              <w:rPr>
                <w:sz w:val="20"/>
                <w:szCs w:val="20"/>
                <w:color w:val="auto"/>
              </w:rPr>
            </w:pPr>
            <w:r>
              <w:rPr>
                <w:rFonts w:ascii="Arial" w:cs="Arial" w:eastAsia="Arial" w:hAnsi="Arial"/>
                <w:sz w:val="12"/>
                <w:szCs w:val="12"/>
                <w:color w:val="auto"/>
              </w:rPr>
              <w:t>-0.7%</w:t>
            </w:r>
          </w:p>
        </w:tc>
        <w:tc>
          <w:tcPr>
            <w:tcW w:w="780" w:type="dxa"/>
            <w:vAlign w:val="bottom"/>
            <w:gridSpan w:val="3"/>
          </w:tcPr>
          <w:p>
            <w:pPr>
              <w:jc w:val="right"/>
              <w:ind w:right="120"/>
              <w:spacing w:after="0" w:line="134" w:lineRule="exact"/>
              <w:rPr>
                <w:sz w:val="20"/>
                <w:szCs w:val="20"/>
                <w:color w:val="auto"/>
              </w:rPr>
            </w:pPr>
            <w:r>
              <w:rPr>
                <w:rFonts w:ascii="Arial" w:cs="Arial" w:eastAsia="Arial" w:hAnsi="Arial"/>
                <w:sz w:val="12"/>
                <w:szCs w:val="12"/>
                <w:color w:val="auto"/>
              </w:rPr>
              <w:t>48.1%</w:t>
            </w:r>
          </w:p>
        </w:tc>
        <w:tc>
          <w:tcPr>
            <w:tcW w:w="80" w:type="dxa"/>
            <w:vAlign w:val="bottom"/>
          </w:tcPr>
          <w:p>
            <w:pPr>
              <w:spacing w:after="0"/>
              <w:rPr>
                <w:sz w:val="11"/>
                <w:szCs w:val="11"/>
                <w:color w:val="auto"/>
              </w:rPr>
            </w:pPr>
          </w:p>
        </w:tc>
        <w:tc>
          <w:tcPr>
            <w:tcW w:w="50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51.9%</w:t>
            </w:r>
          </w:p>
        </w:tc>
      </w:tr>
      <w:tr>
        <w:trPr>
          <w:trHeight w:val="133"/>
        </w:trPr>
        <w:tc>
          <w:tcPr>
            <w:tcW w:w="3260" w:type="dxa"/>
            <w:vAlign w:val="bottom"/>
            <w:shd w:val="clear" w:color="auto" w:fill="CCEEFF"/>
          </w:tcPr>
          <w:p>
            <w:pPr>
              <w:ind w:left="320"/>
              <w:spacing w:after="0" w:line="134" w:lineRule="exact"/>
              <w:rPr>
                <w:sz w:val="20"/>
                <w:szCs w:val="20"/>
                <w:color w:val="auto"/>
              </w:rPr>
            </w:pPr>
            <w:r>
              <w:rPr>
                <w:rFonts w:ascii="Arial" w:cs="Arial" w:eastAsia="Arial" w:hAnsi="Arial"/>
                <w:sz w:val="12"/>
                <w:szCs w:val="12"/>
                <w:color w:val="auto"/>
              </w:rPr>
              <w:t>SME - Pyme</w:t>
            </w: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9,161</w:t>
            </w:r>
          </w:p>
        </w:tc>
        <w:tc>
          <w:tcPr>
            <w:tcW w:w="800" w:type="dxa"/>
            <w:vAlign w:val="bottom"/>
            <w:gridSpan w:val="3"/>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9,982</w:t>
            </w:r>
          </w:p>
        </w:tc>
        <w:tc>
          <w:tcPr>
            <w:tcW w:w="6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10,104</w:t>
            </w:r>
          </w:p>
        </w:tc>
        <w:tc>
          <w:tcPr>
            <w:tcW w:w="580" w:type="dxa"/>
            <w:vAlign w:val="bottom"/>
            <w:gridSpan w:val="3"/>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BFD9F1"/>
          </w:tcPr>
          <w:p>
            <w:pPr>
              <w:jc w:val="right"/>
              <w:ind w:right="40"/>
              <w:spacing w:after="0" w:line="134" w:lineRule="exact"/>
              <w:rPr>
                <w:sz w:val="20"/>
                <w:szCs w:val="20"/>
                <w:color w:val="auto"/>
              </w:rPr>
            </w:pPr>
            <w:r>
              <w:rPr>
                <w:rFonts w:ascii="Arial" w:cs="Arial" w:eastAsia="Arial" w:hAnsi="Arial"/>
                <w:sz w:val="12"/>
                <w:szCs w:val="12"/>
                <w:color w:val="auto"/>
              </w:rPr>
              <w:t>10.3%</w:t>
            </w:r>
          </w:p>
        </w:tc>
        <w:tc>
          <w:tcPr>
            <w:tcW w:w="780" w:type="dxa"/>
            <w:vAlign w:val="bottom"/>
            <w:gridSpan w:val="3"/>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76</w:t>
            </w:r>
          </w:p>
        </w:tc>
        <w:tc>
          <w:tcPr>
            <w:tcW w:w="4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63</w:t>
            </w: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66</w:t>
            </w:r>
          </w:p>
        </w:tc>
        <w:tc>
          <w:tcPr>
            <w:tcW w:w="2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4.2%</w:t>
            </w:r>
          </w:p>
        </w:tc>
        <w:tc>
          <w:tcPr>
            <w:tcW w:w="680" w:type="dxa"/>
            <w:vAlign w:val="bottom"/>
            <w:gridSpan w:val="4"/>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-13.3%</w:t>
            </w:r>
          </w:p>
        </w:tc>
        <w:tc>
          <w:tcPr>
            <w:tcW w:w="780" w:type="dxa"/>
            <w:vAlign w:val="bottom"/>
            <w:gridSpan w:val="3"/>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97.8%</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2.2%</w:t>
            </w:r>
          </w:p>
        </w:tc>
      </w:tr>
      <w:tr>
        <w:trPr>
          <w:trHeight w:val="133"/>
        </w:trPr>
        <w:tc>
          <w:tcPr>
            <w:tcW w:w="3260" w:type="dxa"/>
            <w:vAlign w:val="bottom"/>
          </w:tcPr>
          <w:p>
            <w:pPr>
              <w:ind w:left="320"/>
              <w:spacing w:after="0" w:line="134" w:lineRule="exact"/>
              <w:rPr>
                <w:sz w:val="20"/>
                <w:szCs w:val="20"/>
                <w:color w:val="auto"/>
              </w:rPr>
            </w:pPr>
            <w:r>
              <w:rPr>
                <w:rFonts w:ascii="Arial" w:cs="Arial" w:eastAsia="Arial" w:hAnsi="Arial"/>
                <w:sz w:val="12"/>
                <w:szCs w:val="12"/>
                <w:color w:val="auto"/>
              </w:rPr>
              <w:t>Mortgage</w:t>
            </w:r>
          </w:p>
        </w:tc>
        <w:tc>
          <w:tcPr>
            <w:tcW w:w="5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12,477</w:t>
            </w:r>
          </w:p>
        </w:tc>
        <w:tc>
          <w:tcPr>
            <w:tcW w:w="800" w:type="dxa"/>
            <w:vAlign w:val="bottom"/>
            <w:gridSpan w:val="3"/>
          </w:tcPr>
          <w:p>
            <w:pPr>
              <w:jc w:val="right"/>
              <w:ind w:right="220"/>
              <w:spacing w:after="0" w:line="134" w:lineRule="exact"/>
              <w:rPr>
                <w:sz w:val="20"/>
                <w:szCs w:val="20"/>
                <w:color w:val="auto"/>
              </w:rPr>
            </w:pPr>
            <w:r>
              <w:rPr>
                <w:rFonts w:ascii="Arial" w:cs="Arial" w:eastAsia="Arial" w:hAnsi="Arial"/>
                <w:sz w:val="12"/>
                <w:szCs w:val="12"/>
                <w:color w:val="auto"/>
              </w:rPr>
              <w:t>14,249</w:t>
            </w:r>
          </w:p>
        </w:tc>
        <w:tc>
          <w:tcPr>
            <w:tcW w:w="6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14,698</w:t>
            </w:r>
          </w:p>
        </w:tc>
        <w:tc>
          <w:tcPr>
            <w:tcW w:w="120" w:type="dxa"/>
            <w:vAlign w:val="bottom"/>
          </w:tcPr>
          <w:p>
            <w:pPr>
              <w:spacing w:after="0"/>
              <w:rPr>
                <w:sz w:val="11"/>
                <w:szCs w:val="11"/>
                <w:color w:val="auto"/>
              </w:rPr>
            </w:pPr>
          </w:p>
        </w:tc>
        <w:tc>
          <w:tcPr>
            <w:tcW w:w="460" w:type="dxa"/>
            <w:vAlign w:val="bottom"/>
            <w:gridSpan w:val="2"/>
            <w:shd w:val="clear" w:color="auto" w:fill="BFD9F1"/>
          </w:tcPr>
          <w:p>
            <w:pPr>
              <w:jc w:val="right"/>
              <w:ind w:right="40"/>
              <w:spacing w:after="0" w:line="134" w:lineRule="exact"/>
              <w:rPr>
                <w:sz w:val="20"/>
                <w:szCs w:val="20"/>
                <w:color w:val="auto"/>
              </w:rPr>
            </w:pPr>
            <w:r>
              <w:rPr>
                <w:rFonts w:ascii="Arial" w:cs="Arial" w:eastAsia="Arial" w:hAnsi="Arial"/>
                <w:sz w:val="12"/>
                <w:szCs w:val="12"/>
                <w:color w:val="auto"/>
              </w:rPr>
              <w:t>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17.8%</w:t>
            </w:r>
          </w:p>
        </w:tc>
        <w:tc>
          <w:tcPr>
            <w:tcW w:w="780" w:type="dxa"/>
            <w:vAlign w:val="bottom"/>
            <w:gridSpan w:val="3"/>
          </w:tcPr>
          <w:p>
            <w:pPr>
              <w:jc w:val="right"/>
              <w:ind w:right="220"/>
              <w:spacing w:after="0" w:line="134" w:lineRule="exact"/>
              <w:rPr>
                <w:sz w:val="20"/>
                <w:szCs w:val="20"/>
                <w:color w:val="auto"/>
              </w:rPr>
            </w:pPr>
            <w:r>
              <w:rPr>
                <w:rFonts w:ascii="Arial" w:cs="Arial" w:eastAsia="Arial" w:hAnsi="Arial"/>
                <w:sz w:val="12"/>
                <w:szCs w:val="12"/>
                <w:color w:val="auto"/>
              </w:rPr>
              <w:t>790</w:t>
            </w:r>
          </w:p>
        </w:tc>
        <w:tc>
          <w:tcPr>
            <w:tcW w:w="6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698</w:t>
            </w:r>
          </w:p>
        </w:tc>
        <w:tc>
          <w:tcPr>
            <w:tcW w:w="6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646</w:t>
            </w:r>
          </w:p>
        </w:tc>
        <w:tc>
          <w:tcPr>
            <w:tcW w:w="120" w:type="dxa"/>
            <w:vAlign w:val="bottom"/>
          </w:tcPr>
          <w:p>
            <w:pPr>
              <w:spacing w:after="0"/>
              <w:rPr>
                <w:sz w:val="11"/>
                <w:szCs w:val="11"/>
                <w:color w:val="auto"/>
              </w:rPr>
            </w:pPr>
          </w:p>
        </w:tc>
        <w:tc>
          <w:tcPr>
            <w:tcW w:w="460" w:type="dxa"/>
            <w:vAlign w:val="bottom"/>
            <w:gridSpan w:val="2"/>
            <w:shd w:val="clear" w:color="auto" w:fill="FCD5B4"/>
          </w:tcPr>
          <w:p>
            <w:pPr>
              <w:jc w:val="right"/>
              <w:ind w:right="20"/>
              <w:spacing w:after="0" w:line="134" w:lineRule="exact"/>
              <w:rPr>
                <w:sz w:val="20"/>
                <w:szCs w:val="20"/>
                <w:color w:val="auto"/>
              </w:rPr>
            </w:pPr>
            <w:r>
              <w:rPr>
                <w:rFonts w:ascii="Arial" w:cs="Arial" w:eastAsia="Arial" w:hAnsi="Arial"/>
                <w:sz w:val="12"/>
                <w:szCs w:val="12"/>
                <w:color w:val="auto"/>
              </w:rPr>
              <w:t>-7.5%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shd w:val="clear" w:color="auto" w:fill="FCD5B4"/>
          </w:tcPr>
          <w:p>
            <w:pPr>
              <w:jc w:val="right"/>
              <w:ind w:right="20"/>
              <w:spacing w:after="0" w:line="134" w:lineRule="exact"/>
              <w:rPr>
                <w:sz w:val="20"/>
                <w:szCs w:val="20"/>
                <w:color w:val="auto"/>
              </w:rPr>
            </w:pPr>
            <w:r>
              <w:rPr>
                <w:rFonts w:ascii="Arial" w:cs="Arial" w:eastAsia="Arial" w:hAnsi="Arial"/>
                <w:sz w:val="12"/>
                <w:szCs w:val="12"/>
                <w:color w:val="auto"/>
              </w:rPr>
              <w:t>-18.3%</w:t>
            </w:r>
          </w:p>
        </w:tc>
        <w:tc>
          <w:tcPr>
            <w:tcW w:w="780" w:type="dxa"/>
            <w:vAlign w:val="bottom"/>
            <w:gridSpan w:val="3"/>
          </w:tcPr>
          <w:p>
            <w:pPr>
              <w:jc w:val="right"/>
              <w:ind w:right="120"/>
              <w:spacing w:after="0" w:line="134" w:lineRule="exact"/>
              <w:rPr>
                <w:sz w:val="20"/>
                <w:szCs w:val="20"/>
                <w:color w:val="auto"/>
              </w:rPr>
            </w:pPr>
            <w:r>
              <w:rPr>
                <w:rFonts w:ascii="Arial" w:cs="Arial" w:eastAsia="Arial" w:hAnsi="Arial"/>
                <w:sz w:val="12"/>
                <w:szCs w:val="12"/>
                <w:color w:val="auto"/>
              </w:rPr>
              <w:t>86.9%</w:t>
            </w:r>
          </w:p>
        </w:tc>
        <w:tc>
          <w:tcPr>
            <w:tcW w:w="80" w:type="dxa"/>
            <w:vAlign w:val="bottom"/>
          </w:tcPr>
          <w:p>
            <w:pPr>
              <w:spacing w:after="0"/>
              <w:rPr>
                <w:sz w:val="11"/>
                <w:szCs w:val="11"/>
                <w:color w:val="auto"/>
              </w:rPr>
            </w:pPr>
          </w:p>
        </w:tc>
        <w:tc>
          <w:tcPr>
            <w:tcW w:w="50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13.1%</w:t>
            </w:r>
          </w:p>
        </w:tc>
      </w:tr>
      <w:tr>
        <w:trPr>
          <w:trHeight w:val="133"/>
        </w:trPr>
        <w:tc>
          <w:tcPr>
            <w:tcW w:w="3260" w:type="dxa"/>
            <w:vAlign w:val="bottom"/>
            <w:shd w:val="clear" w:color="auto" w:fill="CCEEFF"/>
          </w:tcPr>
          <w:p>
            <w:pPr>
              <w:ind w:left="320"/>
              <w:spacing w:after="0" w:line="134" w:lineRule="exact"/>
              <w:rPr>
                <w:sz w:val="20"/>
                <w:szCs w:val="20"/>
                <w:color w:val="auto"/>
              </w:rPr>
            </w:pPr>
            <w:r>
              <w:rPr>
                <w:rFonts w:ascii="Arial" w:cs="Arial" w:eastAsia="Arial" w:hAnsi="Arial"/>
                <w:sz w:val="12"/>
                <w:szCs w:val="12"/>
                <w:color w:val="auto"/>
              </w:rPr>
              <w:t>Consumer</w:t>
            </w: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6,478</w:t>
            </w:r>
          </w:p>
        </w:tc>
        <w:tc>
          <w:tcPr>
            <w:tcW w:w="800" w:type="dxa"/>
            <w:vAlign w:val="bottom"/>
            <w:gridSpan w:val="3"/>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7,465</w:t>
            </w:r>
          </w:p>
        </w:tc>
        <w:tc>
          <w:tcPr>
            <w:tcW w:w="6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7,763</w:t>
            </w: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4.0%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19.9%</w:t>
            </w:r>
          </w:p>
        </w:tc>
        <w:tc>
          <w:tcPr>
            <w:tcW w:w="780" w:type="dxa"/>
            <w:vAlign w:val="bottom"/>
            <w:gridSpan w:val="3"/>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352</w:t>
            </w:r>
          </w:p>
        </w:tc>
        <w:tc>
          <w:tcPr>
            <w:tcW w:w="6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356</w:t>
            </w:r>
          </w:p>
        </w:tc>
        <w:tc>
          <w:tcPr>
            <w:tcW w:w="6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357</w:t>
            </w:r>
          </w:p>
        </w:tc>
        <w:tc>
          <w:tcPr>
            <w:tcW w:w="58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0.2%</w:t>
            </w:r>
          </w:p>
        </w:tc>
        <w:tc>
          <w:tcPr>
            <w:tcW w:w="680" w:type="dxa"/>
            <w:vAlign w:val="bottom"/>
            <w:gridSpan w:val="4"/>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1.5%</w:t>
            </w:r>
          </w:p>
        </w:tc>
        <w:tc>
          <w:tcPr>
            <w:tcW w:w="780" w:type="dxa"/>
            <w:vAlign w:val="bottom"/>
            <w:gridSpan w:val="3"/>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86.4%</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13.6%</w:t>
            </w:r>
          </w:p>
        </w:tc>
      </w:tr>
      <w:tr>
        <w:trPr>
          <w:trHeight w:val="133"/>
        </w:trPr>
        <w:tc>
          <w:tcPr>
            <w:tcW w:w="3260" w:type="dxa"/>
            <w:vAlign w:val="bottom"/>
          </w:tcPr>
          <w:p>
            <w:pPr>
              <w:ind w:left="320"/>
              <w:spacing w:after="0" w:line="134" w:lineRule="exact"/>
              <w:rPr>
                <w:sz w:val="20"/>
                <w:szCs w:val="20"/>
                <w:color w:val="auto"/>
              </w:rPr>
            </w:pPr>
            <w:r>
              <w:rPr>
                <w:rFonts w:ascii="Arial" w:cs="Arial" w:eastAsia="Arial" w:hAnsi="Arial"/>
                <w:sz w:val="12"/>
                <w:szCs w:val="12"/>
                <w:color w:val="auto"/>
              </w:rPr>
              <w:t>Credit Card</w:t>
            </w:r>
          </w:p>
        </w:tc>
        <w:tc>
          <w:tcPr>
            <w:tcW w:w="5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4,598</w:t>
            </w:r>
          </w:p>
        </w:tc>
        <w:tc>
          <w:tcPr>
            <w:tcW w:w="800" w:type="dxa"/>
            <w:vAlign w:val="bottom"/>
            <w:gridSpan w:val="3"/>
          </w:tcPr>
          <w:p>
            <w:pPr>
              <w:jc w:val="right"/>
              <w:ind w:right="220"/>
              <w:spacing w:after="0" w:line="134" w:lineRule="exact"/>
              <w:rPr>
                <w:sz w:val="20"/>
                <w:szCs w:val="20"/>
                <w:color w:val="auto"/>
              </w:rPr>
            </w:pPr>
            <w:r>
              <w:rPr>
                <w:rFonts w:ascii="Arial" w:cs="Arial" w:eastAsia="Arial" w:hAnsi="Arial"/>
                <w:sz w:val="12"/>
                <w:szCs w:val="12"/>
                <w:color w:val="auto"/>
              </w:rPr>
              <w:t>4,865</w:t>
            </w:r>
          </w:p>
        </w:tc>
        <w:tc>
          <w:tcPr>
            <w:tcW w:w="6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4,932</w:t>
            </w:r>
          </w:p>
        </w:tc>
        <w:tc>
          <w:tcPr>
            <w:tcW w:w="580" w:type="dxa"/>
            <w:vAlign w:val="bottom"/>
            <w:gridSpan w:val="3"/>
          </w:tcPr>
          <w:p>
            <w:pPr>
              <w:jc w:val="right"/>
              <w:ind w:right="40"/>
              <w:spacing w:after="0" w:line="134" w:lineRule="exact"/>
              <w:rPr>
                <w:sz w:val="20"/>
                <w:szCs w:val="20"/>
                <w:color w:val="auto"/>
              </w:rPr>
            </w:pPr>
            <w:r>
              <w:rPr>
                <w:rFonts w:ascii="Arial" w:cs="Arial" w:eastAsia="Arial" w:hAnsi="Arial"/>
                <w:sz w:val="12"/>
                <w:szCs w:val="12"/>
                <w:color w:val="auto"/>
              </w:rPr>
              <w:t>1.4%</w:t>
            </w:r>
          </w:p>
        </w:tc>
        <w:tc>
          <w:tcPr>
            <w:tcW w:w="68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7.2%</w:t>
            </w:r>
          </w:p>
        </w:tc>
        <w:tc>
          <w:tcPr>
            <w:tcW w:w="780" w:type="dxa"/>
            <w:vAlign w:val="bottom"/>
            <w:gridSpan w:val="3"/>
          </w:tcPr>
          <w:p>
            <w:pPr>
              <w:jc w:val="right"/>
              <w:ind w:right="220"/>
              <w:spacing w:after="0" w:line="134" w:lineRule="exact"/>
              <w:rPr>
                <w:sz w:val="20"/>
                <w:szCs w:val="20"/>
                <w:color w:val="auto"/>
              </w:rPr>
            </w:pPr>
            <w:r>
              <w:rPr>
                <w:rFonts w:ascii="Arial" w:cs="Arial" w:eastAsia="Arial" w:hAnsi="Arial"/>
                <w:sz w:val="12"/>
                <w:szCs w:val="12"/>
                <w:color w:val="auto"/>
              </w:rPr>
              <w:t>213</w:t>
            </w:r>
          </w:p>
        </w:tc>
        <w:tc>
          <w:tcPr>
            <w:tcW w:w="6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248</w:t>
            </w:r>
          </w:p>
        </w:tc>
        <w:tc>
          <w:tcPr>
            <w:tcW w:w="6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239</w:t>
            </w:r>
          </w:p>
        </w:tc>
        <w:tc>
          <w:tcPr>
            <w:tcW w:w="580" w:type="dxa"/>
            <w:vAlign w:val="bottom"/>
            <w:gridSpan w:val="3"/>
          </w:tcPr>
          <w:p>
            <w:pPr>
              <w:jc w:val="right"/>
              <w:ind w:right="20"/>
              <w:spacing w:after="0" w:line="134" w:lineRule="exact"/>
              <w:rPr>
                <w:sz w:val="20"/>
                <w:szCs w:val="20"/>
                <w:color w:val="auto"/>
              </w:rPr>
            </w:pPr>
            <w:r>
              <w:rPr>
                <w:rFonts w:ascii="Arial" w:cs="Arial" w:eastAsia="Arial" w:hAnsi="Arial"/>
                <w:sz w:val="12"/>
                <w:szCs w:val="12"/>
                <w:color w:val="auto"/>
              </w:rPr>
              <w:t>-3.4%</w:t>
            </w:r>
          </w:p>
        </w:tc>
        <w:tc>
          <w:tcPr>
            <w:tcW w:w="680" w:type="dxa"/>
            <w:vAlign w:val="bottom"/>
            <w:gridSpan w:val="4"/>
          </w:tcPr>
          <w:p>
            <w:pPr>
              <w:jc w:val="right"/>
              <w:ind w:right="20"/>
              <w:spacing w:after="0" w:line="134" w:lineRule="exact"/>
              <w:rPr>
                <w:sz w:val="20"/>
                <w:szCs w:val="20"/>
                <w:color w:val="auto"/>
              </w:rPr>
            </w:pPr>
            <w:r>
              <w:rPr>
                <w:rFonts w:ascii="Arial" w:cs="Arial" w:eastAsia="Arial" w:hAnsi="Arial"/>
                <w:sz w:val="12"/>
                <w:szCs w:val="12"/>
                <w:color w:val="auto"/>
              </w:rPr>
              <w:t>12.3%</w:t>
            </w:r>
          </w:p>
        </w:tc>
        <w:tc>
          <w:tcPr>
            <w:tcW w:w="780" w:type="dxa"/>
            <w:vAlign w:val="bottom"/>
            <w:gridSpan w:val="3"/>
          </w:tcPr>
          <w:p>
            <w:pPr>
              <w:jc w:val="right"/>
              <w:ind w:right="120"/>
              <w:spacing w:after="0" w:line="134" w:lineRule="exact"/>
              <w:rPr>
                <w:sz w:val="20"/>
                <w:szCs w:val="20"/>
                <w:color w:val="auto"/>
              </w:rPr>
            </w:pPr>
            <w:r>
              <w:rPr>
                <w:rFonts w:ascii="Arial" w:cs="Arial" w:eastAsia="Arial" w:hAnsi="Arial"/>
                <w:sz w:val="12"/>
                <w:szCs w:val="12"/>
                <w:color w:val="auto"/>
              </w:rPr>
              <w:t>85.8%</w:t>
            </w:r>
          </w:p>
        </w:tc>
        <w:tc>
          <w:tcPr>
            <w:tcW w:w="80" w:type="dxa"/>
            <w:vAlign w:val="bottom"/>
          </w:tcPr>
          <w:p>
            <w:pPr>
              <w:spacing w:after="0"/>
              <w:rPr>
                <w:sz w:val="11"/>
                <w:szCs w:val="11"/>
                <w:color w:val="auto"/>
              </w:rPr>
            </w:pPr>
          </w:p>
        </w:tc>
        <w:tc>
          <w:tcPr>
            <w:tcW w:w="50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14.2%</w:t>
            </w:r>
          </w:p>
        </w:tc>
      </w:tr>
      <w:tr>
        <w:trPr>
          <w:trHeight w:val="133"/>
        </w:trPr>
        <w:tc>
          <w:tcPr>
            <w:tcW w:w="326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Mibanco</w:t>
            </w: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b w:val="1"/>
                <w:bCs w:val="1"/>
                <w:color w:val="auto"/>
              </w:rPr>
              <w:t>9,364</w:t>
            </w:r>
          </w:p>
        </w:tc>
        <w:tc>
          <w:tcPr>
            <w:tcW w:w="800" w:type="dxa"/>
            <w:vAlign w:val="bottom"/>
            <w:gridSpan w:val="3"/>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9,785</w:t>
            </w:r>
          </w:p>
        </w:tc>
        <w:tc>
          <w:tcPr>
            <w:tcW w:w="6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b w:val="1"/>
                <w:bCs w:val="1"/>
                <w:color w:val="auto"/>
              </w:rPr>
              <w:t>10,064</w:t>
            </w:r>
          </w:p>
        </w:tc>
        <w:tc>
          <w:tcPr>
            <w:tcW w:w="58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b w:val="1"/>
                <w:bCs w:val="1"/>
                <w:color w:val="auto"/>
              </w:rPr>
              <w:t>2.9%</w:t>
            </w:r>
          </w:p>
        </w:tc>
        <w:tc>
          <w:tcPr>
            <w:tcW w:w="680" w:type="dxa"/>
            <w:vAlign w:val="bottom"/>
            <w:gridSpan w:val="4"/>
            <w:shd w:val="clear" w:color="auto" w:fill="CCEEFF"/>
          </w:tcPr>
          <w:p>
            <w:pPr>
              <w:jc w:val="right"/>
              <w:ind w:right="20"/>
              <w:spacing w:after="0" w:line="134" w:lineRule="exact"/>
              <w:rPr>
                <w:sz w:val="20"/>
                <w:szCs w:val="20"/>
                <w:color w:val="auto"/>
              </w:rPr>
            </w:pPr>
            <w:r>
              <w:rPr>
                <w:rFonts w:ascii="Arial" w:cs="Arial" w:eastAsia="Arial" w:hAnsi="Arial"/>
                <w:sz w:val="12"/>
                <w:szCs w:val="12"/>
                <w:b w:val="1"/>
                <w:bCs w:val="1"/>
                <w:color w:val="auto"/>
              </w:rPr>
              <w:t>7.5%</w:t>
            </w:r>
          </w:p>
        </w:tc>
        <w:tc>
          <w:tcPr>
            <w:tcW w:w="780" w:type="dxa"/>
            <w:vAlign w:val="bottom"/>
            <w:gridSpan w:val="3"/>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164</w:t>
            </w:r>
          </w:p>
        </w:tc>
        <w:tc>
          <w:tcPr>
            <w:tcW w:w="6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157</w:t>
            </w:r>
          </w:p>
        </w:tc>
        <w:tc>
          <w:tcPr>
            <w:tcW w:w="6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b w:val="1"/>
                <w:bCs w:val="1"/>
                <w:color w:val="auto"/>
              </w:rPr>
              <w:t>165</w:t>
            </w:r>
          </w:p>
        </w:tc>
        <w:tc>
          <w:tcPr>
            <w:tcW w:w="5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5.4%</w:t>
            </w:r>
          </w:p>
        </w:tc>
        <w:tc>
          <w:tcPr>
            <w:tcW w:w="68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0.4%</w:t>
            </w:r>
          </w:p>
        </w:tc>
        <w:tc>
          <w:tcPr>
            <w:tcW w:w="78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b w:val="1"/>
                <w:bCs w:val="1"/>
                <w:color w:val="auto"/>
              </w:rPr>
              <w:t>94.7%</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5.3%</w:t>
            </w:r>
          </w:p>
        </w:tc>
      </w:tr>
      <w:tr>
        <w:trPr>
          <w:trHeight w:val="133"/>
        </w:trPr>
        <w:tc>
          <w:tcPr>
            <w:tcW w:w="3260" w:type="dxa"/>
            <w:vAlign w:val="bottom"/>
          </w:tcPr>
          <w:p>
            <w:pPr>
              <w:spacing w:after="0" w:line="134" w:lineRule="exact"/>
              <w:rPr>
                <w:sz w:val="20"/>
                <w:szCs w:val="20"/>
                <w:color w:val="auto"/>
              </w:rPr>
            </w:pPr>
            <w:r>
              <w:rPr>
                <w:rFonts w:ascii="Arial" w:cs="Arial" w:eastAsia="Arial" w:hAnsi="Arial"/>
                <w:sz w:val="12"/>
                <w:szCs w:val="12"/>
                <w:b w:val="1"/>
                <w:bCs w:val="1"/>
                <w:color w:val="auto"/>
              </w:rPr>
              <w:t>Bolivia</w:t>
            </w:r>
          </w:p>
        </w:tc>
        <w:tc>
          <w:tcPr>
            <w:tcW w:w="540" w:type="dxa"/>
            <w:vAlign w:val="bottom"/>
            <w:gridSpan w:val="2"/>
          </w:tcPr>
          <w:p>
            <w:pPr>
              <w:jc w:val="right"/>
              <w:ind w:right="80"/>
              <w:spacing w:after="0" w:line="134" w:lineRule="exact"/>
              <w:rPr>
                <w:sz w:val="20"/>
                <w:szCs w:val="20"/>
                <w:color w:val="auto"/>
              </w:rPr>
            </w:pPr>
            <w:r>
              <w:rPr>
                <w:rFonts w:ascii="Arial" w:cs="Arial" w:eastAsia="Arial" w:hAnsi="Arial"/>
                <w:sz w:val="12"/>
                <w:szCs w:val="12"/>
                <w:b w:val="1"/>
                <w:bCs w:val="1"/>
                <w:color w:val="auto"/>
              </w:rPr>
              <w:t>-</w:t>
            </w:r>
          </w:p>
        </w:tc>
        <w:tc>
          <w:tcPr>
            <w:tcW w:w="800" w:type="dxa"/>
            <w:vAlign w:val="bottom"/>
            <w:gridSpan w:val="3"/>
          </w:tcPr>
          <w:p>
            <w:pPr>
              <w:jc w:val="right"/>
              <w:ind w:right="220"/>
              <w:spacing w:after="0" w:line="134" w:lineRule="exact"/>
              <w:rPr>
                <w:sz w:val="20"/>
                <w:szCs w:val="20"/>
                <w:color w:val="auto"/>
              </w:rPr>
            </w:pPr>
            <w:r>
              <w:rPr>
                <w:rFonts w:ascii="Arial" w:cs="Arial" w:eastAsia="Arial" w:hAnsi="Arial"/>
                <w:sz w:val="12"/>
                <w:szCs w:val="12"/>
                <w:b w:val="1"/>
                <w:bCs w:val="1"/>
                <w:color w:val="auto"/>
              </w:rPr>
              <w:t>-</w:t>
            </w:r>
          </w:p>
        </w:tc>
        <w:tc>
          <w:tcPr>
            <w:tcW w:w="66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auto"/>
              </w:rPr>
              <w:t>-</w:t>
            </w:r>
          </w:p>
        </w:tc>
        <w:tc>
          <w:tcPr>
            <w:tcW w:w="580" w:type="dxa"/>
            <w:vAlign w:val="bottom"/>
            <w:gridSpan w:val="3"/>
          </w:tcPr>
          <w:p>
            <w:pPr>
              <w:jc w:val="right"/>
              <w:ind w:right="140"/>
              <w:spacing w:after="0" w:line="134" w:lineRule="exact"/>
              <w:rPr>
                <w:sz w:val="20"/>
                <w:szCs w:val="20"/>
                <w:color w:val="auto"/>
              </w:rPr>
            </w:pPr>
            <w:r>
              <w:rPr>
                <w:rFonts w:ascii="Arial" w:cs="Arial" w:eastAsia="Arial" w:hAnsi="Arial"/>
                <w:sz w:val="12"/>
                <w:szCs w:val="12"/>
                <w:b w:val="1"/>
                <w:bCs w:val="1"/>
                <w:color w:val="auto"/>
              </w:rPr>
              <w:t>-</w:t>
            </w:r>
          </w:p>
        </w:tc>
        <w:tc>
          <w:tcPr>
            <w:tcW w:w="680" w:type="dxa"/>
            <w:vAlign w:val="bottom"/>
            <w:gridSpan w:val="4"/>
          </w:tcPr>
          <w:p>
            <w:pPr>
              <w:jc w:val="right"/>
              <w:ind w:right="140"/>
              <w:spacing w:after="0" w:line="134" w:lineRule="exact"/>
              <w:rPr>
                <w:sz w:val="20"/>
                <w:szCs w:val="20"/>
                <w:color w:val="auto"/>
              </w:rPr>
            </w:pPr>
            <w:r>
              <w:rPr>
                <w:rFonts w:ascii="Arial" w:cs="Arial" w:eastAsia="Arial" w:hAnsi="Arial"/>
                <w:sz w:val="12"/>
                <w:szCs w:val="12"/>
                <w:b w:val="1"/>
                <w:bCs w:val="1"/>
                <w:color w:val="auto"/>
              </w:rPr>
              <w:t>-</w:t>
            </w:r>
          </w:p>
        </w:tc>
        <w:tc>
          <w:tcPr>
            <w:tcW w:w="780" w:type="dxa"/>
            <w:vAlign w:val="bottom"/>
            <w:gridSpan w:val="3"/>
          </w:tcPr>
          <w:p>
            <w:pPr>
              <w:jc w:val="right"/>
              <w:ind w:right="220"/>
              <w:spacing w:after="0" w:line="134" w:lineRule="exact"/>
              <w:rPr>
                <w:sz w:val="20"/>
                <w:szCs w:val="20"/>
                <w:color w:val="auto"/>
              </w:rPr>
            </w:pPr>
            <w:r>
              <w:rPr>
                <w:rFonts w:ascii="Arial" w:cs="Arial" w:eastAsia="Arial" w:hAnsi="Arial"/>
                <w:sz w:val="12"/>
                <w:szCs w:val="12"/>
                <w:b w:val="1"/>
                <w:bCs w:val="1"/>
                <w:color w:val="auto"/>
              </w:rPr>
              <w:t>2,139</w:t>
            </w:r>
          </w:p>
        </w:tc>
        <w:tc>
          <w:tcPr>
            <w:tcW w:w="66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auto"/>
              </w:rPr>
              <w:t>2,256</w:t>
            </w:r>
          </w:p>
        </w:tc>
        <w:tc>
          <w:tcPr>
            <w:tcW w:w="46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2,247</w:t>
            </w:r>
          </w:p>
        </w:tc>
        <w:tc>
          <w:tcPr>
            <w:tcW w:w="200" w:type="dxa"/>
            <w:vAlign w:val="bottom"/>
          </w:tcPr>
          <w:p>
            <w:pPr>
              <w:spacing w:after="0"/>
              <w:rPr>
                <w:sz w:val="11"/>
                <w:szCs w:val="11"/>
                <w:color w:val="auto"/>
              </w:rPr>
            </w:pPr>
          </w:p>
        </w:tc>
        <w:tc>
          <w:tcPr>
            <w:tcW w:w="580" w:type="dxa"/>
            <w:vAlign w:val="bottom"/>
            <w:gridSpan w:val="3"/>
          </w:tcPr>
          <w:p>
            <w:pPr>
              <w:jc w:val="right"/>
              <w:spacing w:after="0" w:line="134" w:lineRule="exact"/>
              <w:rPr>
                <w:sz w:val="20"/>
                <w:szCs w:val="20"/>
                <w:color w:val="auto"/>
              </w:rPr>
            </w:pPr>
            <w:r>
              <w:rPr>
                <w:rFonts w:ascii="Arial" w:cs="Arial" w:eastAsia="Arial" w:hAnsi="Arial"/>
                <w:sz w:val="12"/>
                <w:szCs w:val="12"/>
                <w:b w:val="1"/>
                <w:bCs w:val="1"/>
                <w:color w:val="auto"/>
              </w:rPr>
              <w:t>-0.4%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shd w:val="clear" w:color="auto" w:fill="BFD9F1"/>
          </w:tcPr>
          <w:p>
            <w:pPr>
              <w:jc w:val="right"/>
              <w:spacing w:after="0" w:line="134" w:lineRule="exact"/>
              <w:rPr>
                <w:sz w:val="20"/>
                <w:szCs w:val="20"/>
                <w:color w:val="auto"/>
              </w:rPr>
            </w:pPr>
            <w:r>
              <w:rPr>
                <w:rFonts w:ascii="Arial" w:cs="Arial" w:eastAsia="Arial" w:hAnsi="Arial"/>
                <w:sz w:val="12"/>
                <w:szCs w:val="12"/>
                <w:b w:val="1"/>
                <w:bCs w:val="1"/>
                <w:color w:val="auto"/>
              </w:rPr>
              <w:t>5.1%</w:t>
            </w:r>
          </w:p>
        </w:tc>
        <w:tc>
          <w:tcPr>
            <w:tcW w:w="780" w:type="dxa"/>
            <w:vAlign w:val="bottom"/>
            <w:gridSpan w:val="3"/>
          </w:tcPr>
          <w:p>
            <w:pPr>
              <w:jc w:val="right"/>
              <w:ind w:right="240"/>
              <w:spacing w:after="0" w:line="134"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1"/>
                <w:szCs w:val="11"/>
                <w:color w:val="auto"/>
              </w:rPr>
            </w:pPr>
          </w:p>
        </w:tc>
        <w:tc>
          <w:tcPr>
            <w:tcW w:w="500" w:type="dxa"/>
            <w:vAlign w:val="bottom"/>
            <w:gridSpan w:val="2"/>
          </w:tcPr>
          <w:p>
            <w:pPr>
              <w:jc w:val="right"/>
              <w:spacing w:after="0" w:line="134" w:lineRule="exact"/>
              <w:rPr>
                <w:sz w:val="20"/>
                <w:szCs w:val="20"/>
                <w:color w:val="auto"/>
              </w:rPr>
            </w:pPr>
            <w:r>
              <w:rPr>
                <w:rFonts w:ascii="Arial" w:cs="Arial" w:eastAsia="Arial" w:hAnsi="Arial"/>
                <w:sz w:val="12"/>
                <w:szCs w:val="12"/>
                <w:b w:val="1"/>
                <w:bCs w:val="1"/>
                <w:color w:val="auto"/>
              </w:rPr>
              <w:t>100.0%</w:t>
            </w:r>
          </w:p>
        </w:tc>
      </w:tr>
      <w:tr>
        <w:trPr>
          <w:trHeight w:val="133"/>
        </w:trPr>
        <w:tc>
          <w:tcPr>
            <w:tcW w:w="326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ASB</w:t>
            </w: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b w:val="1"/>
                <w:bCs w:val="1"/>
                <w:color w:val="auto"/>
              </w:rPr>
              <w:t>-</w:t>
            </w:r>
          </w:p>
        </w:tc>
        <w:tc>
          <w:tcPr>
            <w:tcW w:w="800" w:type="dxa"/>
            <w:vAlign w:val="bottom"/>
            <w:gridSpan w:val="3"/>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w:t>
            </w:r>
          </w:p>
        </w:tc>
        <w:tc>
          <w:tcPr>
            <w:tcW w:w="6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b w:val="1"/>
                <w:bCs w:val="1"/>
                <w:color w:val="auto"/>
              </w:rPr>
              <w:t>-</w:t>
            </w:r>
          </w:p>
        </w:tc>
        <w:tc>
          <w:tcPr>
            <w:tcW w:w="58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b w:val="1"/>
                <w:bCs w:val="1"/>
                <w:color w:val="auto"/>
              </w:rPr>
              <w:t>-</w:t>
            </w:r>
          </w:p>
        </w:tc>
        <w:tc>
          <w:tcPr>
            <w:tcW w:w="680" w:type="dxa"/>
            <w:vAlign w:val="bottom"/>
            <w:gridSpan w:val="4"/>
            <w:shd w:val="clear" w:color="auto" w:fill="CCEEFF"/>
          </w:tcPr>
          <w:p>
            <w:pPr>
              <w:jc w:val="right"/>
              <w:ind w:right="140"/>
              <w:spacing w:after="0" w:line="134" w:lineRule="exact"/>
              <w:rPr>
                <w:sz w:val="20"/>
                <w:szCs w:val="20"/>
                <w:color w:val="auto"/>
              </w:rPr>
            </w:pPr>
            <w:r>
              <w:rPr>
                <w:rFonts w:ascii="Arial" w:cs="Arial" w:eastAsia="Arial" w:hAnsi="Arial"/>
                <w:sz w:val="12"/>
                <w:szCs w:val="12"/>
                <w:b w:val="1"/>
                <w:bCs w:val="1"/>
                <w:color w:val="auto"/>
              </w:rPr>
              <w:t>-</w:t>
            </w:r>
          </w:p>
        </w:tc>
        <w:tc>
          <w:tcPr>
            <w:tcW w:w="780" w:type="dxa"/>
            <w:vAlign w:val="bottom"/>
            <w:gridSpan w:val="3"/>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736</w:t>
            </w:r>
          </w:p>
        </w:tc>
        <w:tc>
          <w:tcPr>
            <w:tcW w:w="6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706</w:t>
            </w:r>
          </w:p>
        </w:tc>
        <w:tc>
          <w:tcPr>
            <w:tcW w:w="6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b w:val="1"/>
                <w:bCs w:val="1"/>
                <w:color w:val="auto"/>
              </w:rPr>
              <w:t>706</w:t>
            </w:r>
          </w:p>
        </w:tc>
        <w:tc>
          <w:tcPr>
            <w:tcW w:w="5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0.0%</w:t>
            </w:r>
          </w:p>
        </w:tc>
        <w:tc>
          <w:tcPr>
            <w:tcW w:w="68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-4.0%</w:t>
            </w:r>
          </w:p>
        </w:tc>
        <w:tc>
          <w:tcPr>
            <w:tcW w:w="780" w:type="dxa"/>
            <w:vAlign w:val="bottom"/>
            <w:gridSpan w:val="3"/>
            <w:shd w:val="clear" w:color="auto" w:fill="CCEEFF"/>
          </w:tcPr>
          <w:p>
            <w:pPr>
              <w:jc w:val="right"/>
              <w:ind w:right="240"/>
              <w:spacing w:after="0" w:line="134" w:lineRule="exact"/>
              <w:rPr>
                <w:sz w:val="20"/>
                <w:szCs w:val="20"/>
                <w:color w:val="auto"/>
              </w:rPr>
            </w:pPr>
            <w:r>
              <w:rPr>
                <w:rFonts w:ascii="Arial" w:cs="Arial" w:eastAsia="Arial" w:hAnsi="Arial"/>
                <w:sz w:val="12"/>
                <w:szCs w:val="12"/>
                <w:b w:val="1"/>
                <w:bCs w:val="1"/>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100.0%</w:t>
            </w:r>
          </w:p>
        </w:tc>
      </w:tr>
      <w:tr>
        <w:trPr>
          <w:trHeight w:val="133"/>
        </w:trPr>
        <w:tc>
          <w:tcPr>
            <w:tcW w:w="3260" w:type="dxa"/>
            <w:vAlign w:val="bottom"/>
          </w:tcPr>
          <w:p>
            <w:pPr>
              <w:spacing w:after="0" w:line="134" w:lineRule="exact"/>
              <w:rPr>
                <w:sz w:val="20"/>
                <w:szCs w:val="20"/>
                <w:color w:val="auto"/>
              </w:rPr>
            </w:pPr>
            <w:r>
              <w:rPr>
                <w:rFonts w:ascii="Arial" w:cs="Arial" w:eastAsia="Arial" w:hAnsi="Arial"/>
                <w:sz w:val="12"/>
                <w:szCs w:val="12"/>
                <w:b w:val="1"/>
                <w:bCs w:val="1"/>
                <w:color w:val="auto"/>
              </w:rPr>
              <w:t>Total loans</w:t>
            </w:r>
          </w:p>
        </w:tc>
        <w:tc>
          <w:tcPr>
            <w:tcW w:w="540" w:type="dxa"/>
            <w:vAlign w:val="bottom"/>
            <w:gridSpan w:val="2"/>
          </w:tcPr>
          <w:p>
            <w:pPr>
              <w:jc w:val="right"/>
              <w:ind w:right="80"/>
              <w:spacing w:after="0" w:line="134" w:lineRule="exact"/>
              <w:rPr>
                <w:sz w:val="20"/>
                <w:szCs w:val="20"/>
                <w:color w:val="auto"/>
              </w:rPr>
            </w:pPr>
            <w:r>
              <w:rPr>
                <w:rFonts w:ascii="Arial" w:cs="Arial" w:eastAsia="Arial" w:hAnsi="Arial"/>
                <w:sz w:val="12"/>
                <w:szCs w:val="12"/>
                <w:b w:val="1"/>
                <w:bCs w:val="1"/>
                <w:color w:val="auto"/>
              </w:rPr>
              <w:t>64,320</w:t>
            </w:r>
          </w:p>
        </w:tc>
        <w:tc>
          <w:tcPr>
            <w:tcW w:w="800" w:type="dxa"/>
            <w:vAlign w:val="bottom"/>
            <w:gridSpan w:val="3"/>
          </w:tcPr>
          <w:p>
            <w:pPr>
              <w:jc w:val="right"/>
              <w:ind w:right="220"/>
              <w:spacing w:after="0" w:line="134" w:lineRule="exact"/>
              <w:rPr>
                <w:sz w:val="20"/>
                <w:szCs w:val="20"/>
                <w:color w:val="auto"/>
              </w:rPr>
            </w:pPr>
            <w:r>
              <w:rPr>
                <w:rFonts w:ascii="Arial" w:cs="Arial" w:eastAsia="Arial" w:hAnsi="Arial"/>
                <w:sz w:val="12"/>
                <w:szCs w:val="12"/>
                <w:b w:val="1"/>
                <w:bCs w:val="1"/>
                <w:color w:val="auto"/>
              </w:rPr>
              <w:t>70,655</w:t>
            </w:r>
          </w:p>
        </w:tc>
        <w:tc>
          <w:tcPr>
            <w:tcW w:w="66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auto"/>
              </w:rPr>
              <w:t>70,919</w:t>
            </w:r>
          </w:p>
        </w:tc>
        <w:tc>
          <w:tcPr>
            <w:tcW w:w="580" w:type="dxa"/>
            <w:vAlign w:val="bottom"/>
            <w:gridSpan w:val="3"/>
          </w:tcPr>
          <w:p>
            <w:pPr>
              <w:jc w:val="right"/>
              <w:ind w:right="20"/>
              <w:spacing w:after="0" w:line="134" w:lineRule="exact"/>
              <w:rPr>
                <w:sz w:val="20"/>
                <w:szCs w:val="20"/>
                <w:color w:val="auto"/>
              </w:rPr>
            </w:pPr>
            <w:r>
              <w:rPr>
                <w:rFonts w:ascii="Arial" w:cs="Arial" w:eastAsia="Arial" w:hAnsi="Arial"/>
                <w:sz w:val="12"/>
                <w:szCs w:val="12"/>
                <w:b w:val="1"/>
                <w:bCs w:val="1"/>
                <w:color w:val="auto"/>
              </w:rPr>
              <w:t>0.4%</w:t>
            </w:r>
          </w:p>
        </w:tc>
        <w:tc>
          <w:tcPr>
            <w:tcW w:w="680" w:type="dxa"/>
            <w:vAlign w:val="bottom"/>
            <w:gridSpan w:val="4"/>
          </w:tcPr>
          <w:p>
            <w:pPr>
              <w:jc w:val="right"/>
              <w:ind w:right="20"/>
              <w:spacing w:after="0" w:line="134" w:lineRule="exact"/>
              <w:rPr>
                <w:sz w:val="20"/>
                <w:szCs w:val="20"/>
                <w:color w:val="auto"/>
              </w:rPr>
            </w:pPr>
            <w:r>
              <w:rPr>
                <w:rFonts w:ascii="Arial" w:cs="Arial" w:eastAsia="Arial" w:hAnsi="Arial"/>
                <w:sz w:val="12"/>
                <w:szCs w:val="12"/>
                <w:b w:val="1"/>
                <w:bCs w:val="1"/>
                <w:color w:val="auto"/>
              </w:rPr>
              <w:t>10.3%</w:t>
            </w:r>
          </w:p>
        </w:tc>
        <w:tc>
          <w:tcPr>
            <w:tcW w:w="780" w:type="dxa"/>
            <w:vAlign w:val="bottom"/>
            <w:gridSpan w:val="3"/>
          </w:tcPr>
          <w:p>
            <w:pPr>
              <w:jc w:val="right"/>
              <w:ind w:right="220"/>
              <w:spacing w:after="0" w:line="134" w:lineRule="exact"/>
              <w:rPr>
                <w:sz w:val="20"/>
                <w:szCs w:val="20"/>
                <w:color w:val="auto"/>
              </w:rPr>
            </w:pPr>
            <w:r>
              <w:rPr>
                <w:rFonts w:ascii="Arial" w:cs="Arial" w:eastAsia="Arial" w:hAnsi="Arial"/>
                <w:sz w:val="12"/>
                <w:szCs w:val="12"/>
                <w:b w:val="1"/>
                <w:bCs w:val="1"/>
                <w:color w:val="auto"/>
              </w:rPr>
              <w:t>13,002</w:t>
            </w:r>
          </w:p>
        </w:tc>
        <w:tc>
          <w:tcPr>
            <w:tcW w:w="66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auto"/>
              </w:rPr>
              <w:t>13,119</w:t>
            </w:r>
          </w:p>
        </w:tc>
        <w:tc>
          <w:tcPr>
            <w:tcW w:w="66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auto"/>
              </w:rPr>
              <w:t>13,127</w:t>
            </w:r>
          </w:p>
        </w:tc>
        <w:tc>
          <w:tcPr>
            <w:tcW w:w="580" w:type="dxa"/>
            <w:vAlign w:val="bottom"/>
            <w:gridSpan w:val="3"/>
          </w:tcPr>
          <w:p>
            <w:pPr>
              <w:jc w:val="right"/>
              <w:spacing w:after="0" w:line="134" w:lineRule="exact"/>
              <w:rPr>
                <w:sz w:val="20"/>
                <w:szCs w:val="20"/>
                <w:color w:val="auto"/>
              </w:rPr>
            </w:pPr>
            <w:r>
              <w:rPr>
                <w:rFonts w:ascii="Arial" w:cs="Arial" w:eastAsia="Arial" w:hAnsi="Arial"/>
                <w:sz w:val="12"/>
                <w:szCs w:val="12"/>
                <w:b w:val="1"/>
                <w:bCs w:val="1"/>
                <w:color w:val="auto"/>
              </w:rPr>
              <w:t>0.1%</w:t>
            </w:r>
          </w:p>
        </w:tc>
        <w:tc>
          <w:tcPr>
            <w:tcW w:w="680" w:type="dxa"/>
            <w:vAlign w:val="bottom"/>
            <w:gridSpan w:val="4"/>
          </w:tcPr>
          <w:p>
            <w:pPr>
              <w:jc w:val="right"/>
              <w:spacing w:after="0" w:line="134"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3"/>
          </w:tcPr>
          <w:p>
            <w:pPr>
              <w:jc w:val="right"/>
              <w:ind w:right="100"/>
              <w:spacing w:after="0" w:line="134" w:lineRule="exact"/>
              <w:rPr>
                <w:sz w:val="20"/>
                <w:szCs w:val="20"/>
                <w:color w:val="auto"/>
              </w:rPr>
            </w:pPr>
            <w:r>
              <w:rPr>
                <w:rFonts w:ascii="Arial" w:cs="Arial" w:eastAsia="Arial" w:hAnsi="Arial"/>
                <w:sz w:val="12"/>
                <w:szCs w:val="12"/>
                <w:b w:val="1"/>
                <w:bCs w:val="1"/>
                <w:color w:val="auto"/>
              </w:rPr>
              <w:t>61.2%</w:t>
            </w:r>
          </w:p>
        </w:tc>
        <w:tc>
          <w:tcPr>
            <w:tcW w:w="80" w:type="dxa"/>
            <w:vAlign w:val="bottom"/>
          </w:tcPr>
          <w:p>
            <w:pPr>
              <w:spacing w:after="0"/>
              <w:rPr>
                <w:sz w:val="11"/>
                <w:szCs w:val="11"/>
                <w:color w:val="auto"/>
              </w:rPr>
            </w:pPr>
          </w:p>
        </w:tc>
        <w:tc>
          <w:tcPr>
            <w:tcW w:w="500" w:type="dxa"/>
            <w:vAlign w:val="bottom"/>
            <w:gridSpan w:val="2"/>
          </w:tcPr>
          <w:p>
            <w:pPr>
              <w:jc w:val="right"/>
              <w:spacing w:after="0" w:line="134" w:lineRule="exact"/>
              <w:rPr>
                <w:sz w:val="20"/>
                <w:szCs w:val="20"/>
                <w:color w:val="auto"/>
              </w:rPr>
            </w:pPr>
            <w:r>
              <w:rPr>
                <w:rFonts w:ascii="Arial" w:cs="Arial" w:eastAsia="Arial" w:hAnsi="Arial"/>
                <w:sz w:val="12"/>
                <w:szCs w:val="12"/>
                <w:b w:val="1"/>
                <w:bCs w:val="1"/>
                <w:color w:val="auto"/>
              </w:rPr>
              <w:t>38.8%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-1016000</wp:posOffset>
            </wp:positionV>
            <wp:extent cx="212090" cy="169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2090" cy="169545"/>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-1016000</wp:posOffset>
            </wp:positionV>
            <wp:extent cx="212090" cy="169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2090" cy="16954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-592455</wp:posOffset>
            </wp:positionV>
            <wp:extent cx="212090" cy="169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2090" cy="16954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-676910</wp:posOffset>
            </wp:positionV>
            <wp:extent cx="296545" cy="2540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6545" cy="254000"/>
                    </a:xfrm>
                    <a:prstGeom prst="rect">
                      <a:avLst/>
                    </a:prstGeom>
                    <a:noFill/>
                  </pic:spPr>
                </pic:pic>
              </a:graphicData>
            </a:graphic>
          </wp:anchor>
        </w:drawing>
      </w:r>
    </w:p>
    <w:p>
      <w:pPr>
        <w:ind w:left="640"/>
        <w:spacing w:after="0"/>
        <w:rPr>
          <w:sz w:val="20"/>
          <w:szCs w:val="20"/>
          <w:color w:val="auto"/>
        </w:rPr>
      </w:pPr>
      <w:r>
        <w:rPr>
          <w:sz w:val="1"/>
          <w:szCs w:val="1"/>
          <w:color w:val="auto"/>
        </w:rPr>
        <w:drawing>
          <wp:inline distT="0" distB="0" distL="0" distR="0">
            <wp:extent cx="406400" cy="1047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6400" cy="104775"/>
                    </a:xfrm>
                    <a:prstGeom prst="rect">
                      <a:avLst/>
                    </a:prstGeom>
                    <a:noFill/>
                    <a:ln>
                      <a:noFill/>
                    </a:ln>
                  </pic:spPr>
                </pic:pic>
              </a:graphicData>
            </a:graphic>
          </wp:inline>
        </w:drawing>
      </w:r>
      <w:r>
        <w:rPr>
          <w:rFonts w:ascii="Arial" w:cs="Arial" w:eastAsia="Arial" w:hAnsi="Arial"/>
          <w:sz w:val="18"/>
          <w:szCs w:val="18"/>
          <w:color w:val="auto"/>
        </w:rPr>
        <w:t>Highest growth in volumes</w:t>
      </w:r>
    </w:p>
    <w:p>
      <w:pPr>
        <w:ind w:left="640"/>
        <w:spacing w:after="0"/>
        <w:rPr>
          <w:sz w:val="20"/>
          <w:szCs w:val="20"/>
          <w:color w:val="auto"/>
        </w:rPr>
      </w:pPr>
      <w:r>
        <w:rPr>
          <w:sz w:val="1"/>
          <w:szCs w:val="1"/>
          <w:color w:val="auto"/>
        </w:rPr>
        <w:drawing>
          <wp:inline distT="0" distB="0" distL="0" distR="0">
            <wp:extent cx="406400" cy="1143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6400" cy="114300"/>
                    </a:xfrm>
                    <a:prstGeom prst="rect">
                      <a:avLst/>
                    </a:prstGeom>
                    <a:noFill/>
                    <a:ln>
                      <a:noFill/>
                    </a:ln>
                  </pic:spPr>
                </pic:pic>
              </a:graphicData>
            </a:graphic>
          </wp:inline>
        </w:drawing>
      </w:r>
      <w:r>
        <w:rPr>
          <w:rFonts w:ascii="Arial" w:cs="Arial" w:eastAsia="Arial" w:hAnsi="Arial"/>
          <w:sz w:val="18"/>
          <w:szCs w:val="18"/>
          <w:color w:val="auto"/>
        </w:rPr>
        <w:t>Largest contraction in volumes</w:t>
      </w:r>
    </w:p>
    <w:p>
      <w:pPr>
        <w:spacing w:after="0" w:line="2" w:lineRule="exact"/>
        <w:rPr>
          <w:sz w:val="20"/>
          <w:szCs w:val="20"/>
          <w:color w:val="auto"/>
        </w:rPr>
      </w:pPr>
    </w:p>
    <w:p>
      <w:pPr>
        <w:ind w:left="260" w:hanging="253"/>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5" w:lineRule="exact"/>
        <w:rPr>
          <w:rFonts w:ascii="Arial" w:cs="Arial" w:eastAsia="Arial" w:hAnsi="Arial"/>
          <w:sz w:val="18"/>
          <w:szCs w:val="18"/>
          <w:color w:val="auto"/>
        </w:rPr>
      </w:pPr>
    </w:p>
    <w:p>
      <w:pPr>
        <w:ind w:left="260" w:hanging="253"/>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Work out unit, and other banking.</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QoQ analysis of loan expansion by currency reveals that growth in LC was led by the Retail Banking segment and Mibanco. The evolution of Wholesale Banking, however, partially offset this growth. The Corporate Banking segment contributed positively to growth in the FC portfolio, which was partially offset by the evolution of the SME-Business and Mortgage segments within Retail Banking.</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YoY evolution, the Wholesale Banking and Retail Banking segments and Mibanco contributed to growth in the LC portfolio. Within the portfolio denominated in FC, the Wholesale Banking portfolio and BCP Bolivia bolstered expansion, which was partially offset by the drop in balances in FC in the Mortgage segment.</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 xml:space="preserve">YoY evolution of the level of dollarization by segment </w:t>
      </w:r>
      <w:r>
        <w:rPr>
          <w:rFonts w:ascii="Arial" w:cs="Arial" w:eastAsia="Arial" w:hAnsi="Arial"/>
          <w:sz w:val="29"/>
          <w:szCs w:val="29"/>
          <w:b w:val="1"/>
          <w:bCs w:val="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93980</wp:posOffset>
            </wp:positionV>
            <wp:extent cx="6701790" cy="2321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01790" cy="232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60" w:hanging="253"/>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daily balances.</w:t>
      </w:r>
    </w:p>
    <w:p>
      <w:pPr>
        <w:spacing w:after="0" w:line="19" w:lineRule="exact"/>
        <w:rPr>
          <w:rFonts w:ascii="Arial" w:cs="Arial" w:eastAsia="Arial" w:hAnsi="Arial"/>
          <w:sz w:val="18"/>
          <w:szCs w:val="18"/>
          <w:color w:val="auto"/>
        </w:rPr>
      </w:pPr>
    </w:p>
    <w:p>
      <w:pPr>
        <w:ind w:right="20" w:firstLine="7"/>
        <w:spacing w:after="0" w:line="247" w:lineRule="auto"/>
        <w:tabs>
          <w:tab w:leader="none" w:pos="2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FC share of Credicorp’s loan portfolio is calculated including BCP Bolivia and ASB, however the chart shows only the loan books of BCP Stand-alone and Mibanco.</w:t>
      </w:r>
    </w:p>
    <w:p>
      <w:pPr>
        <w:ind w:firstLine="7"/>
        <w:spacing w:after="0" w:line="255" w:lineRule="auto"/>
        <w:tabs>
          <w:tab w:leader="none" w:pos="2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year with the historic maximum level of dollarization for Wholesale Banking was 2012, for Mibanco was 2016 and for the rest of segments was 2009.</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At BCP Stand-alone, the level of loan dollarization fell YoY to situate at 36%. Dollarization continued to follow a downward trend across segments, led by the Mortgage segment, where the level fell from 17% in March 2019 to 13% in March 2020. The aforementioned was attributable to the fact that a high percentage of mortgage loans were disbursed in FC and also reflects compliance with the dollarization targets set by the Central Bank.</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It is important to note that, as is evident in the figure below, the percentage of the loan portfolio that is highly exposed to FX-risk on credit risk remains very 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FX risk on credit risk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1783715</wp:posOffset>
            </wp:positionH>
            <wp:positionV relativeFrom="paragraph">
              <wp:posOffset>15875</wp:posOffset>
            </wp:positionV>
            <wp:extent cx="3550285" cy="1779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0285" cy="177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BCRP de-dollarization plan at BCP Stand-alone</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the end of 2014, BCRP set up a Program to reduce the dollarization level of the loan book in the Peruvian Banking System. As part of this Program, BCRP set some targets to reduce the loan balances in US Dollars progressively at the end of June 2015, December 2015, December 2016, December 2017, December 2018 and December 2019. Nevertheless, for the remainder of 2020, BCRP has suspended the requirement for additional reserves for FC loans and consequently suspended the reduction targets for loan balances in FC. BCRP’s decisions were driven by the need to shore up the financial system’s liquidity to mitigate the impact of the COVID-19 crisis on all fronts.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1.2.4. Market share in loans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-40640</wp:posOffset>
            </wp:positionV>
            <wp:extent cx="6600190" cy="1830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00190" cy="183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(1) Market shares are different that previously reported because now includes non-performing loans in the sample.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Peruvian Financial System</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the end of February 2020, BCP Stand-alone continued to lead the Peruvian financial market (1) with a market share (MS) of 28.8, which topped the 17.7% posted by its closest competitor. Mibanco’s MS of the total financial system was situated at 3.2%, which was similar to the figures posted for 4Q19 and 1Q19.</w:t>
      </w:r>
    </w:p>
    <w:p>
      <w:pPr>
        <w:spacing w:after="0" w:line="18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Within Wholesale Banking, Corporate Banking registered an advance of +40 bps in its MS versus the figure posted in 4Q19. Middle Market Banking’s MS, on the other hand, held steady at 35.9%. In the YoY evolution, Corporate Banking registered a -40 bps decline in its MS while Middle Market Banking reported a +50 bps increase in its MS. It is important to note that these BCP segments continue to lead their respective markets.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Retail Banking, BCP continued to lead the market in the Mortgage segment (+0 bps QoQ and +60 bps YoY) and in SME-Business (-120 bps QoQ and +310 bps YoY). In the Consumer and Credit Card segments, BCP was situated second in both markets.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SME-Pyme segment, Mibanco continued to lead the pack with an MS of 21.9%, which topped the MS registered in 4Q19 of 21.7% but fell below the 22.4% reported in 1Q19 due to a highly competitive context for microlending in 2019. BCP continued to rank second in the microlending segment with an MS of 11.6%.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Bolivian Financial System</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Finally, </w:t>
      </w:r>
      <w:r>
        <w:rPr>
          <w:rFonts w:ascii="Arial" w:cs="Arial" w:eastAsia="Arial" w:hAnsi="Arial"/>
          <w:sz w:val="18"/>
          <w:szCs w:val="18"/>
          <w:b w:val="1"/>
          <w:bCs w:val="1"/>
          <w:color w:val="auto"/>
        </w:rPr>
        <w:t>BCP Bolivia’s</w:t>
      </w:r>
      <w:r>
        <w:rPr>
          <w:rFonts w:ascii="Arial" w:cs="Arial" w:eastAsia="Arial" w:hAnsi="Arial"/>
          <w:sz w:val="18"/>
          <w:szCs w:val="18"/>
          <w:color w:val="auto"/>
        </w:rPr>
        <w:t xml:space="preserve"> MS remained at the levels recorded last quarter and for the previous year. The subsidiary continues to rank fifth in the Bolivian financial system with a market share of 9.4%.</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ind w:left="460" w:hanging="453"/>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24"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i w:val="1"/>
          <w:iCs w:val="1"/>
          <w:color w:val="auto"/>
        </w:rPr>
        <w:t>In 1Q20, total funding increased +7.0% QoQ and +13.6% YoY. Growth was primarily attributable to an increase in Deposits and obligations, which reported expansion in their share of total funding. This was driven mainly by growth in the volume of demand deposits, primarily non-interest bearing, and savings deposits, which constitute lowest-cost sources of funding. Within other sources of funding, the highest growth was seen in Due to banks and correspondents. The funding mix and the rate effect contributed to a contraction of -17 bps QoQ and -25 bps YoY in Credicorp’s funding cost.</w:t>
      </w:r>
    </w:p>
    <w:p>
      <w:pPr>
        <w:spacing w:after="0" w:line="175" w:lineRule="exact"/>
        <w:rPr>
          <w:sz w:val="20"/>
          <w:szCs w:val="20"/>
          <w:color w:val="auto"/>
        </w:rPr>
      </w:pPr>
    </w:p>
    <w:tbl>
      <w:tblPr>
        <w:tblLayout w:type="fixed"/>
        <w:tblInd w:w="640" w:type="dxa"/>
        <w:tblCellMar>
          <w:top w:w="0" w:type="dxa"/>
          <w:left w:w="0" w:type="dxa"/>
          <w:bottom w:w="0" w:type="dxa"/>
          <w:right w:w="0" w:type="dxa"/>
        </w:tblCellMar>
      </w:tblPr>
      <w:tr>
        <w:trPr>
          <w:trHeight w:val="209"/>
        </w:trPr>
        <w:tc>
          <w:tcPr>
            <w:tcW w:w="4220" w:type="dxa"/>
            <w:vAlign w:val="bottom"/>
            <w:gridSpan w:val="2"/>
          </w:tcPr>
          <w:p>
            <w:pPr>
              <w:spacing w:after="0"/>
              <w:rPr>
                <w:sz w:val="20"/>
                <w:szCs w:val="20"/>
                <w:color w:val="auto"/>
              </w:rPr>
            </w:pPr>
            <w:r>
              <w:rPr>
                <w:rFonts w:ascii="Arial" w:cs="Arial" w:eastAsia="Arial" w:hAnsi="Arial"/>
                <w:sz w:val="16"/>
                <w:szCs w:val="16"/>
                <w:b w:val="1"/>
                <w:bCs w:val="1"/>
                <w:color w:val="auto"/>
              </w:rPr>
              <w:t>Funding</w:t>
            </w: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As of</w:t>
            </w: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w w:val="93"/>
              </w:rPr>
              <w:t>% change</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4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Mar 19</w:t>
            </w: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Dec 19</w:t>
            </w: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Mar 20</w:t>
            </w: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QoQ</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7"/>
                <w:szCs w:val="17"/>
                <w:color w:val="auto"/>
              </w:rPr>
            </w:pPr>
          </w:p>
        </w:tc>
      </w:tr>
      <w:tr>
        <w:trPr>
          <w:trHeight w:val="193"/>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Demand deposits</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31,695,558</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34,213,188</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38,746,287</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w:t>
            </w:r>
          </w:p>
        </w:tc>
        <w:tc>
          <w:tcPr>
            <w:tcW w:w="2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22.2%</w:t>
            </w:r>
          </w:p>
        </w:tc>
      </w:tr>
      <w:tr>
        <w:trPr>
          <w:trHeight w:val="200"/>
        </w:trPr>
        <w:tc>
          <w:tcPr>
            <w:tcW w:w="4220" w:type="dxa"/>
            <w:vAlign w:val="bottom"/>
            <w:gridSpan w:val="2"/>
          </w:tcPr>
          <w:p>
            <w:pPr>
              <w:spacing w:after="0"/>
              <w:rPr>
                <w:sz w:val="20"/>
                <w:szCs w:val="20"/>
                <w:color w:val="auto"/>
              </w:rPr>
            </w:pPr>
            <w:r>
              <w:rPr>
                <w:rFonts w:ascii="Arial" w:cs="Arial" w:eastAsia="Arial" w:hAnsi="Arial"/>
                <w:sz w:val="16"/>
                <w:szCs w:val="16"/>
                <w:color w:val="auto"/>
              </w:rPr>
              <w:t>Saving deposits</w:t>
            </w:r>
          </w:p>
        </w:tc>
        <w:tc>
          <w:tcPr>
            <w:tcW w:w="900" w:type="dxa"/>
            <w:vAlign w:val="bottom"/>
          </w:tcPr>
          <w:p>
            <w:pPr>
              <w:jc w:val="right"/>
              <w:spacing w:after="0"/>
              <w:rPr>
                <w:sz w:val="20"/>
                <w:szCs w:val="20"/>
                <w:color w:val="auto"/>
              </w:rPr>
            </w:pPr>
            <w:r>
              <w:rPr>
                <w:rFonts w:ascii="Arial" w:cs="Arial" w:eastAsia="Arial" w:hAnsi="Arial"/>
                <w:sz w:val="16"/>
                <w:szCs w:val="16"/>
                <w:color w:val="auto"/>
              </w:rPr>
              <w:t>32,968,147</w:t>
            </w: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35,179,770</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37,872,908</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7.7%</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14.9%</w:t>
            </w:r>
          </w:p>
        </w:tc>
      </w:tr>
      <w:tr>
        <w:trPr>
          <w:trHeight w:val="200"/>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Time deposits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31,399,811</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34,034,037</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35,045,214</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r>
      <w:tr>
        <w:trPr>
          <w:trHeight w:val="200"/>
        </w:trPr>
        <w:tc>
          <w:tcPr>
            <w:tcW w:w="4220" w:type="dxa"/>
            <w:vAlign w:val="bottom"/>
            <w:gridSpan w:val="2"/>
          </w:tcPr>
          <w:p>
            <w:pPr>
              <w:spacing w:after="0"/>
              <w:rPr>
                <w:sz w:val="20"/>
                <w:szCs w:val="20"/>
                <w:color w:val="auto"/>
              </w:rPr>
            </w:pPr>
            <w:r>
              <w:rPr>
                <w:rFonts w:ascii="Arial" w:cs="Arial" w:eastAsia="Arial" w:hAnsi="Arial"/>
                <w:sz w:val="16"/>
                <w:szCs w:val="16"/>
                <w:color w:val="auto"/>
              </w:rPr>
              <w:t>Severance indemnity deposits</w:t>
            </w:r>
          </w:p>
        </w:tc>
        <w:tc>
          <w:tcPr>
            <w:tcW w:w="900" w:type="dxa"/>
            <w:vAlign w:val="bottom"/>
          </w:tcPr>
          <w:p>
            <w:pPr>
              <w:jc w:val="right"/>
              <w:spacing w:after="0"/>
              <w:rPr>
                <w:sz w:val="20"/>
                <w:szCs w:val="20"/>
                <w:color w:val="auto"/>
              </w:rPr>
            </w:pPr>
            <w:r>
              <w:rPr>
                <w:rFonts w:ascii="Arial" w:cs="Arial" w:eastAsia="Arial" w:hAnsi="Arial"/>
                <w:sz w:val="16"/>
                <w:szCs w:val="16"/>
                <w:color w:val="auto"/>
              </w:rPr>
              <w:t>7,074,344</w:t>
            </w: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7,897,199</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7,204,922</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-8.8%</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r>
      <w:tr>
        <w:trPr>
          <w:trHeight w:val="200"/>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payable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589,397</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681,191</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694,214</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17.8%</w:t>
            </w:r>
          </w:p>
        </w:tc>
      </w:tr>
      <w:tr>
        <w:trPr>
          <w:trHeight w:val="200"/>
        </w:trPr>
        <w:tc>
          <w:tcPr>
            <w:tcW w:w="4220" w:type="dxa"/>
            <w:vAlign w:val="bottom"/>
            <w:gridSpan w:val="2"/>
          </w:tcPr>
          <w:p>
            <w:pPr>
              <w:spacing w:after="0"/>
              <w:rPr>
                <w:sz w:val="20"/>
                <w:szCs w:val="20"/>
                <w:color w:val="auto"/>
              </w:rPr>
            </w:pPr>
            <w:r>
              <w:rPr>
                <w:rFonts w:ascii="Arial" w:cs="Arial" w:eastAsia="Arial" w:hAnsi="Arial"/>
                <w:sz w:val="16"/>
                <w:szCs w:val="16"/>
                <w:b w:val="1"/>
                <w:bCs w:val="1"/>
                <w:color w:val="auto"/>
              </w:rPr>
              <w:t>Deposits and obligations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8"/>
              </w:rPr>
              <w:t>103,727,257</w:t>
            </w: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8"/>
              </w:rPr>
              <w:t>112,005,385</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8"/>
              </w:rPr>
              <w:t>119,563,545</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6.7%</w:t>
            </w:r>
          </w:p>
        </w:tc>
        <w:tc>
          <w:tcPr>
            <w:tcW w:w="2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15.3%</w:t>
            </w:r>
          </w:p>
        </w:tc>
      </w:tr>
      <w:tr>
        <w:trPr>
          <w:trHeight w:val="200"/>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to banks and correspondents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7,219,120</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8,841,732</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9,854,630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36.5%</w:t>
            </w:r>
          </w:p>
        </w:tc>
      </w:tr>
      <w:tr>
        <w:trPr>
          <w:trHeight w:val="200"/>
        </w:trPr>
        <w:tc>
          <w:tcPr>
            <w:tcW w:w="4220" w:type="dxa"/>
            <w:vAlign w:val="bottom"/>
            <w:gridSpan w:val="2"/>
          </w:tcPr>
          <w:p>
            <w:pPr>
              <w:spacing w:after="0"/>
              <w:rPr>
                <w:sz w:val="20"/>
                <w:szCs w:val="20"/>
                <w:color w:val="auto"/>
              </w:rPr>
            </w:pPr>
            <w:r>
              <w:rPr>
                <w:rFonts w:ascii="Arial" w:cs="Arial" w:eastAsia="Arial" w:hAnsi="Arial"/>
                <w:sz w:val="16"/>
                <w:szCs w:val="16"/>
                <w:color w:val="auto"/>
              </w:rPr>
              <w:t>BCRP instruments</w:t>
            </w:r>
          </w:p>
        </w:tc>
        <w:tc>
          <w:tcPr>
            <w:tcW w:w="900" w:type="dxa"/>
            <w:vAlign w:val="bottom"/>
          </w:tcPr>
          <w:p>
            <w:pPr>
              <w:jc w:val="right"/>
              <w:spacing w:after="0"/>
              <w:rPr>
                <w:sz w:val="20"/>
                <w:szCs w:val="20"/>
                <w:color w:val="auto"/>
              </w:rPr>
            </w:pPr>
            <w:r>
              <w:rPr>
                <w:rFonts w:ascii="Arial" w:cs="Arial" w:eastAsia="Arial" w:hAnsi="Arial"/>
                <w:sz w:val="16"/>
                <w:szCs w:val="16"/>
                <w:color w:val="auto"/>
              </w:rPr>
              <w:t>4,984,192</w:t>
            </w: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4,381,011</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5,346,373</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22.0%</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7.3%</w:t>
            </w:r>
          </w:p>
        </w:tc>
      </w:tr>
      <w:tr>
        <w:trPr>
          <w:trHeight w:val="200"/>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Repurchase agreements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2,324,385</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1,820,911</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1,935,879</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-16.7%</w:t>
            </w:r>
          </w:p>
        </w:tc>
      </w:tr>
      <w:tr>
        <w:trPr>
          <w:trHeight w:val="200"/>
        </w:trPr>
        <w:tc>
          <w:tcPr>
            <w:tcW w:w="4220" w:type="dxa"/>
            <w:vAlign w:val="bottom"/>
            <w:gridSpan w:val="2"/>
          </w:tcPr>
          <w:p>
            <w:pPr>
              <w:spacing w:after="0"/>
              <w:rPr>
                <w:sz w:val="20"/>
                <w:szCs w:val="20"/>
                <w:color w:val="auto"/>
              </w:rPr>
            </w:pPr>
            <w:r>
              <w:rPr>
                <w:rFonts w:ascii="Arial" w:cs="Arial" w:eastAsia="Arial" w:hAnsi="Arial"/>
                <w:sz w:val="16"/>
                <w:szCs w:val="16"/>
                <w:color w:val="auto"/>
              </w:rPr>
              <w:t>Bonds and notes issued</w:t>
            </w:r>
          </w:p>
        </w:tc>
        <w:tc>
          <w:tcPr>
            <w:tcW w:w="900" w:type="dxa"/>
            <w:vAlign w:val="bottom"/>
          </w:tcPr>
          <w:p>
            <w:pPr>
              <w:jc w:val="right"/>
              <w:spacing w:after="0"/>
              <w:rPr>
                <w:sz w:val="20"/>
                <w:szCs w:val="20"/>
                <w:color w:val="auto"/>
              </w:rPr>
            </w:pPr>
            <w:r>
              <w:rPr>
                <w:rFonts w:ascii="Arial" w:cs="Arial" w:eastAsia="Arial" w:hAnsi="Arial"/>
                <w:sz w:val="16"/>
                <w:szCs w:val="16"/>
                <w:color w:val="auto"/>
              </w:rPr>
              <w:t>15,472,882</w:t>
            </w: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14,946,363</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15,197,237</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r>
      <w:tr>
        <w:trPr>
          <w:trHeight w:val="200"/>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funding</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133,727,836</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98"/>
              </w:rPr>
              <w:t>141,995,402</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98"/>
              </w:rPr>
              <w:t>151,897,664</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7.0%</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13.6%</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Funding Structure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5080</wp:posOffset>
            </wp:positionV>
            <wp:extent cx="6049645" cy="2609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49645" cy="2609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60" w:firstLine="386"/>
        <w:spacing w:after="0" w:line="556" w:lineRule="auto"/>
        <w:tabs>
          <w:tab w:leader="none" w:pos="631" w:val="left"/>
        </w:tabs>
        <w:numPr>
          <w:ilvl w:val="1"/>
          <w:numId w:val="16"/>
        </w:numPr>
        <w:rPr>
          <w:rFonts w:ascii="Arial" w:cs="Arial" w:eastAsia="Arial" w:hAnsi="Arial"/>
          <w:sz w:val="16"/>
          <w:szCs w:val="16"/>
          <w:color w:val="auto"/>
        </w:rPr>
      </w:pPr>
      <w:r>
        <w:rPr>
          <w:rFonts w:ascii="Arial" w:cs="Arial" w:eastAsia="Arial" w:hAnsi="Arial"/>
          <w:sz w:val="16"/>
          <w:szCs w:val="16"/>
          <w:color w:val="auto"/>
        </w:rPr>
        <w:t>Figures differ from previously reported due to the implementation of IFRS 19, where financing expenses related to lease agreements are included. The figure depicting the Evolution of Credicorp’s structure and funding cost is calculated with period-end balances. In general, the funding structure reflects:</w:t>
      </w:r>
    </w:p>
    <w:p>
      <w:pPr>
        <w:spacing w:after="0" w:line="1" w:lineRule="exact"/>
        <w:rPr>
          <w:rFonts w:ascii="Arial" w:cs="Arial" w:eastAsia="Arial" w:hAnsi="Arial"/>
          <w:sz w:val="16"/>
          <w:szCs w:val="16"/>
          <w:color w:val="auto"/>
        </w:rPr>
      </w:pPr>
    </w:p>
    <w:p>
      <w:pPr>
        <w:jc w:val="both"/>
        <w:ind w:left="960" w:hanging="633"/>
        <w:spacing w:after="0" w:line="258"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on-going growth in deposits, the main source of funding, which imply lower costs than other funding sources. The share of deposits in total funding increased considerably YoY to situate at 78.7% (vs 77.6% in Mar 19). This growth was due to an increase in the volume of all deposit types, which reflects expansion of +15.3% YoY.</w:t>
      </w:r>
    </w:p>
    <w:p>
      <w:pPr>
        <w:spacing w:after="0" w:line="186" w:lineRule="exact"/>
        <w:rPr>
          <w:rFonts w:ascii="Arial" w:cs="Arial" w:eastAsia="Arial" w:hAnsi="Arial"/>
          <w:sz w:val="18"/>
          <w:szCs w:val="18"/>
          <w:color w:val="auto"/>
        </w:rPr>
      </w:pPr>
    </w:p>
    <w:p>
      <w:pPr>
        <w:ind w:left="960" w:right="20" w:hanging="633"/>
        <w:spacing w:after="0" w:line="300" w:lineRule="auto"/>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Within the deposit mix, demand deposits and savings deposits reported significant growth at the end of Mar 20, increasing their share of total deposits to 64.1% (vs 62.0% in Dec 19 and 62.3% in Mar 19). Both deposit types offer the lowest costs within the mix of deposits.</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jc w:val="both"/>
        <w:ind w:left="960" w:right="20" w:hanging="633"/>
        <w:spacing w:after="0" w:line="258"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Expansion of +7.8% QoQ and YoY in Other funding sources, which was mainly attributable to an increase in the volume of Due to banks and correspondents (+11.5% QoQ and +36.5% YoY) and BCRP Instruments (+22.0% QoQ and +7.3% YoY), which we will explain further in section 2.3 Other sources of funding.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Deposits</w:t>
      </w: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Deposits and obligations</w:t>
            </w: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As of</w:t>
            </w: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w w:val="93"/>
              </w:rPr>
              <w:t>% change</w:t>
            </w: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Mar 19</w:t>
            </w: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Dec 19</w:t>
            </w: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Mar 20</w:t>
            </w: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7"/>
                <w:szCs w:val="17"/>
                <w:color w:val="auto"/>
              </w:rPr>
            </w:pPr>
          </w:p>
        </w:tc>
      </w:tr>
      <w:tr>
        <w:trPr>
          <w:trHeight w:val="193"/>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Demand deposits</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31,695,558</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34,213,188</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38,746,287</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w:t>
            </w:r>
          </w:p>
        </w:tc>
        <w:tc>
          <w:tcPr>
            <w:tcW w:w="2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22.2%</w:t>
            </w:r>
          </w:p>
        </w:tc>
      </w:tr>
      <w:tr>
        <w:trPr>
          <w:trHeight w:val="200"/>
        </w:trPr>
        <w:tc>
          <w:tcPr>
            <w:tcW w:w="4200" w:type="dxa"/>
            <w:vAlign w:val="bottom"/>
            <w:gridSpan w:val="2"/>
          </w:tcPr>
          <w:p>
            <w:pPr>
              <w:spacing w:after="0"/>
              <w:rPr>
                <w:sz w:val="20"/>
                <w:szCs w:val="20"/>
                <w:color w:val="auto"/>
              </w:rPr>
            </w:pPr>
            <w:r>
              <w:rPr>
                <w:rFonts w:ascii="Arial" w:cs="Arial" w:eastAsia="Arial" w:hAnsi="Arial"/>
                <w:sz w:val="16"/>
                <w:szCs w:val="16"/>
                <w:color w:val="auto"/>
              </w:rPr>
              <w:t>Saving deposits</w:t>
            </w:r>
          </w:p>
        </w:tc>
        <w:tc>
          <w:tcPr>
            <w:tcW w:w="900" w:type="dxa"/>
            <w:vAlign w:val="bottom"/>
          </w:tcPr>
          <w:p>
            <w:pPr>
              <w:jc w:val="right"/>
              <w:spacing w:after="0"/>
              <w:rPr>
                <w:sz w:val="20"/>
                <w:szCs w:val="20"/>
                <w:color w:val="auto"/>
              </w:rPr>
            </w:pPr>
            <w:r>
              <w:rPr>
                <w:rFonts w:ascii="Arial" w:cs="Arial" w:eastAsia="Arial" w:hAnsi="Arial"/>
                <w:sz w:val="16"/>
                <w:szCs w:val="16"/>
                <w:color w:val="auto"/>
              </w:rPr>
              <w:t>32,968,147</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35,179,770</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37,872,908</w:t>
            </w: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7.7%</w:t>
            </w:r>
          </w:p>
        </w:tc>
        <w:tc>
          <w:tcPr>
            <w:tcW w:w="2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14.9%</w:t>
            </w:r>
          </w:p>
        </w:tc>
      </w:tr>
      <w:tr>
        <w:trPr>
          <w:trHeight w:val="200"/>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Time deposits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31,399,811</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34,034,037</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35,045,214</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11.6%</w:t>
            </w:r>
          </w:p>
        </w:tc>
      </w:tr>
      <w:tr>
        <w:trPr>
          <w:trHeight w:val="200"/>
        </w:trPr>
        <w:tc>
          <w:tcPr>
            <w:tcW w:w="4200" w:type="dxa"/>
            <w:vAlign w:val="bottom"/>
            <w:gridSpan w:val="2"/>
          </w:tcPr>
          <w:p>
            <w:pPr>
              <w:spacing w:after="0"/>
              <w:rPr>
                <w:sz w:val="20"/>
                <w:szCs w:val="20"/>
                <w:color w:val="auto"/>
              </w:rPr>
            </w:pPr>
            <w:r>
              <w:rPr>
                <w:rFonts w:ascii="Arial" w:cs="Arial" w:eastAsia="Arial" w:hAnsi="Arial"/>
                <w:sz w:val="16"/>
                <w:szCs w:val="16"/>
                <w:color w:val="auto"/>
              </w:rPr>
              <w:t>Severance indemnity deposits</w:t>
            </w:r>
          </w:p>
        </w:tc>
        <w:tc>
          <w:tcPr>
            <w:tcW w:w="900" w:type="dxa"/>
            <w:vAlign w:val="bottom"/>
          </w:tcPr>
          <w:p>
            <w:pPr>
              <w:jc w:val="right"/>
              <w:spacing w:after="0"/>
              <w:rPr>
                <w:sz w:val="20"/>
                <w:szCs w:val="20"/>
                <w:color w:val="auto"/>
              </w:rPr>
            </w:pPr>
            <w:r>
              <w:rPr>
                <w:rFonts w:ascii="Arial" w:cs="Arial" w:eastAsia="Arial" w:hAnsi="Arial"/>
                <w:sz w:val="16"/>
                <w:szCs w:val="16"/>
                <w:color w:val="auto"/>
              </w:rPr>
              <w:t>7,074,344</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7,897,199</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7,204,922</w:t>
            </w: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-8.8%</w:t>
            </w:r>
          </w:p>
        </w:tc>
        <w:tc>
          <w:tcPr>
            <w:tcW w:w="2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1.8%</w:t>
            </w:r>
          </w:p>
        </w:tc>
      </w:tr>
      <w:tr>
        <w:trPr>
          <w:trHeight w:val="200"/>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payable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589,397</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681,191</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694,214</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17.8%</w:t>
            </w:r>
          </w:p>
        </w:tc>
      </w:tr>
      <w:tr>
        <w:trPr>
          <w:trHeight w:val="209"/>
        </w:trPr>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Deposits and obligations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6"/>
              </w:rPr>
              <w:t>103,727,257</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6"/>
              </w:rPr>
              <w:t>112,005,385</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6"/>
              </w:rPr>
              <w:t>119,563,545</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6.7%</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15.3%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Deposits and obligations </w:t>
      </w:r>
      <w:r>
        <w:rPr>
          <w:rFonts w:ascii="Arial" w:cs="Arial" w:eastAsia="Arial" w:hAnsi="Arial"/>
          <w:sz w:val="18"/>
          <w:szCs w:val="18"/>
          <w:color w:val="auto"/>
        </w:rPr>
        <w:t>expanded +6.7% QoQ. The QoQ evolution of the deposit mix shows:</w:t>
      </w:r>
    </w:p>
    <w:p>
      <w:pPr>
        <w:spacing w:after="0" w:line="220" w:lineRule="exact"/>
        <w:rPr>
          <w:sz w:val="20"/>
          <w:szCs w:val="20"/>
          <w:color w:val="auto"/>
        </w:rPr>
      </w:pPr>
    </w:p>
    <w:p>
      <w:pPr>
        <w:jc w:val="both"/>
        <w:ind w:left="960" w:hanging="633"/>
        <w:spacing w:after="0" w:line="272"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The increase in </w:t>
      </w:r>
      <w:r>
        <w:rPr>
          <w:rFonts w:ascii="Arial" w:cs="Arial" w:eastAsia="Arial" w:hAnsi="Arial"/>
          <w:sz w:val="17"/>
          <w:szCs w:val="17"/>
          <w:b w:val="1"/>
          <w:bCs w:val="1"/>
          <w:color w:val="auto"/>
        </w:rPr>
        <w:t>demand deposits</w:t>
      </w:r>
      <w:r>
        <w:rPr>
          <w:rFonts w:ascii="Arial" w:cs="Arial" w:eastAsia="Arial" w:hAnsi="Arial"/>
          <w:sz w:val="17"/>
          <w:szCs w:val="17"/>
          <w:color w:val="auto"/>
        </w:rPr>
        <w:t>, which represents 60% of the growth in total deposits, was primarily due to increase in volume from Wholesale Banking clients at BCP Stand-alone, who increased their demand for liquidity, and in a lesser extent, to the evolution at ASB, due to the transfer of client balances to their accounts, to reduce the exposure of their investment portfolios due to the market volatility. This evolution reflects the impact of COVID-19 and a variation in the exchange rate, exercising a preponderant effect on FC deposits, given that volumes in FC represent 57% of the total volume and 65% of the increase of demand deposits.</w:t>
      </w:r>
    </w:p>
    <w:p>
      <w:pPr>
        <w:spacing w:after="0" w:line="173" w:lineRule="exact"/>
        <w:rPr>
          <w:rFonts w:ascii="Arial" w:cs="Arial" w:eastAsia="Arial" w:hAnsi="Arial"/>
          <w:sz w:val="17"/>
          <w:szCs w:val="17"/>
          <w:color w:val="auto"/>
        </w:rPr>
      </w:pPr>
    </w:p>
    <w:p>
      <w:pPr>
        <w:jc w:val="both"/>
        <w:ind w:left="960" w:hanging="633"/>
        <w:spacing w:after="0" w:line="232"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savings deposits</w:t>
      </w:r>
      <w:r>
        <w:rPr>
          <w:rFonts w:ascii="Arial" w:cs="Arial" w:eastAsia="Arial" w:hAnsi="Arial"/>
          <w:sz w:val="18"/>
          <w:szCs w:val="18"/>
          <w:color w:val="auto"/>
        </w:rPr>
        <w:t>, which increased +7.7% QoQ due to higher volumes in LC (which accounted for 67% of the increase). This expansion was due to (i) profit sharing and/or bonuses for individual persons with savings accounts at BCP Stand-alone or Mibanco in the month of March, (ii) the obligatory lockdown established by the Peruvian government since March 15</w:t>
      </w:r>
      <w:r>
        <w:rPr>
          <w:rFonts w:ascii="Arial" w:cs="Arial" w:eastAsia="Arial" w:hAnsi="Arial"/>
          <w:sz w:val="29"/>
          <w:szCs w:val="29"/>
          <w:color w:val="auto"/>
          <w:vertAlign w:val="superscript"/>
        </w:rPr>
        <w:t>th</w:t>
      </w:r>
      <w:r>
        <w:rPr>
          <w:rFonts w:ascii="Arial" w:cs="Arial" w:eastAsia="Arial" w:hAnsi="Arial"/>
          <w:sz w:val="18"/>
          <w:szCs w:val="18"/>
          <w:color w:val="auto"/>
        </w:rPr>
        <w:t>, and (iii) an increase in the number of savings accounts opened through cost-efficient channels (Kiosko and Vía BCP). These channels represent 41% of total account openings (vs 34% in 4Q19).</w:t>
      </w:r>
    </w:p>
    <w:p>
      <w:pPr>
        <w:spacing w:after="0" w:line="198" w:lineRule="exact"/>
        <w:rPr>
          <w:rFonts w:ascii="Arial" w:cs="Arial" w:eastAsia="Arial" w:hAnsi="Arial"/>
          <w:sz w:val="18"/>
          <w:szCs w:val="18"/>
          <w:color w:val="auto"/>
        </w:rPr>
      </w:pPr>
    </w:p>
    <w:p>
      <w:pPr>
        <w:jc w:val="both"/>
        <w:ind w:left="960" w:hanging="633"/>
        <w:spacing w:after="0" w:line="261"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increase in the volume of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at (i) BCP Stand-alone after more time deposits were opened in February through Wholesale Banking (especially at Corporate Banking), after competitive rates were offered for professional funding, and (ii) BCP Bolivia, due to a strategy to capture more stable deposits in the medium term.</w:t>
      </w:r>
    </w:p>
    <w:p>
      <w:pPr>
        <w:spacing w:after="0" w:line="178" w:lineRule="exact"/>
        <w:rPr>
          <w:rFonts w:ascii="Arial" w:cs="Arial" w:eastAsia="Arial" w:hAnsi="Arial"/>
          <w:sz w:val="18"/>
          <w:szCs w:val="18"/>
          <w:color w:val="auto"/>
        </w:rPr>
      </w:pPr>
    </w:p>
    <w:p>
      <w:pPr>
        <w:jc w:val="both"/>
        <w:ind w:left="960" w:hanging="633"/>
        <w:spacing w:after="0" w:line="289" w:lineRule="auto"/>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contraction in </w:t>
      </w:r>
      <w:r>
        <w:rPr>
          <w:rFonts w:ascii="Arial" w:cs="Arial" w:eastAsia="Arial" w:hAnsi="Arial"/>
          <w:sz w:val="16"/>
          <w:szCs w:val="16"/>
          <w:b w:val="1"/>
          <w:bCs w:val="1"/>
          <w:color w:val="auto"/>
        </w:rPr>
        <w:t>severance indemnity deposits</w:t>
      </w:r>
      <w:r>
        <w:rPr>
          <w:rFonts w:ascii="Arial" w:cs="Arial" w:eastAsia="Arial" w:hAnsi="Arial"/>
          <w:sz w:val="16"/>
          <w:szCs w:val="16"/>
          <w:color w:val="auto"/>
        </w:rPr>
        <w:t xml:space="preserve"> due to (i) the measure implemented by the Ministry of Economy and Finance in March, which allowed independent workers to withdraw up to S/2,400 from their accounts to cover liquidity needs due to the impact of COVID-19, and</w:t>
      </w:r>
    </w:p>
    <w:p>
      <w:pPr>
        <w:ind w:left="960" w:firstLine="7"/>
        <w:spacing w:after="0" w:line="255" w:lineRule="auto"/>
        <w:tabs>
          <w:tab w:leader="none" w:pos="12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seasonality every 1Q, where employees tend to withdraw funds after the second yearly severance payment is made in the month of November.</w:t>
      </w:r>
    </w:p>
    <w:p>
      <w:pPr>
        <w:spacing w:after="0" w:line="184"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YoY</w:t>
      </w:r>
      <w:r>
        <w:rPr>
          <w:rFonts w:ascii="Arial" w:cs="Arial" w:eastAsia="Arial" w:hAnsi="Arial"/>
          <w:sz w:val="18"/>
          <w:szCs w:val="18"/>
          <w:color w:val="auto"/>
        </w:rPr>
        <w:t xml:space="preserve"> terms, total </w:t>
      </w:r>
      <w:r>
        <w:rPr>
          <w:rFonts w:ascii="Arial" w:cs="Arial" w:eastAsia="Arial" w:hAnsi="Arial"/>
          <w:sz w:val="18"/>
          <w:szCs w:val="18"/>
          <w:b w:val="1"/>
          <w:bCs w:val="1"/>
          <w:color w:val="auto"/>
        </w:rPr>
        <w:t>deposits and obligations</w:t>
      </w:r>
      <w:r>
        <w:rPr>
          <w:rFonts w:ascii="Arial" w:cs="Arial" w:eastAsia="Arial" w:hAnsi="Arial"/>
          <w:sz w:val="18"/>
          <w:szCs w:val="18"/>
          <w:color w:val="auto"/>
        </w:rPr>
        <w:t xml:space="preserve"> registered growth in all types of deposits, which translated into an increase of +15.3% in the main source of funding, which was primarily due to:</w:t>
      </w:r>
    </w:p>
    <w:p>
      <w:pPr>
        <w:spacing w:after="0" w:line="168" w:lineRule="exact"/>
        <w:rPr>
          <w:sz w:val="20"/>
          <w:szCs w:val="20"/>
          <w:color w:val="auto"/>
        </w:rPr>
      </w:pPr>
    </w:p>
    <w:p>
      <w:pPr>
        <w:jc w:val="both"/>
        <w:ind w:left="960" w:hanging="633"/>
        <w:spacing w:after="0" w:line="261"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demand deposits</w:t>
      </w:r>
      <w:r>
        <w:rPr>
          <w:rFonts w:ascii="Arial" w:cs="Arial" w:eastAsia="Arial" w:hAnsi="Arial"/>
          <w:sz w:val="18"/>
          <w:szCs w:val="18"/>
          <w:color w:val="auto"/>
        </w:rPr>
        <w:t xml:space="preserve"> due to growth in the volume of non-interest bearing demand deposits (+20.0%), which was primarily attributable to current accounts held by Corporate Banking clients at BCP Stand-alone and mainly driven by FC (represents 60% of the total increase in demand deposits).</w:t>
      </w:r>
    </w:p>
    <w:p>
      <w:pPr>
        <w:spacing w:after="0" w:line="178" w:lineRule="exact"/>
        <w:rPr>
          <w:rFonts w:ascii="Arial" w:cs="Arial" w:eastAsia="Arial" w:hAnsi="Arial"/>
          <w:sz w:val="18"/>
          <w:szCs w:val="18"/>
          <w:color w:val="auto"/>
        </w:rPr>
      </w:pPr>
    </w:p>
    <w:p>
      <w:pPr>
        <w:jc w:val="both"/>
        <w:ind w:left="960" w:hanging="633"/>
        <w:spacing w:after="0" w:line="261"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savings deposits</w:t>
      </w:r>
      <w:r>
        <w:rPr>
          <w:rFonts w:ascii="Arial" w:cs="Arial" w:eastAsia="Arial" w:hAnsi="Arial"/>
          <w:sz w:val="18"/>
          <w:szCs w:val="18"/>
          <w:color w:val="auto"/>
        </w:rPr>
        <w:t xml:space="preserve"> due to (i) a drop in the consumption level of individual persons through credit and debit cards due to the quarantine imposed to control the COVID-19 contagion, and (ii) the results of the campaigns to capture savings accounts, mainly through digital channels, which have registered high levels of acceptance of and use by BCP Stand-alone’s clients.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5" w:name="page16"/>
    <w:bookmarkEnd w:id="15"/>
    <w:p>
      <w:pPr>
        <w:ind w:left="960" w:right="20" w:hanging="633"/>
        <w:spacing w:after="0" w:line="274"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+11.6% increase in </w:t>
      </w:r>
      <w:r>
        <w:rPr>
          <w:rFonts w:ascii="Arial" w:cs="Arial" w:eastAsia="Arial" w:hAnsi="Arial"/>
          <w:sz w:val="18"/>
          <w:szCs w:val="18"/>
          <w:b w:val="1"/>
          <w:bCs w:val="1"/>
          <w:color w:val="auto"/>
        </w:rPr>
        <w:t>time deposits</w:t>
      </w:r>
      <w:r>
        <w:rPr>
          <w:rFonts w:ascii="Arial" w:cs="Arial" w:eastAsia="Arial" w:hAnsi="Arial"/>
          <w:sz w:val="18"/>
          <w:szCs w:val="18"/>
          <w:color w:val="auto"/>
        </w:rPr>
        <w:t>, in line with the QoQ analysis, mainly driven by volumes in FC (represent 70% of the increase in time deposits).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 Deposits: dollarization level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Dollarization Level of Deposits </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1224280</wp:posOffset>
            </wp:positionH>
            <wp:positionV relativeFrom="paragraph">
              <wp:posOffset>-40640</wp:posOffset>
            </wp:positionV>
            <wp:extent cx="4659630" cy="1652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59630" cy="165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(1) Q-end balances.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 Deposit Dollarization 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151130</wp:posOffset>
            </wp:positionV>
            <wp:extent cx="6642735" cy="21183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4273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The dollarization level of Credicorp’s deposits remained stable </w:t>
      </w:r>
      <w:r>
        <w:rPr>
          <w:rFonts w:ascii="Arial" w:cs="Arial" w:eastAsia="Arial" w:hAnsi="Arial"/>
          <w:sz w:val="18"/>
          <w:szCs w:val="18"/>
          <w:b w:val="1"/>
          <w:bCs w:val="1"/>
          <w:color w:val="auto"/>
        </w:rPr>
        <w:t>QoQ</w:t>
      </w:r>
      <w:r>
        <w:rPr>
          <w:rFonts w:ascii="Arial" w:cs="Arial" w:eastAsia="Arial" w:hAnsi="Arial"/>
          <w:sz w:val="18"/>
          <w:szCs w:val="18"/>
          <w:color w:val="auto"/>
        </w:rPr>
        <w:t xml:space="preserve"> after volumes in LC and FC grew at proportional levels, posting increases of +6.7% and +6.8% respectively.</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Growth in LC volumes was due primarily to savings deposits, demand deposits (particularly non-interest bearing deposits), and to a lesser extent, to time deposits. The expansion in FC volumes was attributable primarily to demand deposits via non-interest bearing demand deposits and to a lesser extent, to savings deposits. The increase in savings deposits was mainly attributable to accounts opened by individual persons while growth in demand deposits was associated with institutional clients in Wholesale Banking at BCP Stand-alone in both LC and FC.</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 evolution</w:t>
      </w:r>
      <w:r>
        <w:rPr>
          <w:rFonts w:ascii="Arial" w:cs="Arial" w:eastAsia="Arial" w:hAnsi="Arial"/>
          <w:sz w:val="18"/>
          <w:szCs w:val="18"/>
          <w:color w:val="auto"/>
        </w:rPr>
        <w:t xml:space="preserve"> reveals slight growth in the dollarization level (+20 bps), which was attributable to +15.8% growth in FC, which outpaced the increase of +14.8% registered in LC. The aforementioned was driven by an increase in all types of FC deposits, with the exception of severance indemnity deposits. The largest contributor to growth in FC were demand deposits (+23.6%), led by non-interest bearing deposits (which represent 40% of the total increase in FC deposits) and time deposits (+17.0%). In the case of LC deposits, all deposits types increased, mainly driven by savings deposits (accounts 47% of total increase in LC deposits).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All of the aforementioned is aligned with the objective to maintain an adequate balance between assets and liabilities by currency in accordance with Credicorp’s appetite for risk.</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2.2.2. Market share in Deposits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151130</wp:posOffset>
            </wp:positionV>
            <wp:extent cx="6574790" cy="27451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74790" cy="274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SBS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 Figures may not add due to rounding.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Peruvian Financial System</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the end of Feb 20, the subsidiaries of Credicorp in Peru, BCP Stand-alone and Mibanco, reported market shares (MS) of 29.9% and 2.8% respectively. Consequently, Credicorp continued to rank first in the financial system for total deposits, with an MS that was significantly higher than its closest competitor (which has an MS of 19.0%).</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YoY analysis, BCP Stand-alone’s MS increased +40 bps with regard to the figure at the end of Mar 19. This was primarily attributable to an increase in the share of demand deposits (+130 bps). Mibanco’s market share (MS), however, fell YoY (2.8% Feb 20 vs 2.9% Mar 19) due to a slight contraction in the MS of time deposits, which fell -10 bps.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Bolivian Financial System</w:t>
      </w:r>
    </w:p>
    <w:p>
      <w:pPr>
        <w:spacing w:after="0" w:line="22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BCP Bolivia continued to rank fifth in the Bolivian financial system with an MS of 9.7% at the end of Mar 20 versus 9.8% at the end of Dec 19. In the YoY analysis, the MS fell slightly at the end of Mar 19 (9.9%).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Other funding sources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40" w:type="dxa"/>
            <w:vAlign w:val="bottom"/>
            <w:gridSpan w:val="2"/>
          </w:tcPr>
          <w:p>
            <w:pPr>
              <w:spacing w:after="0"/>
              <w:rPr>
                <w:sz w:val="20"/>
                <w:szCs w:val="20"/>
                <w:color w:val="auto"/>
              </w:rPr>
            </w:pPr>
            <w:r>
              <w:rPr>
                <w:rFonts w:ascii="Arial" w:cs="Arial" w:eastAsia="Arial" w:hAnsi="Arial"/>
                <w:sz w:val="16"/>
                <w:szCs w:val="16"/>
                <w:b w:val="1"/>
                <w:bCs w:val="1"/>
                <w:color w:val="auto"/>
              </w:rPr>
              <w:t>Other funding sources</w:t>
            </w:r>
          </w:p>
        </w:tc>
        <w:tc>
          <w:tcPr>
            <w:tcW w:w="1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As of</w:t>
            </w:r>
          </w:p>
        </w:tc>
        <w:tc>
          <w:tcPr>
            <w:tcW w:w="11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 change</w:t>
            </w: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Mar 19</w:t>
            </w:r>
          </w:p>
        </w:tc>
        <w:tc>
          <w:tcPr>
            <w:tcW w:w="1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Dec 19</w:t>
            </w:r>
          </w:p>
        </w:tc>
        <w:tc>
          <w:tcPr>
            <w:tcW w:w="1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Mar 20</w:t>
            </w:r>
          </w:p>
        </w:tc>
        <w:tc>
          <w:tcPr>
            <w:tcW w:w="1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QoQ</w:t>
            </w: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7"/>
                <w:szCs w:val="17"/>
                <w:color w:val="auto"/>
              </w:rPr>
            </w:pPr>
          </w:p>
        </w:tc>
      </w:tr>
      <w:tr>
        <w:trPr>
          <w:trHeight w:val="193"/>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Due to banks and correspondents</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7,219,120</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8,841,732</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9,854,630</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w:t>
            </w: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36.5%</w:t>
            </w:r>
          </w:p>
        </w:tc>
      </w:tr>
      <w:tr>
        <w:trPr>
          <w:trHeight w:val="200"/>
        </w:trPr>
        <w:tc>
          <w:tcPr>
            <w:tcW w:w="3640" w:type="dxa"/>
            <w:vAlign w:val="bottom"/>
            <w:gridSpan w:val="2"/>
          </w:tcPr>
          <w:p>
            <w:pPr>
              <w:spacing w:after="0"/>
              <w:rPr>
                <w:sz w:val="20"/>
                <w:szCs w:val="20"/>
                <w:color w:val="auto"/>
              </w:rPr>
            </w:pPr>
            <w:r>
              <w:rPr>
                <w:rFonts w:ascii="Arial" w:cs="Arial" w:eastAsia="Arial" w:hAnsi="Arial"/>
                <w:sz w:val="16"/>
                <w:szCs w:val="16"/>
                <w:color w:val="auto"/>
              </w:rPr>
              <w:t>BCRP instruments</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4,984,192</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4,381,011</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5,346,373</w:t>
            </w:r>
          </w:p>
        </w:tc>
        <w:tc>
          <w:tcPr>
            <w:tcW w:w="76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22.0%</w:t>
            </w:r>
          </w:p>
        </w:tc>
        <w:tc>
          <w:tcPr>
            <w:tcW w:w="3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7.3%</w:t>
            </w:r>
          </w:p>
        </w:tc>
      </w:tr>
      <w:tr>
        <w:trPr>
          <w:trHeight w:val="200"/>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Repurchase agreements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2,324,385</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1,820,911</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1,935,879</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-16.7%</w:t>
            </w:r>
          </w:p>
        </w:tc>
      </w:tr>
      <w:tr>
        <w:trPr>
          <w:trHeight w:val="200"/>
        </w:trPr>
        <w:tc>
          <w:tcPr>
            <w:tcW w:w="3640" w:type="dxa"/>
            <w:vAlign w:val="bottom"/>
            <w:gridSpan w:val="2"/>
          </w:tcPr>
          <w:p>
            <w:pPr>
              <w:spacing w:after="0"/>
              <w:rPr>
                <w:sz w:val="20"/>
                <w:szCs w:val="20"/>
                <w:color w:val="auto"/>
              </w:rPr>
            </w:pPr>
            <w:r>
              <w:rPr>
                <w:rFonts w:ascii="Arial" w:cs="Arial" w:eastAsia="Arial" w:hAnsi="Arial"/>
                <w:sz w:val="16"/>
                <w:szCs w:val="16"/>
                <w:color w:val="auto"/>
              </w:rPr>
              <w:t>Bonds and notes issued</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15,472,882</w:t>
            </w:r>
          </w:p>
        </w:tc>
        <w:tc>
          <w:tcPr>
            <w:tcW w:w="1100" w:type="dxa"/>
            <w:vAlign w:val="bottom"/>
          </w:tcPr>
          <w:p>
            <w:pPr>
              <w:jc w:val="right"/>
              <w:spacing w:after="0"/>
              <w:rPr>
                <w:sz w:val="20"/>
                <w:szCs w:val="20"/>
                <w:color w:val="auto"/>
              </w:rPr>
            </w:pPr>
            <w:r>
              <w:rPr>
                <w:rFonts w:ascii="Arial" w:cs="Arial" w:eastAsia="Arial" w:hAnsi="Arial"/>
                <w:sz w:val="16"/>
                <w:szCs w:val="16"/>
                <w:color w:val="auto"/>
              </w:rPr>
              <w:t>14,946,363</w:t>
            </w:r>
          </w:p>
        </w:tc>
        <w:tc>
          <w:tcPr>
            <w:tcW w:w="1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15,197,237</w:t>
            </w:r>
          </w:p>
        </w:tc>
        <w:tc>
          <w:tcPr>
            <w:tcW w:w="76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r>
      <w:tr>
        <w:trPr>
          <w:trHeight w:val="200"/>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other funding sources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30,000,579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29,990,017</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32,334,119</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7.8%</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7.8%</w:t>
            </w:r>
          </w:p>
        </w:tc>
      </w:tr>
    </w:tbl>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total of </w:t>
      </w:r>
      <w:r>
        <w:rPr>
          <w:rFonts w:ascii="Arial" w:cs="Arial" w:eastAsia="Arial" w:hAnsi="Arial"/>
          <w:sz w:val="18"/>
          <w:szCs w:val="18"/>
          <w:b w:val="1"/>
          <w:bCs w:val="1"/>
          <w:color w:val="auto"/>
        </w:rPr>
        <w:t>Other funding sources</w:t>
      </w:r>
      <w:r>
        <w:rPr>
          <w:rFonts w:ascii="Arial" w:cs="Arial" w:eastAsia="Arial" w:hAnsi="Arial"/>
          <w:sz w:val="18"/>
          <w:szCs w:val="18"/>
          <w:color w:val="auto"/>
        </w:rPr>
        <w:t xml:space="preserve"> increased +7.8% QoQ due to an increase in the volume of all Other sources of funding. This expansion was primarily attributable to an increase in the level of Due to banks and correspondents and of BCRP Instruments, which combined represented 84% of the increase of these sources of funding.</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Due to banks and correspondents </w:t>
      </w:r>
      <w:r>
        <w:rPr>
          <w:rFonts w:ascii="Arial" w:cs="Arial" w:eastAsia="Arial" w:hAnsi="Arial"/>
          <w:sz w:val="18"/>
          <w:szCs w:val="18"/>
          <w:color w:val="auto"/>
        </w:rPr>
        <w:t>registered an increase in the level of obligations at (i) ASB, due to a single short term operation to cover liquidity</w:t>
      </w:r>
      <w:r>
        <w:rPr>
          <w:rFonts w:ascii="Arial" w:cs="Arial" w:eastAsia="Arial" w:hAnsi="Arial"/>
          <w:sz w:val="18"/>
          <w:szCs w:val="18"/>
          <w:b w:val="1"/>
          <w:bCs w:val="1"/>
          <w:color w:val="auto"/>
        </w:rPr>
        <w:t xml:space="preserve"> </w:t>
      </w:r>
      <w:r>
        <w:rPr>
          <w:rFonts w:ascii="Arial" w:cs="Arial" w:eastAsia="Arial" w:hAnsi="Arial"/>
          <w:sz w:val="18"/>
          <w:szCs w:val="18"/>
          <w:color w:val="auto"/>
        </w:rPr>
        <w:t>measures, and to a lesser extent, at (ii) Mibanco, due to new debts with companies in the national financial system and with COFIDE, in LC, and at (iii) BCP Stand-alone, due to new operations with foreign financial institutions, in FC. It is important to note that 61% of this line is denominated in FC and as such, was impacted by the upward trend in the valuation of the US Dollar.</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jc w:val="both"/>
        <w:spacing w:after="0" w:line="261" w:lineRule="auto"/>
        <w:rPr>
          <w:sz w:val="20"/>
          <w:szCs w:val="20"/>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BCRP Instruments</w:t>
      </w:r>
      <w:r>
        <w:rPr>
          <w:rFonts w:ascii="Arial" w:cs="Arial" w:eastAsia="Arial" w:hAnsi="Arial"/>
          <w:sz w:val="18"/>
          <w:szCs w:val="18"/>
          <w:color w:val="auto"/>
        </w:rPr>
        <w:t xml:space="preserve"> was attributable to new Certificates of Deposits (CDs) agreements and an increase in regular repos at BCP Stand-alone in March, after the bank took advantage of the attractive rates offered through BCRP lending operations. BCRP’s objective was to provide short-term liquidity to companies impacted by COVID-19.</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Repurchase agreements </w:t>
      </w:r>
      <w:r>
        <w:rPr>
          <w:rFonts w:ascii="Arial" w:cs="Arial" w:eastAsia="Arial" w:hAnsi="Arial"/>
          <w:sz w:val="16"/>
          <w:szCs w:val="16"/>
          <w:color w:val="auto"/>
        </w:rPr>
        <w:t>increased primarily attributable to new interbank repurchase agreements at BCP Bolivia and to a lesser extent, at ASB, both in FC.</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 xml:space="preserve">Bonds and issued notes </w:t>
      </w:r>
      <w:r>
        <w:rPr>
          <w:rFonts w:ascii="Arial" w:cs="Arial" w:eastAsia="Arial" w:hAnsi="Arial"/>
          <w:sz w:val="18"/>
          <w:szCs w:val="18"/>
          <w:color w:val="auto"/>
        </w:rPr>
        <w:t>registered growth after a corporate bond was issued at BCP Stand-alone in February. Growth in this line was also attributable to a</w:t>
      </w:r>
      <w:r>
        <w:rPr>
          <w:rFonts w:ascii="Arial" w:cs="Arial" w:eastAsia="Arial" w:hAnsi="Arial"/>
          <w:sz w:val="18"/>
          <w:szCs w:val="18"/>
          <w:b w:val="1"/>
          <w:bCs w:val="1"/>
          <w:color w:val="auto"/>
        </w:rPr>
        <w:t xml:space="preserve"> </w:t>
      </w:r>
      <w:r>
        <w:rPr>
          <w:rFonts w:ascii="Arial" w:cs="Arial" w:eastAsia="Arial" w:hAnsi="Arial"/>
          <w:sz w:val="18"/>
          <w:szCs w:val="18"/>
          <w:color w:val="auto"/>
        </w:rPr>
        <w:t>variation in the exchange rate given that 75% of the total volume of this line is in FC and 100% of the increase was in FC.</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evolution,</w:t>
      </w:r>
      <w:r>
        <w:rPr>
          <w:rFonts w:ascii="Arial" w:cs="Arial" w:eastAsia="Arial" w:hAnsi="Arial"/>
          <w:sz w:val="18"/>
          <w:szCs w:val="18"/>
          <w:color w:val="auto"/>
        </w:rPr>
        <w:t xml:space="preserve"> Other sources of funding rose +7.8%, which was primarily attributable to an increase in the level of Due to banks and correspondents, which accounted for 88% of total growth in this line.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Loan / Deposit (L/D)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1622425</wp:posOffset>
            </wp:positionH>
            <wp:positionV relativeFrom="paragraph">
              <wp:posOffset>151130</wp:posOffset>
            </wp:positionV>
            <wp:extent cx="3905885" cy="1753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05885" cy="175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L/D ratio at Credicorp fell QoQ to 101.0%. This was attributable the fact that growth in deposits (+6.7%) outpaced the expansion registered for loans (+4.4%).</w:t>
      </w:r>
    </w:p>
    <w:p>
      <w:pPr>
        <w:spacing w:after="0" w:line="17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analysis by subsidiary followed the same trend as that seen for BCP Stand-alone (102.8% Mar 20 vs 105.1% Dec 19). The QoQ drop in the L/D at BCP Stand-alone arose when growth in the deposit volume (+7.8%) outpaced the expansion in loans (+5.4%). The aforementioned was primarily driven by the increase in the level of demand deposits and savings deposits. In the case of Mibanco, QoQ growth in the L/D was attributable to a -2.2% drop in deposits.</w:t>
      </w:r>
    </w:p>
    <w:p>
      <w:pPr>
        <w:spacing w:after="0" w:line="15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In the YoY analysis, the L/D ratio at Credicorp and its subsidiaries reflects the same dynamism as that seen in the QoQ analysis. At the Credicorp level, on-going growth in deposits exceeded the expansion posted for loans (+15.3% vs +11.4%, respectively).</w:t>
      </w:r>
    </w:p>
    <w:p>
      <w:pPr>
        <w:spacing w:after="0" w:line="38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32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Loan / Deposit Ratio by Currency</w:t>
      </w:r>
    </w:p>
    <w:p>
      <w:pPr>
        <w:spacing w:after="0" w:line="220" w:lineRule="exact"/>
        <w:rPr>
          <w:sz w:val="20"/>
          <w:szCs w:val="20"/>
          <w:color w:val="auto"/>
        </w:rPr>
      </w:pPr>
    </w:p>
    <w:p>
      <w:pPr>
        <w:ind w:left="2160"/>
        <w:spacing w:after="0"/>
        <w:tabs>
          <w:tab w:leader="none" w:pos="7680" w:val="left"/>
        </w:tabs>
        <w:rPr>
          <w:sz w:val="20"/>
          <w:szCs w:val="20"/>
          <w:color w:val="auto"/>
        </w:rPr>
      </w:pPr>
      <w:r>
        <w:rPr>
          <w:rFonts w:ascii="Arial" w:cs="Arial" w:eastAsia="Arial" w:hAnsi="Arial"/>
          <w:sz w:val="18"/>
          <w:szCs w:val="18"/>
          <w:b w:val="1"/>
          <w:bCs w:val="1"/>
          <w:color w:val="auto"/>
        </w:rPr>
        <w:t>Local Currency</w:t>
      </w:r>
      <w:r>
        <w:rPr>
          <w:sz w:val="20"/>
          <w:szCs w:val="20"/>
          <w:color w:val="auto"/>
        </w:rPr>
        <w:tab/>
      </w:r>
      <w:r>
        <w:rPr>
          <w:rFonts w:ascii="Arial" w:cs="Arial" w:eastAsia="Arial" w:hAnsi="Arial"/>
          <w:sz w:val="16"/>
          <w:szCs w:val="16"/>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15875</wp:posOffset>
            </wp:positionV>
            <wp:extent cx="6549390" cy="1863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49390" cy="1863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QoQ analysis by currency shows a reduction in the L/D ratio in LC at Credicorp, which was in line with higher growth in LC deposits, mainly driven by demand deposits and savings deposits through BCP Stand-alone. The L/D in FC at Credicorp registered growth of 100 bps QoQ after the increase in loans (+8.2%) outpaced the expansion registered for deposits (+6.8%). The aforementioned was driven by the fact that loan growth in FC (+9.9%) exceeded the expansion posted for FC deposits (+8.2%) at BCP Stand-alone.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the L/D ratio in LC and FC fell after the increase posted by both currencies outpaced the growth reported for loans.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Funding Cost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Funding Cost – Credicorp </w:t>
      </w:r>
      <w:r>
        <w:rPr>
          <w:rFonts w:ascii="Arial" w:cs="Arial" w:eastAsia="Arial" w:hAnsi="Arial"/>
          <w:sz w:val="29"/>
          <w:szCs w:val="29"/>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1038225</wp:posOffset>
            </wp:positionH>
            <wp:positionV relativeFrom="paragraph">
              <wp:posOffset>93980</wp:posOffset>
            </wp:positionV>
            <wp:extent cx="5041265" cy="2948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41265" cy="2948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20" w:hanging="313"/>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funding cost by currency is calculated with the average of period-beginning and period-end balances.</w:t>
      </w:r>
    </w:p>
    <w:p>
      <w:pPr>
        <w:spacing w:after="0" w:line="19" w:lineRule="exact"/>
        <w:rPr>
          <w:rFonts w:ascii="Arial" w:cs="Arial" w:eastAsia="Arial" w:hAnsi="Arial"/>
          <w:sz w:val="18"/>
          <w:szCs w:val="18"/>
          <w:color w:val="auto"/>
        </w:rPr>
      </w:pPr>
    </w:p>
    <w:p>
      <w:pPr>
        <w:ind w:left="1120" w:hanging="313"/>
        <w:spacing w:after="0" w:line="255"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Figures differ from previously reported due to the implementation of IFRS 16, where financing expenses related to lease agreements are included.</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funding cost at Credicorp fell QoQ and YoY. The QoQ evolution shows:</w:t>
      </w:r>
    </w:p>
    <w:p>
      <w:pPr>
        <w:spacing w:after="0" w:line="220" w:lineRule="exact"/>
        <w:rPr>
          <w:sz w:val="20"/>
          <w:szCs w:val="20"/>
          <w:color w:val="auto"/>
        </w:rPr>
      </w:pPr>
    </w:p>
    <w:p>
      <w:pPr>
        <w:jc w:val="both"/>
        <w:ind w:left="880" w:right="20" w:hanging="500"/>
        <w:spacing w:after="0" w:line="258"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contraction in the funding cost in FC (-18 bps), which was due primarily to a drop in interest expenses on bonds and issued notes, which accounted for 80% of the total decrease in FC expenses. The aforementioned was a product of BCP Stand-alone’s liability management at lower rates at the end of last year.</w:t>
      </w:r>
    </w:p>
    <w:p>
      <w:pPr>
        <w:spacing w:after="0" w:line="186" w:lineRule="exact"/>
        <w:rPr>
          <w:rFonts w:ascii="Arial" w:cs="Arial" w:eastAsia="Arial" w:hAnsi="Arial"/>
          <w:sz w:val="18"/>
          <w:szCs w:val="18"/>
          <w:color w:val="auto"/>
        </w:rPr>
      </w:pPr>
    </w:p>
    <w:p>
      <w:pPr>
        <w:jc w:val="both"/>
        <w:ind w:left="880" w:hanging="500"/>
        <w:spacing w:after="0" w:line="258"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drop in the total funding cost (-17 bps) was primarily attributable to a decrease in expenses for all sources of funding as international rates continued to follow a downward trend. In addition, the total funding mix has improved due to an increase in the volume of low-cost sources of funding, such as deposits.</w:t>
      </w:r>
    </w:p>
    <w:p>
      <w:pPr>
        <w:spacing w:after="0" w:line="186" w:lineRule="exact"/>
        <w:rPr>
          <w:rFonts w:ascii="Arial" w:cs="Arial" w:eastAsia="Arial" w:hAnsi="Arial"/>
          <w:sz w:val="18"/>
          <w:szCs w:val="18"/>
          <w:color w:val="auto"/>
        </w:rPr>
      </w:pPr>
    </w:p>
    <w:p>
      <w:pPr>
        <w:ind w:left="880" w:hanging="500"/>
        <w:spacing w:after="0" w:line="300"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drop in the funding cost in LC (-14 bps) was due primarily to an increase in the total volume of funding in LC (denominator of the calculation), which grew 6.6%, while interest expenses dropped 0.1% due to lower expenses from due to banks and correspondents.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YoY analysis shows a -25 bps decrease in the total funding cost, which was attributable to:</w:t>
      </w:r>
    </w:p>
    <w:p>
      <w:pPr>
        <w:spacing w:after="0" w:line="220" w:lineRule="exact"/>
        <w:rPr>
          <w:sz w:val="20"/>
          <w:szCs w:val="20"/>
          <w:color w:val="auto"/>
        </w:rPr>
      </w:pPr>
    </w:p>
    <w:p>
      <w:pPr>
        <w:ind w:left="880" w:hanging="500"/>
        <w:spacing w:after="0" w:line="300"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more favorable deposit mix given that lower-cost deposits, such as demand deposits and savings deposits, posted the highest growth (+22.2% and +14.9% respectively). Additionally, due to the currency mix, where growth in FC deposits outpaced that attributable to LC.</w:t>
      </w:r>
    </w:p>
    <w:p>
      <w:pPr>
        <w:spacing w:after="0" w:line="151" w:lineRule="exact"/>
        <w:rPr>
          <w:rFonts w:ascii="Arial" w:cs="Arial" w:eastAsia="Arial" w:hAnsi="Arial"/>
          <w:sz w:val="17"/>
          <w:szCs w:val="17"/>
          <w:color w:val="auto"/>
        </w:rPr>
      </w:pPr>
    </w:p>
    <w:p>
      <w:pPr>
        <w:ind w:left="880" w:right="20" w:hanging="500"/>
        <w:spacing w:after="0" w:line="270"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recomposition of the funding structure, where deposits registered a significant increase in their share of total funding (going from 77.6% in 1Q19 to 78.7% in 1Q20). In this context, deposits represented 83% of the total increase in funding.</w:t>
      </w:r>
    </w:p>
    <w:p>
      <w:pPr>
        <w:spacing w:after="0" w:line="174" w:lineRule="exact"/>
        <w:rPr>
          <w:rFonts w:ascii="Arial" w:cs="Arial" w:eastAsia="Arial" w:hAnsi="Arial"/>
          <w:sz w:val="18"/>
          <w:szCs w:val="18"/>
          <w:color w:val="auto"/>
        </w:rPr>
      </w:pPr>
    </w:p>
    <w:p>
      <w:pPr>
        <w:ind w:left="880" w:hanging="50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reduction in national and international interest rates, which led to a drop in the funding cost of all funding 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cost of funding by subsidiary is depicted in the following figure: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Funding Cost by subsidiary– Credicorp </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93980</wp:posOffset>
            </wp:positionV>
            <wp:extent cx="4608830" cy="2414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08830" cy="241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80" w:hanging="253"/>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Figures differ from previously reported due to the implementation of IFRS 16, where financing expenses related to lease agreements are included.</w:t>
      </w:r>
    </w:p>
    <w:p>
      <w:pPr>
        <w:spacing w:after="0" w:line="238" w:lineRule="exact"/>
        <w:rPr>
          <w:rFonts w:ascii="Arial" w:cs="Arial" w:eastAsia="Arial" w:hAnsi="Arial"/>
          <w:sz w:val="16"/>
          <w:szCs w:val="16"/>
          <w:color w:val="auto"/>
        </w:rPr>
      </w:pPr>
    </w:p>
    <w:p>
      <w:pPr>
        <w:jc w:val="both"/>
        <w:ind w:left="880" w:hanging="500"/>
        <w:spacing w:after="0" w:line="298" w:lineRule="auto"/>
        <w:tabs>
          <w:tab w:leader="none" w:pos="8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The funding cost at </w:t>
      </w:r>
      <w:r>
        <w:rPr>
          <w:rFonts w:ascii="Arial" w:cs="Arial" w:eastAsia="Arial" w:hAnsi="Arial"/>
          <w:sz w:val="16"/>
          <w:szCs w:val="16"/>
          <w:b w:val="1"/>
          <w:bCs w:val="1"/>
          <w:color w:val="auto"/>
        </w:rPr>
        <w:t>BCP Stand-alone</w:t>
      </w:r>
      <w:r>
        <w:rPr>
          <w:rFonts w:ascii="Arial" w:cs="Arial" w:eastAsia="Arial" w:hAnsi="Arial"/>
          <w:sz w:val="16"/>
          <w:szCs w:val="16"/>
          <w:color w:val="auto"/>
        </w:rPr>
        <w:t xml:space="preserve"> followed the same trend as the funding cost at Credicorp, which reflected a contraction QoQ and YoY that was primarily attributable to (i) the funding mix, which reported higher volumes of deposits (which represent 85% of the increase in funding YoY), (ii) an improvement in the deposit mix where demand deposits and savings deposits registered the most significant increases (represented 92% of the growth in total deposits YoY), and (iii) the rate effect, due to high exposure to lower international rates (50% of funding is in FC).</w:t>
      </w:r>
    </w:p>
    <w:p>
      <w:pPr>
        <w:spacing w:after="0" w:line="153" w:lineRule="exact"/>
        <w:rPr>
          <w:rFonts w:ascii="Arial" w:cs="Arial" w:eastAsia="Arial" w:hAnsi="Arial"/>
          <w:sz w:val="16"/>
          <w:szCs w:val="16"/>
          <w:color w:val="auto"/>
        </w:rPr>
      </w:pPr>
    </w:p>
    <w:p>
      <w:pPr>
        <w:jc w:val="both"/>
        <w:ind w:left="880" w:hanging="500"/>
        <w:spacing w:after="0" w:line="256"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registered a considerable contraction QoQ and YoY. In the QoQ analysis, interest expenses fell due to drop-in expenses for leasing. In the YoY analysis, the reduction was attributable to a decrease in financial expenses for (i) bonds and issued notes, which reported a drop-in volume (-63%), and, to a lesser extent, (ii) deposits, due to a decrease in the level of the most expensive deposits, such as time deposits (-3%), which were replaced by savings deposits (retail).</w:t>
      </w:r>
    </w:p>
    <w:p>
      <w:pPr>
        <w:spacing w:after="0" w:line="184" w:lineRule="exact"/>
        <w:rPr>
          <w:rFonts w:ascii="Arial" w:cs="Arial" w:eastAsia="Arial" w:hAnsi="Arial"/>
          <w:sz w:val="18"/>
          <w:szCs w:val="18"/>
          <w:color w:val="auto"/>
        </w:rPr>
      </w:pPr>
    </w:p>
    <w:p>
      <w:pPr>
        <w:jc w:val="both"/>
        <w:ind w:left="880" w:hanging="500"/>
        <w:spacing w:after="0" w:line="261"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BCP Bolivia</w:t>
      </w:r>
      <w:r>
        <w:rPr>
          <w:rFonts w:ascii="Arial" w:cs="Arial" w:eastAsia="Arial" w:hAnsi="Arial"/>
          <w:sz w:val="18"/>
          <w:szCs w:val="18"/>
          <w:color w:val="auto"/>
        </w:rPr>
        <w:t xml:space="preserve"> fell QoQ, which was primarily due to a denominator effect given that funding growth outpaced expenses (+9.3% vs +5.5%, respectively). YoY, the funding cost increased due to the effect of both the volume and mix, where time deposits registered the highest growth.</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 w:name="page21"/>
    <w:bookmarkEnd w:id="20"/>
    <w:p>
      <w:pPr>
        <w:ind w:left="460" w:hanging="453"/>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The Cost of Risk (CofR) at Credicorp increased significantly QoQ and YoY. This was attributable to expectations that Peru and the region will enter a recession and to a decrease in the debt service capacity of some clients due to the global impact of COVID-19. The aforementioned led to a significant increase in provisions for loan losses for all segments at each subsidiary. The total impact will be felt throughout the year. In terms of the portfolio’s quality ratios, the NPL ratio deteriorated due to a degree of deterioration in the SME-Pyme and Credit Card segments; nevertheless, this has been attenuated by the measures taken by the government and Credicorp to mitigate damage to the economy and clients respectively. In this context, the coverage ratio for NPL loans rose from 109.7% in 1Q19 to 126.1% in 1Q20..</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evolution of the Cost of Risk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1038225</wp:posOffset>
            </wp:positionH>
            <wp:positionV relativeFrom="paragraph">
              <wp:posOffset>151130</wp:posOffset>
            </wp:positionV>
            <wp:extent cx="5024120" cy="2152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24120" cy="215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540" w:type="dxa"/>
            <w:vAlign w:val="bottom"/>
            <w:gridSpan w:val="8"/>
          </w:tcPr>
          <w:p>
            <w:pPr>
              <w:ind w:left="1140"/>
              <w:spacing w:after="0"/>
              <w:rPr>
                <w:sz w:val="20"/>
                <w:szCs w:val="20"/>
                <w:color w:val="auto"/>
              </w:rPr>
            </w:pPr>
            <w:r>
              <w:rPr>
                <w:rFonts w:ascii="Arial" w:cs="Arial" w:eastAsia="Arial" w:hAnsi="Arial"/>
                <w:sz w:val="18"/>
                <w:szCs w:val="18"/>
                <w:color w:val="auto"/>
                <w:w w:val="92"/>
              </w:rPr>
              <w:t>(1) Includes BCP Bolivia, Encumbra, Bancompartir, ASB and eliminations for consolidation purposes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2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3.1. Provisions for loan losses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Provision for credit losses on loan portfolio, net of</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4580" w:type="dxa"/>
            <w:vAlign w:val="bottom"/>
            <w:gridSpan w:val="2"/>
          </w:tcPr>
          <w:p>
            <w:pPr>
              <w:ind w:left="160"/>
              <w:spacing w:after="0"/>
              <w:rPr>
                <w:sz w:val="20"/>
                <w:szCs w:val="20"/>
                <w:color w:val="auto"/>
              </w:rPr>
            </w:pPr>
            <w:r>
              <w:rPr>
                <w:rFonts w:ascii="Arial" w:cs="Arial" w:eastAsia="Arial" w:hAnsi="Arial"/>
                <w:sz w:val="18"/>
                <w:szCs w:val="18"/>
                <w:b w:val="1"/>
                <w:bCs w:val="1"/>
                <w:color w:val="auto"/>
              </w:rPr>
              <w:t>recoveries</w:t>
            </w: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2"/>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1Q19</w:t>
            </w: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4Q19</w:t>
            </w: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1Q20</w:t>
            </w: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r>
      <w:tr>
        <w:trPr>
          <w:trHeight w:val="207"/>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Gross provision for credit losses on loan portfolio</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(453,285)</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(568,727)</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(1,388,711)</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144.2%</w:t>
            </w: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206.4%</w:t>
            </w:r>
          </w:p>
        </w:tc>
      </w:tr>
      <w:tr>
        <w:trPr>
          <w:trHeight w:val="213"/>
        </w:trPr>
        <w:tc>
          <w:tcPr>
            <w:tcW w:w="4580" w:type="dxa"/>
            <w:vAlign w:val="bottom"/>
            <w:gridSpan w:val="2"/>
          </w:tcPr>
          <w:p>
            <w:pPr>
              <w:spacing w:after="0"/>
              <w:rPr>
                <w:sz w:val="20"/>
                <w:szCs w:val="20"/>
                <w:color w:val="auto"/>
              </w:rPr>
            </w:pPr>
            <w:r>
              <w:rPr>
                <w:rFonts w:ascii="Arial" w:cs="Arial" w:eastAsia="Arial" w:hAnsi="Arial"/>
                <w:sz w:val="18"/>
                <w:szCs w:val="18"/>
                <w:color w:val="auto"/>
              </w:rPr>
              <w:t>Recoveries of written-off loans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70,074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57,067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47,230</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-17.2%</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r>
      <w:tr>
        <w:trPr>
          <w:trHeight w:val="195"/>
        </w:trPr>
        <w:tc>
          <w:tcPr>
            <w:tcW w:w="45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Provision for credit losses on loan portfolio, net of</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32"/>
        </w:trPr>
        <w:tc>
          <w:tcPr>
            <w:tcW w:w="45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recoveries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(383,211)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(511,660)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(1,341,481)</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162.2%</w:t>
            </w:r>
          </w:p>
        </w:tc>
        <w:tc>
          <w:tcPr>
            <w:tcW w:w="3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250.1%</w:t>
            </w:r>
          </w:p>
        </w:tc>
      </w:tr>
    </w:tbl>
    <w:p>
      <w:pPr>
        <w:spacing w:after="0" w:line="19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Net provisions for loan losses after recoveries increased significantly QoQ and YoY, in line with expectations of a recession in Peru and the region and with the reduction in the debt service capacity of some clients due to COVID-19. Credicorp and the government have taken different measures to attenuate the deterioration in the situation of clients and the economy respectively. Credicorp has offered its clients the following facilities:</w:t>
      </w:r>
    </w:p>
    <w:p>
      <w:pPr>
        <w:spacing w:after="0" w:line="167" w:lineRule="exact"/>
        <w:rPr>
          <w:sz w:val="20"/>
          <w:szCs w:val="20"/>
          <w:color w:val="auto"/>
        </w:rPr>
      </w:pPr>
    </w:p>
    <w:p>
      <w:pPr>
        <w:ind w:left="880" w:hanging="500"/>
        <w:spacing w:after="0" w:line="270"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BCP has offered its clients in Retail Banking the opportunity to reschedule their loans for 30 or 90 days without incurring in overdue fees and interest on capital.</w:t>
      </w:r>
    </w:p>
    <w:p>
      <w:pPr>
        <w:spacing w:after="0" w:line="174" w:lineRule="exact"/>
        <w:rPr>
          <w:rFonts w:ascii="Arial" w:cs="Arial" w:eastAsia="Arial" w:hAnsi="Arial"/>
          <w:sz w:val="18"/>
          <w:szCs w:val="18"/>
          <w:color w:val="auto"/>
        </w:rPr>
      </w:pPr>
    </w:p>
    <w:p>
      <w:pPr>
        <w:ind w:left="880" w:hanging="50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Mibanco has also offered loan extension to some clients with a grace period of up to 6 months, which includes interest on capital.</w:t>
      </w:r>
    </w:p>
    <w:p>
      <w:pPr>
        <w:spacing w:after="0" w:line="219" w:lineRule="exact"/>
        <w:rPr>
          <w:rFonts w:ascii="Arial" w:cs="Arial" w:eastAsia="Arial" w:hAnsi="Arial"/>
          <w:sz w:val="18"/>
          <w:szCs w:val="18"/>
          <w:color w:val="auto"/>
        </w:rPr>
      </w:pPr>
    </w:p>
    <w:p>
      <w:pPr>
        <w:ind w:left="880" w:hanging="500"/>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April both subsidiaries have granted clients the option to postpone payments in April and May without incurring additional interest.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These benefits have been granted without affecting clients’ risk ratings.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spacing w:after="0" w:line="270" w:lineRule="auto"/>
        <w:rPr>
          <w:sz w:val="20"/>
          <w:szCs w:val="20"/>
          <w:color w:val="auto"/>
        </w:rPr>
      </w:pPr>
      <w:r>
        <w:rPr>
          <w:rFonts w:ascii="Arial" w:cs="Arial" w:eastAsia="Arial" w:hAnsi="Arial"/>
          <w:sz w:val="18"/>
          <w:szCs w:val="18"/>
          <w:color w:val="auto"/>
        </w:rPr>
        <w:t>The aforementioned attenuated the provisions for credit losses on loan portfolio, net of recoveries; nevertheless, there were several factors that could not be offset and will continue to affect that portfolio throughout the year:</w:t>
      </w:r>
    </w:p>
    <w:p>
      <w:pPr>
        <w:spacing w:after="0" w:line="175" w:lineRule="exact"/>
        <w:rPr>
          <w:sz w:val="20"/>
          <w:szCs w:val="20"/>
          <w:color w:val="auto"/>
        </w:rPr>
      </w:pPr>
    </w:p>
    <w:p>
      <w:pPr>
        <w:ind w:left="880" w:hanging="500"/>
        <w:spacing w:after="0" w:line="333"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macroeconomic expectations due to COVID-19: the change in the expectations for a recession in the Peruvian economy impact is specific to this quarter in the framework of expected losses. Nevertheless, provisions may increase if expectations continue to deteriorate.</w:t>
      </w:r>
    </w:p>
    <w:p>
      <w:pPr>
        <w:spacing w:after="0" w:line="129" w:lineRule="exact"/>
        <w:rPr>
          <w:rFonts w:ascii="Arial" w:cs="Arial" w:eastAsia="Arial" w:hAnsi="Arial"/>
          <w:sz w:val="16"/>
          <w:szCs w:val="16"/>
          <w:color w:val="auto"/>
        </w:rPr>
      </w:pPr>
    </w:p>
    <w:p>
      <w:pPr>
        <w:ind w:left="880" w:hanging="500"/>
        <w:spacing w:after="0" w:line="333"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Portfolio deterioration: various clients have been affected by a stoppage in their operations or sales due to the lockdown. This was reflected mainly in the retail segment at BCP Stand-alone, and was particularly marked in the SME-Pyme, credit card, consumer and mortgage segments.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impact of COVID-19 on the Middle-Market and SME-Business portfolios will be attenuated by the Reactiva Peru loan program offered by the Peruvian government. Through this effort, eligible companies will receive loans backed by government guarantees with coverage rates between 80%-98%. Additionally, through the Enterprise Support Fund (FAE) we will be able to provide loans to the SME-Pyme segment and Mibanco, where loans will be backed by government guarantees for 90%-98% of the total amount.</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Finally, provisions at BCP Stand-alone increased on top of provisions related to COVID-19, mainly attributable to deterioration in the SME-Pyme segment, and in non-revolving loans in particular, and to a lesser extent, to the deterioration of the Credit card segment, which reflected over indebtedness in the financial system.</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Cost of risk</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0"/>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11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95"/>
              </w:rPr>
              <w:t>% change</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Cost of risk and Provisions</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1Q19</w:t>
            </w: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4Q19</w:t>
            </w: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1Q20</w:t>
            </w: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QoQ</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YoY</w:t>
            </w:r>
          </w:p>
        </w:tc>
        <w:tc>
          <w:tcPr>
            <w:tcW w:w="100" w:type="dxa"/>
            <w:vAlign w:val="bottom"/>
            <w:tcBorders>
              <w:bottom w:val="single" w:sz="8" w:color="CCEEFF"/>
            </w:tcBorders>
          </w:tcPr>
          <w:p>
            <w:pPr>
              <w:spacing w:after="0"/>
              <w:rPr>
                <w:sz w:val="19"/>
                <w:szCs w:val="19"/>
                <w:color w:val="auto"/>
              </w:rPr>
            </w:pPr>
          </w:p>
        </w:tc>
      </w:tr>
      <w:tr>
        <w:trPr>
          <w:trHeight w:val="247"/>
        </w:trPr>
        <w:tc>
          <w:tcPr>
            <w:tcW w:w="4480" w:type="dxa"/>
            <w:vAlign w:val="bottom"/>
            <w:shd w:val="clear" w:color="auto" w:fill="CCEEFF"/>
          </w:tcPr>
          <w:p>
            <w:pPr>
              <w:spacing w:after="0" w:line="246" w:lineRule="exact"/>
              <w:rPr>
                <w:sz w:val="20"/>
                <w:szCs w:val="20"/>
                <w:color w:val="auto"/>
              </w:rPr>
            </w:pPr>
            <w:r>
              <w:rPr>
                <w:rFonts w:ascii="Arial" w:cs="Arial" w:eastAsia="Arial" w:hAnsi="Arial"/>
                <w:sz w:val="17"/>
                <w:szCs w:val="17"/>
                <w:color w:val="auto"/>
              </w:rPr>
              <w:t xml:space="preserve">Cost of risk </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w:t>
            </w: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268 bps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 bps</w:t>
            </w:r>
          </w:p>
        </w:tc>
      </w:tr>
      <w:tr>
        <w:trPr>
          <w:trHeight w:val="199"/>
        </w:trPr>
        <w:tc>
          <w:tcPr>
            <w:tcW w:w="4580" w:type="dxa"/>
            <w:vAlign w:val="bottom"/>
            <w:gridSpan w:val="2"/>
          </w:tcPr>
          <w:p>
            <w:pPr>
              <w:spacing w:after="0" w:line="199" w:lineRule="exact"/>
              <w:rPr>
                <w:sz w:val="20"/>
                <w:szCs w:val="20"/>
                <w:color w:val="auto"/>
              </w:rPr>
            </w:pPr>
            <w:r>
              <w:rPr>
                <w:rFonts w:ascii="Arial" w:cs="Arial" w:eastAsia="Arial" w:hAnsi="Arial"/>
                <w:sz w:val="18"/>
                <w:szCs w:val="18"/>
                <w:color w:val="auto"/>
                <w:w w:val="92"/>
              </w:rPr>
              <w:t>Provision for credit losses on loan portfolio, net of recoveries /</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4580" w:type="dxa"/>
            <w:vAlign w:val="bottom"/>
            <w:gridSpan w:val="2"/>
          </w:tcPr>
          <w:p>
            <w:pPr>
              <w:ind w:left="160"/>
              <w:spacing w:after="0"/>
              <w:rPr>
                <w:sz w:val="20"/>
                <w:szCs w:val="20"/>
                <w:color w:val="auto"/>
              </w:rPr>
            </w:pPr>
            <w:r>
              <w:rPr>
                <w:rFonts w:ascii="Arial" w:cs="Arial" w:eastAsia="Arial" w:hAnsi="Arial"/>
                <w:sz w:val="18"/>
                <w:szCs w:val="18"/>
                <w:color w:val="auto"/>
              </w:rPr>
              <w:t>Net interest income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56.4%</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3480 bps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3890 bps</w:t>
            </w:r>
          </w:p>
        </w:tc>
      </w:tr>
    </w:tbl>
    <w:p>
      <w:pPr>
        <w:spacing w:after="0" w:line="200" w:lineRule="exact"/>
        <w:rPr>
          <w:sz w:val="20"/>
          <w:szCs w:val="20"/>
          <w:color w:val="auto"/>
        </w:rPr>
      </w:pPr>
    </w:p>
    <w:p>
      <w:pPr>
        <w:spacing w:after="0" w:line="214" w:lineRule="exact"/>
        <w:rPr>
          <w:sz w:val="20"/>
          <w:szCs w:val="20"/>
          <w:color w:val="auto"/>
        </w:rPr>
      </w:pPr>
    </w:p>
    <w:p>
      <w:pPr>
        <w:ind w:left="260" w:hanging="253"/>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Annualized Provision for credit losses on loan portfolio, net of recoveries / Total loans.</w:t>
      </w:r>
    </w:p>
    <w:p>
      <w:pPr>
        <w:spacing w:after="0" w:line="21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Due to the scenario outlined above, Credicorp’s CofR increased 268 bps QoQ and 304 bps YoY.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3.2. Portfolio Quality: Delinquency ratios</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0"/>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Portfolio quality and Delinquency ratios</w:t>
            </w: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8"/>
                <w:szCs w:val="18"/>
                <w:b w:val="1"/>
                <w:bCs w:val="1"/>
                <w:color w:val="auto"/>
              </w:rPr>
              <w:t>As of</w:t>
            </w:r>
          </w:p>
        </w:tc>
        <w:tc>
          <w:tcPr>
            <w:tcW w:w="11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97"/>
              </w:rPr>
              <w:t>% change</w:t>
            </w:r>
          </w:p>
        </w:tc>
        <w:tc>
          <w:tcPr>
            <w:tcW w:w="7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2"/>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Mar 19</w:t>
            </w:r>
          </w:p>
        </w:tc>
        <w:tc>
          <w:tcPr>
            <w:tcW w:w="3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Dec 19</w:t>
            </w:r>
          </w:p>
        </w:tc>
        <w:tc>
          <w:tcPr>
            <w:tcW w:w="3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Mar 20</w:t>
            </w: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r>
      <w:tr>
        <w:trPr>
          <w:trHeight w:val="207"/>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loans (Quarter-end balance)</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108,350,384</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115,609,679</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120,708,515</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r>
      <w:tr>
        <w:trPr>
          <w:trHeight w:val="213"/>
        </w:trPr>
        <w:tc>
          <w:tcPr>
            <w:tcW w:w="4400" w:type="dxa"/>
            <w:vAlign w:val="bottom"/>
            <w:gridSpan w:val="2"/>
          </w:tcPr>
          <w:p>
            <w:pPr>
              <w:spacing w:after="0"/>
              <w:rPr>
                <w:sz w:val="20"/>
                <w:szCs w:val="20"/>
                <w:color w:val="auto"/>
              </w:rPr>
            </w:pPr>
            <w:r>
              <w:rPr>
                <w:rFonts w:ascii="Arial" w:cs="Arial" w:eastAsia="Arial" w:hAnsi="Arial"/>
                <w:sz w:val="18"/>
                <w:szCs w:val="18"/>
                <w:color w:val="auto"/>
              </w:rPr>
              <w:t>Allowance for loan losses</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4,862,801</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5,070,279</w:t>
            </w:r>
          </w:p>
        </w:tc>
        <w:tc>
          <w:tcPr>
            <w:tcW w:w="1100" w:type="dxa"/>
            <w:vAlign w:val="bottom"/>
          </w:tcPr>
          <w:p>
            <w:pPr>
              <w:jc w:val="right"/>
              <w:spacing w:after="0"/>
              <w:rPr>
                <w:sz w:val="20"/>
                <w:szCs w:val="20"/>
                <w:color w:val="auto"/>
              </w:rPr>
            </w:pPr>
            <w:r>
              <w:rPr>
                <w:rFonts w:ascii="Arial" w:cs="Arial" w:eastAsia="Arial" w:hAnsi="Arial"/>
                <w:sz w:val="18"/>
                <w:szCs w:val="18"/>
                <w:color w:val="auto"/>
              </w:rPr>
              <w:t>5,931,772</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r>
      <w:tr>
        <w:trPr>
          <w:trHeight w:val="213"/>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Write-offs</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433,231</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509,571</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519,866</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r>
      <w:tr>
        <w:trPr>
          <w:trHeight w:val="254"/>
        </w:trPr>
        <w:tc>
          <w:tcPr>
            <w:tcW w:w="4400" w:type="dxa"/>
            <w:vAlign w:val="bottom"/>
            <w:gridSpan w:val="2"/>
          </w:tcPr>
          <w:p>
            <w:pPr>
              <w:spacing w:after="0" w:line="253" w:lineRule="exact"/>
              <w:rPr>
                <w:sz w:val="20"/>
                <w:szCs w:val="20"/>
                <w:color w:val="auto"/>
              </w:rPr>
            </w:pPr>
            <w:r>
              <w:rPr>
                <w:rFonts w:ascii="Arial" w:cs="Arial" w:eastAsia="Arial" w:hAnsi="Arial"/>
                <w:sz w:val="18"/>
                <w:szCs w:val="18"/>
                <w:color w:val="auto"/>
              </w:rPr>
              <w:t xml:space="preserve">Internal overdue loans (IOLs) </w:t>
            </w:r>
            <w:r>
              <w:rPr>
                <w:rFonts w:ascii="Arial" w:cs="Arial" w:eastAsia="Arial" w:hAnsi="Arial"/>
                <w:sz w:val="29"/>
                <w:szCs w:val="29"/>
                <w:color w:val="auto"/>
                <w:vertAlign w:val="superscript"/>
              </w:rPr>
              <w:t>(1)</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3,153,187</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3,297,791</w:t>
            </w:r>
          </w:p>
        </w:tc>
        <w:tc>
          <w:tcPr>
            <w:tcW w:w="1100" w:type="dxa"/>
            <w:vAlign w:val="bottom"/>
          </w:tcPr>
          <w:p>
            <w:pPr>
              <w:jc w:val="right"/>
              <w:spacing w:after="0"/>
              <w:rPr>
                <w:sz w:val="20"/>
                <w:szCs w:val="20"/>
                <w:color w:val="auto"/>
              </w:rPr>
            </w:pPr>
            <w:r>
              <w:rPr>
                <w:rFonts w:ascii="Arial" w:cs="Arial" w:eastAsia="Arial" w:hAnsi="Arial"/>
                <w:sz w:val="18"/>
                <w:szCs w:val="18"/>
                <w:color w:val="auto"/>
              </w:rPr>
              <w:t>3,579,504</w:t>
            </w:r>
          </w:p>
        </w:tc>
        <w:tc>
          <w:tcPr>
            <w:tcW w:w="3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r>
      <w:tr>
        <w:trPr>
          <w:trHeight w:val="254"/>
        </w:trPr>
        <w:tc>
          <w:tcPr>
            <w:tcW w:w="440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 xml:space="preserve">Internal overdue loans over 90-days </w:t>
            </w:r>
            <w:r>
              <w:rPr>
                <w:rFonts w:ascii="Arial" w:cs="Arial" w:eastAsia="Arial" w:hAnsi="Arial"/>
                <w:sz w:val="29"/>
                <w:szCs w:val="29"/>
                <w:color w:val="auto"/>
                <w:vertAlign w:val="superscript"/>
              </w:rPr>
              <w:t>(1)</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2,263,777</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2,479,940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2,239,789</w:t>
            </w:r>
          </w:p>
        </w:tc>
        <w:tc>
          <w:tcPr>
            <w:tcW w:w="3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3"/>
        </w:trPr>
        <w:tc>
          <w:tcPr>
            <w:tcW w:w="4400" w:type="dxa"/>
            <w:vAlign w:val="bottom"/>
            <w:gridSpan w:val="2"/>
          </w:tcPr>
          <w:p>
            <w:pPr>
              <w:spacing w:after="0"/>
              <w:rPr>
                <w:sz w:val="20"/>
                <w:szCs w:val="20"/>
                <w:color w:val="auto"/>
              </w:rPr>
            </w:pPr>
            <w:r>
              <w:rPr>
                <w:rFonts w:ascii="Arial" w:cs="Arial" w:eastAsia="Arial" w:hAnsi="Arial"/>
                <w:sz w:val="18"/>
                <w:szCs w:val="18"/>
                <w:color w:val="auto"/>
              </w:rPr>
              <w:t>Refinanced loans</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1,278,459</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1,182,797</w:t>
            </w:r>
          </w:p>
        </w:tc>
        <w:tc>
          <w:tcPr>
            <w:tcW w:w="1100" w:type="dxa"/>
            <w:vAlign w:val="bottom"/>
          </w:tcPr>
          <w:p>
            <w:pPr>
              <w:jc w:val="right"/>
              <w:spacing w:after="0"/>
              <w:rPr>
                <w:sz w:val="20"/>
                <w:szCs w:val="20"/>
                <w:color w:val="auto"/>
              </w:rPr>
            </w:pPr>
            <w:r>
              <w:rPr>
                <w:rFonts w:ascii="Arial" w:cs="Arial" w:eastAsia="Arial" w:hAnsi="Arial"/>
                <w:sz w:val="18"/>
                <w:szCs w:val="18"/>
                <w:color w:val="auto"/>
              </w:rPr>
              <w:t>1,125,394</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r>
      <w:tr>
        <w:trPr>
          <w:trHeight w:val="254"/>
        </w:trPr>
        <w:tc>
          <w:tcPr>
            <w:tcW w:w="440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 xml:space="preserve">Non-performing loans (NPLs) </w:t>
            </w:r>
            <w:r>
              <w:rPr>
                <w:rFonts w:ascii="Arial" w:cs="Arial" w:eastAsia="Arial" w:hAnsi="Arial"/>
                <w:sz w:val="29"/>
                <w:szCs w:val="29"/>
                <w:color w:val="auto"/>
                <w:vertAlign w:val="superscript"/>
              </w:rPr>
              <w:t>(2)</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4,431,646</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4,480,588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4,704,898</w:t>
            </w:r>
          </w:p>
        </w:tc>
        <w:tc>
          <w:tcPr>
            <w:tcW w:w="3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1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IOL ratio</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2.97%</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12 bps</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 bps</w:t>
            </w:r>
          </w:p>
        </w:tc>
      </w:tr>
      <w:tr>
        <w:trPr>
          <w:trHeight w:val="254"/>
        </w:trPr>
        <w:tc>
          <w:tcPr>
            <w:tcW w:w="440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b w:val="1"/>
                <w:bCs w:val="1"/>
                <w:color w:val="auto"/>
              </w:rPr>
              <w:t xml:space="preserve">IOL over 90-days ratio </w:t>
            </w:r>
            <w:r>
              <w:rPr>
                <w:rFonts w:ascii="Arial" w:cs="Arial" w:eastAsia="Arial" w:hAnsi="Arial"/>
                <w:sz w:val="29"/>
                <w:szCs w:val="29"/>
                <w:b w:val="1"/>
                <w:bCs w:val="1"/>
                <w:color w:val="auto"/>
                <w:vertAlign w:val="superscript"/>
              </w:rPr>
              <w:t>(3)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1.86%</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-29 bps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-23 bps</w:t>
            </w:r>
          </w:p>
        </w:tc>
      </w:tr>
      <w:tr>
        <w:trPr>
          <w:trHeight w:val="21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NPL ratio</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3.90%</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2 bps</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 bps</w:t>
            </w:r>
          </w:p>
        </w:tc>
      </w:tr>
      <w:tr>
        <w:trPr>
          <w:trHeight w:val="213"/>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IOLs</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154.2%</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153.7%</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165.7%</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1200 bps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1150 bps</w:t>
            </w:r>
          </w:p>
        </w:tc>
      </w:tr>
      <w:tr>
        <w:trPr>
          <w:trHeight w:val="213"/>
        </w:trPr>
        <w:tc>
          <w:tcPr>
            <w:tcW w:w="4400" w:type="dxa"/>
            <w:vAlign w:val="bottom"/>
            <w:gridSpan w:val="2"/>
          </w:tcPr>
          <w:p>
            <w:pPr>
              <w:spacing w:after="0"/>
              <w:rPr>
                <w:sz w:val="20"/>
                <w:szCs w:val="20"/>
                <w:color w:val="auto"/>
              </w:rPr>
            </w:pPr>
            <w:r>
              <w:rPr>
                <w:rFonts w:ascii="Arial" w:cs="Arial" w:eastAsia="Arial" w:hAnsi="Arial"/>
                <w:sz w:val="18"/>
                <w:szCs w:val="18"/>
                <w:color w:val="auto"/>
              </w:rPr>
              <w:t>Coverage ratio of IOL 90-days</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214.8%</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204.5%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264.8%</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6030 bps</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5000 bps</w:t>
            </w:r>
          </w:p>
        </w:tc>
      </w:tr>
      <w:tr>
        <w:trPr>
          <w:trHeight w:val="213"/>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NPLs</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113.2%</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126.1%</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1290 bps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1640 bps</w:t>
            </w:r>
          </w:p>
        </w:tc>
      </w:tr>
    </w:tbl>
    <w:p>
      <w:pPr>
        <w:spacing w:after="0" w:line="199" w:lineRule="exact"/>
        <w:rPr>
          <w:sz w:val="20"/>
          <w:szCs w:val="20"/>
          <w:color w:val="auto"/>
        </w:rPr>
      </w:pPr>
    </w:p>
    <w:p>
      <w:pPr>
        <w:ind w:left="260" w:hanging="253"/>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 (Quarter-end balances)</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Non-performing loans include internal overdue loans and refinanced loans. (Quarter-end balances)</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 terms of portfolio delinquency, it is important to note:</w:t>
      </w:r>
    </w:p>
    <w:p>
      <w:pPr>
        <w:spacing w:after="0" w:line="220" w:lineRule="exact"/>
        <w:rPr>
          <w:sz w:val="20"/>
          <w:szCs w:val="20"/>
          <w:color w:val="auto"/>
        </w:rPr>
      </w:pPr>
    </w:p>
    <w:p>
      <w:pPr>
        <w:ind w:left="880" w:hanging="500"/>
        <w:spacing w:after="0" w:line="270"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Unlike provisions, the portfolio’s delinquency level was not impacted by COVID-19 as of March. This was attributable to Credicorp’s quick move to offer clients debt rescheduling or debt freezing facilities.</w:t>
      </w:r>
    </w:p>
    <w:p>
      <w:pPr>
        <w:spacing w:after="0" w:line="174" w:lineRule="exact"/>
        <w:rPr>
          <w:rFonts w:ascii="Arial" w:cs="Arial" w:eastAsia="Arial" w:hAnsi="Arial"/>
          <w:sz w:val="18"/>
          <w:szCs w:val="18"/>
          <w:color w:val="auto"/>
        </w:rPr>
      </w:pPr>
    </w:p>
    <w:p>
      <w:pPr>
        <w:jc w:val="both"/>
        <w:ind w:left="880" w:hanging="500"/>
        <w:spacing w:after="0" w:line="255"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total IOL portfolio increased 8.5% QoQ and 13.5% YoY, mainly through Retail Banking , in particular in the SME-business segment after a small number of clients experienced a deterioration in their debt service capacity. These loans have been correctly provisioned but cannot be written off given that they have guarantees. Additionally, the SME-PYME segment registered an increase, which was primarily attributable to a deterioration in revolving loans over the quarter.</w:t>
      </w:r>
    </w:p>
    <w:p>
      <w:pPr>
        <w:spacing w:after="0" w:line="187" w:lineRule="exact"/>
        <w:rPr>
          <w:rFonts w:ascii="Arial" w:cs="Arial" w:eastAsia="Arial" w:hAnsi="Arial"/>
          <w:sz w:val="18"/>
          <w:szCs w:val="18"/>
          <w:color w:val="auto"/>
        </w:rPr>
      </w:pPr>
    </w:p>
    <w:p>
      <w:pPr>
        <w:jc w:val="both"/>
        <w:ind w:left="880" w:hanging="500"/>
        <w:spacing w:after="0" w:line="255"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NPL portfolio increased 5.0% QoQ and 6.2% YoY. This growth fell below that posted by the IOL portfolio due a 4.9% decrease QoQ and 12.0% YoY in the refinanced portfolio. QoQ, the reduction was mainly attributable to the retail banking segment while YoY, the result was driven by amortizations of refinanced loans for the construction sector in Wholesale Banking last quarter, which offset the increase in NPL loans in the SME-Pyme and Credit Card segments.</w:t>
      </w:r>
    </w:p>
    <w:p>
      <w:pPr>
        <w:spacing w:after="0" w:line="200" w:lineRule="exact"/>
        <w:rPr>
          <w:sz w:val="20"/>
          <w:szCs w:val="20"/>
          <w:color w:val="auto"/>
        </w:rPr>
      </w:pPr>
    </w:p>
    <w:p>
      <w:pPr>
        <w:spacing w:after="0" w:line="20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53" w:gutter="0" w:footer="0" w:header="0"/>
        </w:sectPr>
      </w:pPr>
    </w:p>
    <w:bookmarkStart w:id="22" w:name="page23"/>
    <w:bookmarkEnd w:id="22"/>
    <w:p>
      <w:pPr>
        <w:spacing w:after="0" w:line="270" w:lineRule="auto"/>
        <w:rPr>
          <w:sz w:val="20"/>
          <w:szCs w:val="20"/>
          <w:color w:val="auto"/>
        </w:rPr>
      </w:pPr>
      <w:r>
        <w:rPr>
          <w:rFonts w:ascii="Arial" w:cs="Arial" w:eastAsia="Arial" w:hAnsi="Arial"/>
          <w:sz w:val="18"/>
          <w:szCs w:val="18"/>
          <w:color w:val="auto"/>
        </w:rPr>
        <w:t>In this context, the delinquency ratios deteriorated QoQ. In YoY terms, however, the NPL ratio improved in 19 bps after loans grew 11.4%, offsetting the increase registered in the IOL portfolio.</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coverage ratios improved QoQ and YoY, in line with an increase in provisions due to COVID-19, which offset growth in the IOL and NPL portfolios.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Before analyzing the evolution of the delinquency indicators, it is important to note that:</w:t>
      </w:r>
    </w:p>
    <w:p>
      <w:pPr>
        <w:spacing w:after="0" w:line="220" w:lineRule="exact"/>
        <w:rPr>
          <w:sz w:val="20"/>
          <w:szCs w:val="20"/>
          <w:color w:val="auto"/>
        </w:rPr>
      </w:pPr>
    </w:p>
    <w:p>
      <w:pPr>
        <w:jc w:val="both"/>
        <w:ind w:left="880" w:hanging="500"/>
        <w:spacing w:after="0" w:line="306"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Traditional delinquency ratios (IOL and NPL ratios) continue to be distorted by the presence of loans with real estate collateral (commercial and residential properties). This means that a significant portion of loans that are more than 150 days past due cannot be written-off (despite the fact that provisions have been set aside) given that a judicial process must be initiated to liquidate the collateral, which takes five years on average.</w:t>
      </w:r>
    </w:p>
    <w:p>
      <w:pPr>
        <w:spacing w:after="0" w:line="150" w:lineRule="exact"/>
        <w:rPr>
          <w:rFonts w:ascii="Arial" w:cs="Arial" w:eastAsia="Arial" w:hAnsi="Arial"/>
          <w:sz w:val="16"/>
          <w:szCs w:val="16"/>
          <w:color w:val="auto"/>
        </w:rPr>
      </w:pPr>
    </w:p>
    <w:p>
      <w:pPr>
        <w:jc w:val="both"/>
        <w:ind w:left="880" w:hanging="500"/>
        <w:spacing w:after="0" w:line="258"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second half (2H) of every year, loans are more dynamic, particularly in the SME-Pyme and Mibanco segments given that the main campaigns (Christmas and year-end campaigns) are held in the second semester (2H) and these short-term loans are paid off in 1H of the following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151130</wp:posOffset>
            </wp:positionV>
            <wp:extent cx="5185410" cy="19742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85410" cy="1974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60" w:hanging="245"/>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NPL ratio = (Non-performing loans+ Write-offs) / (Total loans + Write-offs).</w:t>
      </w:r>
    </w:p>
    <w:p>
      <w:pPr>
        <w:spacing w:after="0" w:line="19" w:lineRule="exact"/>
        <w:rPr>
          <w:rFonts w:ascii="Arial" w:cs="Arial" w:eastAsia="Arial" w:hAnsi="Arial"/>
          <w:sz w:val="18"/>
          <w:szCs w:val="18"/>
          <w:color w:val="auto"/>
        </w:rPr>
      </w:pPr>
    </w:p>
    <w:p>
      <w:pPr>
        <w:ind w:left="1260" w:hanging="245"/>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 of risk = Annualized provisions for loan losses net of recoveries / Total loans.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3.2.1. Delinquency indicators by business line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Wholesale Banking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6557645" cy="23469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57645" cy="234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880" w:hanging="500"/>
        <w:spacing w:after="0" w:line="258"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IOL ratio increased slightly QoQ and YoY after some clients in the Middle-Market segment experienced a deterioration in their debt service capacity; nevertheless, this was attenuated by loan growth. The NPL ratio registered an improvement YoY, in line with the amortization of refinanced loans, primarily in the construction sector, over the last quarter.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SME-Business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6625590" cy="23552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25590" cy="2355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880" w:hanging="500"/>
        <w:spacing w:after="0" w:line="296"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IOL and NPL ratios increased QoQ and YoY, which was primarily due to the deterioration in the debt service capacity of some clients. All of these loans are fully provisioned but are nonetheless covered by guarantees, which means they cannot be written off and subsequently removed from the IOL portfolio. It is important to note that this sector maintains credit quality indicators that are within the risk appetite defined by the organization. The objective is to maximize the portfolio’s profitability by striking an adequate balance between risk and growth.</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jc w:val="center"/>
        <w:ind w:right="380"/>
        <w:spacing w:after="0"/>
        <w:rPr>
          <w:sz w:val="20"/>
          <w:szCs w:val="20"/>
          <w:color w:val="auto"/>
        </w:rPr>
      </w:pPr>
      <w:r>
        <w:rPr>
          <w:rFonts w:ascii="Arial" w:cs="Arial" w:eastAsia="Arial" w:hAnsi="Arial"/>
          <w:sz w:val="18"/>
          <w:szCs w:val="18"/>
          <w:b w:val="1"/>
          <w:bCs w:val="1"/>
          <w:color w:val="auto"/>
        </w:rPr>
        <w:t>SME - Pyme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151130</wp:posOffset>
            </wp:positionV>
            <wp:extent cx="6515735" cy="23895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15735" cy="238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500" w:hanging="494"/>
        <w:spacing w:after="0" w:line="306" w:lineRule="auto"/>
        <w:tabs>
          <w:tab w:leader="none" w:pos="653"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SME-Pyme loan book, it is important to analyze the early delinquency ratio, which excludes loans that are overdue less than 60 days (volatile loans whose percentage of recovery is very high) and those overdue more than 150 days (loans that have been provisioned but which cannot be written off due to the existence of real estate collateral- commercial properties - that take five years on average to liquidate).</w:t>
      </w:r>
    </w:p>
    <w:p>
      <w:pPr>
        <w:spacing w:after="0" w:line="150" w:lineRule="exact"/>
        <w:rPr>
          <w:sz w:val="20"/>
          <w:szCs w:val="20"/>
          <w:color w:val="auto"/>
        </w:rPr>
      </w:pPr>
    </w:p>
    <w:p>
      <w:pPr>
        <w:jc w:val="both"/>
        <w:ind w:left="500"/>
        <w:spacing w:after="0" w:line="258" w:lineRule="auto"/>
        <w:rPr>
          <w:sz w:val="20"/>
          <w:szCs w:val="20"/>
          <w:color w:val="auto"/>
        </w:rPr>
      </w:pPr>
      <w:r>
        <w:rPr>
          <w:rFonts w:ascii="Arial" w:cs="Arial" w:eastAsia="Arial" w:hAnsi="Arial"/>
          <w:sz w:val="18"/>
          <w:szCs w:val="18"/>
          <w:color w:val="auto"/>
        </w:rPr>
        <w:t>Traditional delinquency ratios increased QoQ and YoY, which was mainly attributable to a drop in the loan balance and to a lesser extent, to the deterioration seen since 2019 in revolving and long-term loans. Early delinquency also increased, which was primarily due to deterioration in revolving loans.</w:t>
      </w:r>
    </w:p>
    <w:p>
      <w:pPr>
        <w:spacing w:after="0" w:line="182"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Mortgage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151130</wp:posOffset>
            </wp:positionV>
            <wp:extent cx="6574790" cy="2414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74790" cy="241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00" w:right="160" w:hanging="500"/>
        <w:spacing w:after="0" w:line="258"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regard to mortgage loans, it is important to remember that these ratios are also affected by the existence of real estate collateral, where the recovery process is protracted (around 5 years) and as such, impedes the bank’s capacity to write-off loans even if the same are completely provisioned.</w:t>
      </w:r>
    </w:p>
    <w:p>
      <w:pPr>
        <w:spacing w:after="0" w:line="186" w:lineRule="exact"/>
        <w:rPr>
          <w:rFonts w:ascii="Arial" w:cs="Arial" w:eastAsia="Arial" w:hAnsi="Arial"/>
          <w:sz w:val="18"/>
          <w:szCs w:val="18"/>
          <w:color w:val="auto"/>
        </w:rPr>
      </w:pPr>
    </w:p>
    <w:p>
      <w:pPr>
        <w:ind w:left="500" w:right="100"/>
        <w:spacing w:after="0" w:line="258" w:lineRule="auto"/>
        <w:rPr>
          <w:rFonts w:ascii="Arial" w:cs="Arial" w:eastAsia="Arial" w:hAnsi="Arial"/>
          <w:sz w:val="18"/>
          <w:szCs w:val="18"/>
          <w:color w:val="auto"/>
        </w:rPr>
      </w:pPr>
      <w:r>
        <w:rPr>
          <w:rFonts w:ascii="Arial" w:cs="Arial" w:eastAsia="Arial" w:hAnsi="Arial"/>
          <w:sz w:val="18"/>
          <w:szCs w:val="18"/>
          <w:color w:val="auto"/>
        </w:rPr>
        <w:t>Traditional delinquency ratios increased QoQ, which was mainly driven by an increase in Mivivienda loans in 2019 and in 1Q20, which constitute riskier loans than the traditional mortgage portfolio. The YoY analysis reveals an improvement, which was mainly attributable to loan growth.</w:t>
      </w:r>
    </w:p>
    <w:p>
      <w:pPr>
        <w:spacing w:after="0" w:line="186" w:lineRule="exact"/>
        <w:rPr>
          <w:rFonts w:ascii="Arial" w:cs="Arial" w:eastAsia="Arial" w:hAnsi="Arial"/>
          <w:sz w:val="18"/>
          <w:szCs w:val="18"/>
          <w:color w:val="auto"/>
        </w:rPr>
      </w:pPr>
    </w:p>
    <w:p>
      <w:pPr>
        <w:ind w:left="500" w:right="1060"/>
        <w:spacing w:after="0" w:line="270" w:lineRule="auto"/>
        <w:rPr>
          <w:rFonts w:ascii="Arial" w:cs="Arial" w:eastAsia="Arial" w:hAnsi="Arial"/>
          <w:sz w:val="18"/>
          <w:szCs w:val="18"/>
          <w:color w:val="auto"/>
        </w:rPr>
      </w:pPr>
      <w:r>
        <w:rPr>
          <w:rFonts w:ascii="Arial" w:cs="Arial" w:eastAsia="Arial" w:hAnsi="Arial"/>
          <w:sz w:val="18"/>
          <w:szCs w:val="18"/>
          <w:color w:val="auto"/>
        </w:rPr>
        <w:t>The early delinquency ratio, which excludes the effect of loans that are more than 150 days past due, increased QoQ and YoY. The aforementioned was attributable to an increase in loans through Mivivienda.</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13335</wp:posOffset>
            </wp:positionV>
            <wp:extent cx="7134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860"/>
          </w:cols>
          <w:pgMar w:left="700" w:top="895" w:right="339" w:bottom="1440" w:gutter="0" w:footer="0" w:header="0"/>
        </w:sectPr>
      </w:pPr>
    </w:p>
    <w:bookmarkStart w:id="25" w:name="page26"/>
    <w:bookmarkEnd w:id="25"/>
    <w:p>
      <w:pPr>
        <w:ind w:left="4480"/>
        <w:spacing w:after="0"/>
        <w:rPr>
          <w:sz w:val="20"/>
          <w:szCs w:val="20"/>
          <w:color w:val="auto"/>
        </w:rPr>
      </w:pPr>
      <w:r>
        <w:rPr>
          <w:rFonts w:ascii="Arial" w:cs="Arial" w:eastAsia="Arial" w:hAnsi="Arial"/>
          <w:sz w:val="18"/>
          <w:szCs w:val="18"/>
          <w:b w:val="1"/>
          <w:bCs w:val="1"/>
          <w:color w:val="auto"/>
        </w:rPr>
        <w:t>Consumer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151130</wp:posOffset>
            </wp:positionV>
            <wp:extent cx="6650990" cy="2465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50990" cy="2465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500" w:hanging="500"/>
        <w:spacing w:after="0" w:line="258"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IOL ratio increased QoQ and YoY, which was primarily driven by deterioration in the debt service capacity of over-indebted clients in the financial system, which affected clients who are current and those with refinanced loans. NPL ratio decreased QoQ and YoY, given that loan growth offset growth in the NPL portfolio.</w:t>
      </w:r>
    </w:p>
    <w:p>
      <w:pPr>
        <w:spacing w:after="0" w:line="186" w:lineRule="exact"/>
        <w:rPr>
          <w:sz w:val="20"/>
          <w:szCs w:val="20"/>
          <w:color w:val="auto"/>
        </w:rPr>
      </w:pPr>
    </w:p>
    <w:p>
      <w:pPr>
        <w:ind w:left="500"/>
        <w:spacing w:after="0" w:line="270" w:lineRule="auto"/>
        <w:rPr>
          <w:sz w:val="20"/>
          <w:szCs w:val="20"/>
          <w:color w:val="auto"/>
        </w:rPr>
      </w:pPr>
      <w:r>
        <w:rPr>
          <w:rFonts w:ascii="Arial" w:cs="Arial" w:eastAsia="Arial" w:hAnsi="Arial"/>
          <w:sz w:val="18"/>
          <w:szCs w:val="18"/>
          <w:color w:val="auto"/>
        </w:rPr>
        <w:t>The early delinquency ratio increased QoQ and YoY, in line with deterioration in the debt service capacity of over-indebted clients in the financial system.</w:t>
      </w:r>
    </w:p>
    <w:p>
      <w:pPr>
        <w:spacing w:after="0" w:line="17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Credit Card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151130</wp:posOffset>
            </wp:positionV>
            <wp:extent cx="6608445" cy="2397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08445" cy="239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0" w:hanging="500"/>
        <w:spacing w:after="0" w:line="270"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Credit Card segment registered an increase QoQ and YoY in its delinquency ratios. This growth began last year and coincides with an increase in per capita indebtedness in the Peruvian financial system.</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13335</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860"/>
          </w:cols>
          <w:pgMar w:left="700" w:top="682" w:right="339" w:bottom="1440" w:gutter="0" w:footer="0" w:header="0"/>
        </w:sectPr>
      </w:pPr>
    </w:p>
    <w:bookmarkStart w:id="26" w:name="page27"/>
    <w:bookmarkEnd w:id="26"/>
    <w:p>
      <w:pPr>
        <w:jc w:val="center"/>
        <w:ind w:right="320"/>
        <w:spacing w:after="0"/>
        <w:rPr>
          <w:sz w:val="20"/>
          <w:szCs w:val="20"/>
          <w:color w:val="auto"/>
        </w:rPr>
      </w:pPr>
      <w:r>
        <w:rPr>
          <w:rFonts w:ascii="Arial" w:cs="Arial" w:eastAsia="Arial" w:hAnsi="Arial"/>
          <w:sz w:val="18"/>
          <w:szCs w:val="18"/>
          <w:b w:val="1"/>
          <w:bCs w:val="1"/>
          <w:color w:val="auto"/>
        </w:rPr>
        <w:t>Mibanco – Delinquency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440" w:hanging="433"/>
        <w:spacing w:after="0" w:line="258"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IOL and NPL ratios remained stable QoQ, given that loan growth offset the expansion in the IOL portfolio. In the YoY analysis, the IOL portfolio increased, in line with a drop in write off loans in 2019. The NPL ratio, on the other hand, fell due to an improvement in new loan acceptances since the beginning of 2019, which has led to a decrease in refinanced loans.</w:t>
      </w:r>
    </w:p>
    <w:p>
      <w:pPr>
        <w:spacing w:after="0" w:line="186" w:lineRule="exact"/>
        <w:rPr>
          <w:sz w:val="20"/>
          <w:szCs w:val="20"/>
          <w:color w:val="auto"/>
        </w:rPr>
      </w:pPr>
    </w:p>
    <w:p>
      <w:pPr>
        <w:ind w:left="440"/>
        <w:spacing w:after="0" w:line="270" w:lineRule="auto"/>
        <w:rPr>
          <w:sz w:val="20"/>
          <w:szCs w:val="20"/>
          <w:color w:val="auto"/>
        </w:rPr>
      </w:pPr>
      <w:r>
        <w:rPr>
          <w:rFonts w:ascii="Arial" w:cs="Arial" w:eastAsia="Arial" w:hAnsi="Arial"/>
          <w:sz w:val="18"/>
          <w:szCs w:val="18"/>
          <w:color w:val="auto"/>
        </w:rPr>
        <w:t>The cost of risk increased significantly QoQ and YoY, which reflects the impact of COVID-19 on the loan portfolios as indicated in section 3.1 Net provisions for loan losses.</w:t>
      </w:r>
    </w:p>
    <w:p>
      <w:pPr>
        <w:spacing w:after="0" w:line="171"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BCP Bolivia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6489700" cy="2380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89700" cy="2380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right="20" w:hanging="433"/>
        <w:spacing w:after="0" w:line="270"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BCP Bolivia reported deterioration QoQ, which was driven by deterioration in the SME-Pyme segment due to the political juncture in play since 3Q19. The IOL and NPL portfolios posted an improvement YoY after overdue loans were written off in 2019.</w:t>
      </w:r>
    </w:p>
    <w:p>
      <w:pPr>
        <w:spacing w:after="0" w:line="174" w:lineRule="exact"/>
        <w:rPr>
          <w:rFonts w:ascii="Arial" w:cs="Arial" w:eastAsia="Arial" w:hAnsi="Arial"/>
          <w:sz w:val="18"/>
          <w:szCs w:val="18"/>
          <w:color w:val="auto"/>
        </w:rPr>
      </w:pPr>
    </w:p>
    <w:p>
      <w:pPr>
        <w:ind w:left="440"/>
        <w:spacing w:after="0" w:line="270" w:lineRule="auto"/>
        <w:rPr>
          <w:rFonts w:ascii="Arial" w:cs="Arial" w:eastAsia="Arial" w:hAnsi="Arial"/>
          <w:sz w:val="18"/>
          <w:szCs w:val="18"/>
          <w:color w:val="auto"/>
        </w:rPr>
      </w:pPr>
      <w:r>
        <w:rPr>
          <w:rFonts w:ascii="Arial" w:cs="Arial" w:eastAsia="Arial" w:hAnsi="Arial"/>
          <w:sz w:val="18"/>
          <w:szCs w:val="18"/>
          <w:color w:val="auto"/>
        </w:rPr>
        <w:t>The cost of risk deteriorated QoQ and YoY, which was mainly attributable to provisions that were set aside in the context of COVID-19, which has generated a change in macroecomic expectations for Bolivia and in the debt service capacity of BCP Bolivia’s clients.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13335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64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4. Net Interest Income (NII)</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In 1Q20, NII, the main component of income, increased +0.6% QoQ and +8.3% YoY, while average interest-earning assets increased +3.2% QoQ and +9.1% YoY. The aforementioned led to a decrease of -14bps QoQ and -4pbs YoY. These results were attributable to the advent of a more favorable funding structure, which led to a decrease in interest expenses of -2.9% QoQ and -2.5% YoY and offset the QoQ contraction in interest income. Nevertheless, this reduction was insufficient to offset growth in average interest-earning assets. Risk-adjusted NIM contracted -197pbs QoQ and -212bps YoY due to: an increase in the cost of risk after a material change affected expectations for economic growth in Peru in the framework of the COVID-19 pandemic and the subsequent measures enacted by the Peruvian government to slow its advance.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80" w:type="dxa"/>
            <w:vAlign w:val="bottom"/>
            <w:gridSpan w:val="3"/>
          </w:tcPr>
          <w:p>
            <w:pPr>
              <w:spacing w:after="0"/>
              <w:rPr>
                <w:sz w:val="20"/>
                <w:szCs w:val="20"/>
                <w:color w:val="auto"/>
              </w:rPr>
            </w:pPr>
            <w:r>
              <w:rPr>
                <w:rFonts w:ascii="Arial" w:cs="Arial" w:eastAsia="Arial" w:hAnsi="Arial"/>
                <w:sz w:val="16"/>
                <w:szCs w:val="16"/>
                <w:b w:val="1"/>
                <w:bCs w:val="1"/>
                <w:color w:val="auto"/>
              </w:rPr>
              <w:t>Net interest income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ind w:left="100"/>
              <w:spacing w:after="0"/>
              <w:rPr>
                <w:sz w:val="20"/>
                <w:szCs w:val="20"/>
                <w:color w:val="auto"/>
              </w:rPr>
            </w:pPr>
            <w:r>
              <w:rPr>
                <w:rFonts w:ascii="Arial" w:cs="Arial" w:eastAsia="Arial" w:hAnsi="Arial"/>
                <w:sz w:val="16"/>
                <w:szCs w:val="16"/>
                <w:b w:val="1"/>
                <w:bCs w:val="1"/>
                <w:color w:val="auto"/>
              </w:rPr>
              <w:t>Quarter</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ind w:left="720"/>
              <w:spacing w:after="0"/>
              <w:rPr>
                <w:sz w:val="20"/>
                <w:szCs w:val="20"/>
                <w:color w:val="auto"/>
              </w:rPr>
            </w:pPr>
            <w:r>
              <w:rPr>
                <w:rFonts w:ascii="Arial" w:cs="Arial" w:eastAsia="Arial" w:hAnsi="Arial"/>
                <w:sz w:val="16"/>
                <w:szCs w:val="16"/>
                <w:b w:val="1"/>
                <w:bCs w:val="1"/>
                <w:color w:val="auto"/>
                <w:w w:val="99"/>
              </w:rPr>
              <w:t>% change</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1Q19</w:t>
            </w:r>
          </w:p>
        </w:tc>
        <w:tc>
          <w:tcPr>
            <w:tcW w:w="2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4Q19</w:t>
            </w:r>
          </w:p>
        </w:tc>
        <w:tc>
          <w:tcPr>
            <w:tcW w:w="2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1Q20</w:t>
            </w:r>
          </w:p>
        </w:tc>
        <w:tc>
          <w:tcPr>
            <w:tcW w:w="2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QoQ</w:t>
            </w:r>
          </w:p>
        </w:tc>
        <w:tc>
          <w:tcPr>
            <w:tcW w:w="36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gridSpan w:val="2"/>
          </w:tcPr>
          <w:p>
            <w:pPr>
              <w:spacing w:after="0"/>
              <w:rPr>
                <w:sz w:val="17"/>
                <w:szCs w:val="17"/>
                <w:color w:val="auto"/>
              </w:rPr>
            </w:pPr>
          </w:p>
        </w:tc>
        <w:tc>
          <w:tcPr>
            <w:tcW w:w="7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YoY</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Interest income</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3,001,674</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3,172,695</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3,163,609</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b w:val="1"/>
                <w:bCs w:val="1"/>
                <w:color w:val="auto"/>
              </w:rPr>
              <w:t>-0.3%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5.4%</w:t>
            </w:r>
          </w:p>
        </w:tc>
        <w:tc>
          <w:tcPr>
            <w:tcW w:w="0" w:type="dxa"/>
            <w:vAlign w:val="bottom"/>
          </w:tcPr>
          <w:p>
            <w:pPr>
              <w:spacing w:after="0"/>
              <w:rPr>
                <w:sz w:val="1"/>
                <w:szCs w:val="1"/>
                <w:color w:val="auto"/>
              </w:rPr>
            </w:pPr>
          </w:p>
        </w:tc>
      </w:tr>
      <w:tr>
        <w:trPr>
          <w:trHeight w:val="200"/>
        </w:trPr>
        <w:tc>
          <w:tcPr>
            <w:tcW w:w="4980" w:type="dxa"/>
            <w:vAlign w:val="bottom"/>
            <w:gridSpan w:val="3"/>
          </w:tcPr>
          <w:p>
            <w:pPr>
              <w:ind w:left="160"/>
              <w:spacing w:after="0"/>
              <w:rPr>
                <w:sz w:val="20"/>
                <w:szCs w:val="20"/>
                <w:color w:val="auto"/>
              </w:rPr>
            </w:pPr>
            <w:r>
              <w:rPr>
                <w:rFonts w:ascii="Arial" w:cs="Arial" w:eastAsia="Arial" w:hAnsi="Arial"/>
                <w:sz w:val="16"/>
                <w:szCs w:val="16"/>
                <w:color w:val="auto"/>
              </w:rPr>
              <w:t>Interest on loans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2,562,286</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2,768,468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2,770,351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65"/>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0"/>
        </w:trPr>
        <w:tc>
          <w:tcPr>
            <w:tcW w:w="49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Dividends on investments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9,667</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5"/>
              <w:spacing w:after="0"/>
              <w:rPr>
                <w:sz w:val="20"/>
                <w:szCs w:val="20"/>
                <w:color w:val="auto"/>
              </w:rPr>
            </w:pPr>
            <w:r>
              <w:rPr>
                <w:rFonts w:ascii="Arial" w:cs="Arial" w:eastAsia="Arial" w:hAnsi="Arial"/>
                <w:sz w:val="16"/>
                <w:szCs w:val="16"/>
                <w:color w:val="auto"/>
              </w:rPr>
              <w:t>109.3%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0"/>
        </w:trPr>
        <w:tc>
          <w:tcPr>
            <w:tcW w:w="4980" w:type="dxa"/>
            <w:vAlign w:val="bottom"/>
            <w:gridSpan w:val="3"/>
          </w:tcPr>
          <w:p>
            <w:pPr>
              <w:ind w:left="160"/>
              <w:spacing w:after="0"/>
              <w:rPr>
                <w:sz w:val="20"/>
                <w:szCs w:val="20"/>
                <w:color w:val="auto"/>
              </w:rPr>
            </w:pPr>
            <w:r>
              <w:rPr>
                <w:rFonts w:ascii="Arial" w:cs="Arial" w:eastAsia="Arial" w:hAnsi="Arial"/>
                <w:sz w:val="16"/>
                <w:szCs w:val="16"/>
                <w:color w:val="auto"/>
              </w:rPr>
              <w:t>Interest on deposits with banks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86,699</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68,813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49,113</w:t>
            </w:r>
          </w:p>
        </w:tc>
        <w:tc>
          <w:tcPr>
            <w:tcW w:w="100" w:type="dxa"/>
            <w:vAlign w:val="bottom"/>
          </w:tcPr>
          <w:p>
            <w:pPr>
              <w:spacing w:after="0"/>
              <w:rPr>
                <w:sz w:val="17"/>
                <w:szCs w:val="17"/>
                <w:color w:val="auto"/>
              </w:rPr>
            </w:pPr>
          </w:p>
        </w:tc>
        <w:tc>
          <w:tcPr>
            <w:tcW w:w="1240" w:type="dxa"/>
            <w:vAlign w:val="bottom"/>
            <w:gridSpan w:val="2"/>
          </w:tcPr>
          <w:p>
            <w:pPr>
              <w:jc w:val="right"/>
              <w:ind w:right="165"/>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00"/>
        </w:trPr>
        <w:tc>
          <w:tcPr>
            <w:tcW w:w="49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Interest on securities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332,788</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311,414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322,734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5"/>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0"/>
        </w:trPr>
        <w:tc>
          <w:tcPr>
            <w:tcW w:w="4980" w:type="dxa"/>
            <w:vAlign w:val="bottom"/>
            <w:gridSpan w:val="3"/>
          </w:tcPr>
          <w:p>
            <w:pPr>
              <w:ind w:left="160"/>
              <w:spacing w:after="0"/>
              <w:rPr>
                <w:sz w:val="20"/>
                <w:szCs w:val="20"/>
                <w:color w:val="auto"/>
              </w:rPr>
            </w:pPr>
            <w:r>
              <w:rPr>
                <w:rFonts w:ascii="Arial" w:cs="Arial" w:eastAsia="Arial" w:hAnsi="Arial"/>
                <w:sz w:val="16"/>
                <w:szCs w:val="16"/>
                <w:color w:val="auto"/>
              </w:rPr>
              <w:t>Other interest income</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10,234</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20,236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13,532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65"/>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0"/>
        </w:trPr>
        <w:tc>
          <w:tcPr>
            <w:tcW w:w="49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Interest expense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804,506</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807,869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784,309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b w:val="1"/>
                <w:bCs w:val="1"/>
                <w:color w:val="auto"/>
              </w:rPr>
              <w:t>-2.9%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200"/>
        </w:trPr>
        <w:tc>
          <w:tcPr>
            <w:tcW w:w="4980" w:type="dxa"/>
            <w:vAlign w:val="bottom"/>
            <w:gridSpan w:val="3"/>
          </w:tcPr>
          <w:p>
            <w:pPr>
              <w:ind w:left="160"/>
              <w:spacing w:after="0"/>
              <w:rPr>
                <w:sz w:val="20"/>
                <w:szCs w:val="20"/>
                <w:color w:val="auto"/>
              </w:rPr>
            </w:pPr>
            <w:r>
              <w:rPr>
                <w:rFonts w:ascii="Arial" w:cs="Arial" w:eastAsia="Arial" w:hAnsi="Arial"/>
                <w:sz w:val="16"/>
                <w:szCs w:val="16"/>
                <w:color w:val="auto"/>
              </w:rPr>
              <w:t>Interest on deposits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353,834</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367,257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364,107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65"/>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0"/>
        </w:trPr>
        <w:tc>
          <w:tcPr>
            <w:tcW w:w="49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Interest on borrowed funds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145,303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141,552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137,126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5"/>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0"/>
        </w:trPr>
        <w:tc>
          <w:tcPr>
            <w:tcW w:w="4980" w:type="dxa"/>
            <w:vAlign w:val="bottom"/>
            <w:gridSpan w:val="3"/>
          </w:tcPr>
          <w:p>
            <w:pPr>
              <w:ind w:left="160"/>
              <w:spacing w:after="0"/>
              <w:rPr>
                <w:sz w:val="20"/>
                <w:szCs w:val="20"/>
                <w:color w:val="auto"/>
              </w:rPr>
            </w:pPr>
            <w:r>
              <w:rPr>
                <w:rFonts w:ascii="Arial" w:cs="Arial" w:eastAsia="Arial" w:hAnsi="Arial"/>
                <w:sz w:val="16"/>
                <w:szCs w:val="16"/>
                <w:color w:val="auto"/>
              </w:rPr>
              <w:t>Interest on bonds and subordinated notes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226,498</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209,238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198,114</w:t>
            </w:r>
          </w:p>
        </w:tc>
        <w:tc>
          <w:tcPr>
            <w:tcW w:w="100" w:type="dxa"/>
            <w:vAlign w:val="bottom"/>
          </w:tcPr>
          <w:p>
            <w:pPr>
              <w:spacing w:after="0"/>
              <w:rPr>
                <w:sz w:val="17"/>
                <w:szCs w:val="17"/>
                <w:color w:val="auto"/>
              </w:rPr>
            </w:pPr>
          </w:p>
        </w:tc>
        <w:tc>
          <w:tcPr>
            <w:tcW w:w="1240" w:type="dxa"/>
            <w:vAlign w:val="bottom"/>
            <w:gridSpan w:val="2"/>
          </w:tcPr>
          <w:p>
            <w:pPr>
              <w:jc w:val="right"/>
              <w:ind w:right="165"/>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54"/>
        </w:trPr>
        <w:tc>
          <w:tcPr>
            <w:tcW w:w="4980" w:type="dxa"/>
            <w:vAlign w:val="bottom"/>
            <w:gridSpan w:val="3"/>
            <w:shd w:val="clear" w:color="auto" w:fill="CCEEFF"/>
          </w:tcPr>
          <w:p>
            <w:pPr>
              <w:ind w:left="160"/>
              <w:spacing w:after="0" w:line="253" w:lineRule="exact"/>
              <w:rPr>
                <w:sz w:val="20"/>
                <w:szCs w:val="20"/>
                <w:color w:val="auto"/>
              </w:rPr>
            </w:pPr>
            <w:r>
              <w:rPr>
                <w:rFonts w:ascii="Arial" w:cs="Arial" w:eastAsia="Arial" w:hAnsi="Arial"/>
                <w:sz w:val="16"/>
                <w:szCs w:val="16"/>
                <w:color w:val="auto"/>
              </w:rPr>
              <w:t xml:space="preserve">Other interest expense </w:t>
            </w:r>
            <w:r>
              <w:rPr>
                <w:rFonts w:ascii="Arial" w:cs="Arial" w:eastAsia="Arial" w:hAnsi="Arial"/>
                <w:sz w:val="26"/>
                <w:szCs w:val="26"/>
                <w:color w:val="auto"/>
                <w:vertAlign w:val="superscript"/>
              </w:rPr>
              <w:t>(1)(3)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78,871</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89,822</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84,962</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5"/>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spacing w:after="0" w:line="253" w:lineRule="exact"/>
              <w:rPr>
                <w:sz w:val="20"/>
                <w:szCs w:val="20"/>
                <w:color w:val="auto"/>
              </w:rPr>
            </w:pPr>
            <w:r>
              <w:rPr>
                <w:rFonts w:ascii="Arial" w:cs="Arial" w:eastAsia="Arial" w:hAnsi="Arial"/>
                <w:sz w:val="16"/>
                <w:szCs w:val="16"/>
                <w:b w:val="1"/>
                <w:bCs w:val="1"/>
                <w:color w:val="auto"/>
              </w:rPr>
              <w:t xml:space="preserve">Net interest income </w:t>
            </w:r>
            <w:r>
              <w:rPr>
                <w:rFonts w:ascii="Arial" w:cs="Arial" w:eastAsia="Arial" w:hAnsi="Arial"/>
                <w:sz w:val="26"/>
                <w:szCs w:val="26"/>
                <w:b w:val="1"/>
                <w:bCs w:val="1"/>
                <w:color w:val="auto"/>
                <w:vertAlign w:val="superscript"/>
              </w:rPr>
              <w:t>(1)(3)</w:t>
            </w: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980" w:type="dxa"/>
            <w:vAlign w:val="bottom"/>
            <w:gridSpan w:val="3"/>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2,197,168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2,364,826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2,379,300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25"/>
              <w:spacing w:after="0"/>
              <w:rPr>
                <w:sz w:val="20"/>
                <w:szCs w:val="20"/>
                <w:color w:val="auto"/>
              </w:rPr>
            </w:pPr>
            <w:r>
              <w:rPr>
                <w:rFonts w:ascii="Arial" w:cs="Arial" w:eastAsia="Arial" w:hAnsi="Arial"/>
                <w:sz w:val="16"/>
                <w:szCs w:val="16"/>
                <w:b w:val="1"/>
                <w:bCs w:val="1"/>
                <w:color w:val="auto"/>
              </w:rPr>
              <w:t>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8.3%</w:t>
            </w:r>
          </w:p>
        </w:tc>
        <w:tc>
          <w:tcPr>
            <w:tcW w:w="0" w:type="dxa"/>
            <w:vAlign w:val="bottom"/>
          </w:tcPr>
          <w:p>
            <w:pPr>
              <w:spacing w:after="0"/>
              <w:rPr>
                <w:sz w:val="1"/>
                <w:szCs w:val="1"/>
                <w:color w:val="auto"/>
              </w:rPr>
            </w:pPr>
          </w:p>
        </w:tc>
      </w:tr>
      <w:tr>
        <w:trPr>
          <w:trHeight w:val="20"/>
        </w:trPr>
        <w:tc>
          <w:tcPr>
            <w:tcW w:w="4980" w:type="dxa"/>
            <w:vAlign w:val="bottom"/>
            <w:gridSpan w:val="3"/>
            <w:vMerge w:val="restart"/>
            <w:shd w:val="clear" w:color="auto" w:fill="CCEEFF"/>
          </w:tcPr>
          <w:p>
            <w:pPr>
              <w:spacing w:after="0" w:line="253" w:lineRule="exact"/>
              <w:rPr>
                <w:sz w:val="20"/>
                <w:szCs w:val="20"/>
                <w:color w:val="auto"/>
              </w:rPr>
            </w:pPr>
            <w:r>
              <w:rPr>
                <w:rFonts w:ascii="Arial" w:cs="Arial" w:eastAsia="Arial" w:hAnsi="Arial"/>
                <w:sz w:val="16"/>
                <w:szCs w:val="16"/>
                <w:b w:val="1"/>
                <w:bCs w:val="1"/>
                <w:color w:val="auto"/>
              </w:rPr>
              <w:t xml:space="preserve">Risk-adjusted Net interest income </w:t>
            </w:r>
            <w:r>
              <w:rPr>
                <w:rFonts w:ascii="Arial" w:cs="Arial" w:eastAsia="Arial" w:hAnsi="Arial"/>
                <w:sz w:val="26"/>
                <w:szCs w:val="26"/>
                <w:b w:val="1"/>
                <w:bCs w:val="1"/>
                <w:color w:val="auto"/>
                <w:vertAlign w:val="superscript"/>
              </w:rPr>
              <w:t>(1)(3)</w:t>
            </w: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980" w:type="dxa"/>
            <w:vAlign w:val="bottom"/>
            <w:gridSpan w:val="3"/>
            <w:vMerge w:val="continue"/>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1,813,957</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1,853,166</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1,037,819</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b w:val="1"/>
                <w:bCs w:val="1"/>
                <w:color w:val="auto"/>
              </w:rPr>
              <w:t>-44.0%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-42.8%</w:t>
            </w:r>
          </w:p>
        </w:tc>
        <w:tc>
          <w:tcPr>
            <w:tcW w:w="0" w:type="dxa"/>
            <w:vAlign w:val="bottom"/>
          </w:tcPr>
          <w:p>
            <w:pPr>
              <w:spacing w:after="0"/>
              <w:rPr>
                <w:sz w:val="1"/>
                <w:szCs w:val="1"/>
                <w:color w:val="auto"/>
              </w:rPr>
            </w:pPr>
          </w:p>
        </w:tc>
      </w:tr>
      <w:tr>
        <w:trPr>
          <w:trHeight w:val="193"/>
        </w:trPr>
        <w:tc>
          <w:tcPr>
            <w:tcW w:w="498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Average interest earning assets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162,988,747</w:t>
            </w:r>
          </w:p>
        </w:tc>
        <w:tc>
          <w:tcPr>
            <w:tcW w:w="2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172,406,741</w:t>
            </w: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177,868,854</w:t>
            </w:r>
          </w:p>
        </w:tc>
        <w:tc>
          <w:tcPr>
            <w:tcW w:w="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360" w:type="dxa"/>
            <w:vAlign w:val="bottom"/>
            <w:tcBorders>
              <w:bottom w:val="single" w:sz="8" w:color="CCEEFF"/>
            </w:tcBorders>
          </w:tcPr>
          <w:p>
            <w:pPr>
              <w:jc w:val="right"/>
              <w:ind w:right="165"/>
              <w:spacing w:after="0"/>
              <w:rPr>
                <w:sz w:val="20"/>
                <w:szCs w:val="20"/>
                <w:color w:val="auto"/>
              </w:rPr>
            </w:pPr>
            <w:r>
              <w:rPr>
                <w:rFonts w:ascii="Arial" w:cs="Arial" w:eastAsia="Arial" w:hAnsi="Arial"/>
                <w:sz w:val="15"/>
                <w:szCs w:val="15"/>
                <w:color w:val="auto"/>
                <w:w w:val="74"/>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26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20"/>
        </w:trPr>
        <w:tc>
          <w:tcPr>
            <w:tcW w:w="4980" w:type="dxa"/>
            <w:vAlign w:val="bottom"/>
            <w:gridSpan w:val="3"/>
            <w:shd w:val="clear" w:color="auto" w:fill="CCEEFF"/>
          </w:tcPr>
          <w:p>
            <w:pPr>
              <w:spacing w:after="0" w:line="220" w:lineRule="exact"/>
              <w:rPr>
                <w:sz w:val="20"/>
                <w:szCs w:val="20"/>
                <w:color w:val="auto"/>
              </w:rPr>
            </w:pPr>
            <w:r>
              <w:rPr>
                <w:rFonts w:ascii="Arial" w:cs="Arial" w:eastAsia="Arial" w:hAnsi="Arial"/>
                <w:sz w:val="16"/>
                <w:szCs w:val="16"/>
                <w:b w:val="1"/>
                <w:bCs w:val="1"/>
                <w:color w:val="auto"/>
              </w:rPr>
              <w:t xml:space="preserve">Net interest margin </w:t>
            </w:r>
            <w:r>
              <w:rPr>
                <w:rFonts w:ascii="Arial" w:cs="Arial" w:eastAsia="Arial" w:hAnsi="Arial"/>
                <w:sz w:val="25"/>
                <w:szCs w:val="25"/>
                <w:b w:val="1"/>
                <w:bCs w:val="1"/>
                <w:color w:val="auto"/>
                <w:vertAlign w:val="superscript"/>
              </w:rPr>
              <w:t>(1)(2)(3)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5.39%</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5.49%</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5.35%</w:t>
            </w:r>
          </w:p>
        </w:tc>
        <w:tc>
          <w:tcPr>
            <w:tcW w:w="10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-14bps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-4bps</w:t>
            </w:r>
          </w:p>
        </w:tc>
        <w:tc>
          <w:tcPr>
            <w:tcW w:w="0" w:type="dxa"/>
            <w:vAlign w:val="bottom"/>
          </w:tcPr>
          <w:p>
            <w:pPr>
              <w:spacing w:after="0"/>
              <w:rPr>
                <w:sz w:val="1"/>
                <w:szCs w:val="1"/>
                <w:color w:val="auto"/>
              </w:rPr>
            </w:pPr>
          </w:p>
        </w:tc>
      </w:tr>
      <w:tr>
        <w:trPr>
          <w:trHeight w:val="240"/>
        </w:trPr>
        <w:tc>
          <w:tcPr>
            <w:tcW w:w="4980" w:type="dxa"/>
            <w:vAlign w:val="bottom"/>
            <w:gridSpan w:val="3"/>
          </w:tcPr>
          <w:p>
            <w:pPr>
              <w:spacing w:after="0" w:line="240" w:lineRule="exact"/>
              <w:rPr>
                <w:sz w:val="20"/>
                <w:szCs w:val="20"/>
                <w:color w:val="auto"/>
              </w:rPr>
            </w:pPr>
            <w:r>
              <w:rPr>
                <w:rFonts w:ascii="Arial" w:cs="Arial" w:eastAsia="Arial" w:hAnsi="Arial"/>
                <w:sz w:val="16"/>
                <w:szCs w:val="16"/>
                <w:b w:val="1"/>
                <w:bCs w:val="1"/>
                <w:color w:val="auto"/>
              </w:rPr>
              <w:t xml:space="preserve">NIM on loans </w:t>
            </w:r>
            <w:r>
              <w:rPr>
                <w:rFonts w:ascii="Arial" w:cs="Arial" w:eastAsia="Arial" w:hAnsi="Arial"/>
                <w:sz w:val="26"/>
                <w:szCs w:val="26"/>
                <w:b w:val="1"/>
                <w:bCs w:val="1"/>
                <w:color w:val="auto"/>
                <w:vertAlign w:val="superscript"/>
              </w:rPr>
              <w:t>(1)(2)(3)</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7.38%</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7.85%</w:t>
            </w: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7.61%</w:t>
            </w:r>
          </w:p>
        </w:tc>
        <w:tc>
          <w:tcPr>
            <w:tcW w:w="100" w:type="dxa"/>
            <w:vAlign w:val="bottom"/>
          </w:tcPr>
          <w:p>
            <w:pPr>
              <w:spacing w:after="0"/>
              <w:rPr>
                <w:sz w:val="20"/>
                <w:szCs w:val="20"/>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rPr>
              <w:t>-24bps</w:t>
            </w: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23bps</w:t>
            </w:r>
          </w:p>
        </w:tc>
        <w:tc>
          <w:tcPr>
            <w:tcW w:w="0" w:type="dxa"/>
            <w:vAlign w:val="bottom"/>
          </w:tcPr>
          <w:p>
            <w:pPr>
              <w:spacing w:after="0"/>
              <w:rPr>
                <w:sz w:val="1"/>
                <w:szCs w:val="1"/>
                <w:color w:val="auto"/>
              </w:rPr>
            </w:pPr>
          </w:p>
        </w:tc>
      </w:tr>
      <w:tr>
        <w:trPr>
          <w:trHeight w:val="240"/>
        </w:trPr>
        <w:tc>
          <w:tcPr>
            <w:tcW w:w="4980" w:type="dxa"/>
            <w:vAlign w:val="bottom"/>
            <w:gridSpan w:val="3"/>
            <w:shd w:val="clear" w:color="auto" w:fill="CCEEFF"/>
          </w:tcPr>
          <w:p>
            <w:pPr>
              <w:spacing w:after="0" w:line="240" w:lineRule="exact"/>
              <w:rPr>
                <w:sz w:val="20"/>
                <w:szCs w:val="20"/>
                <w:color w:val="auto"/>
              </w:rPr>
            </w:pPr>
            <w:r>
              <w:rPr>
                <w:rFonts w:ascii="Arial" w:cs="Arial" w:eastAsia="Arial" w:hAnsi="Arial"/>
                <w:sz w:val="16"/>
                <w:szCs w:val="16"/>
                <w:b w:val="1"/>
                <w:bCs w:val="1"/>
                <w:color w:val="auto"/>
              </w:rPr>
              <w:t xml:space="preserve">Risk-adjusted Net interest margin </w:t>
            </w:r>
            <w:r>
              <w:rPr>
                <w:rFonts w:ascii="Arial" w:cs="Arial" w:eastAsia="Arial" w:hAnsi="Arial"/>
                <w:sz w:val="26"/>
                <w:szCs w:val="26"/>
                <w:b w:val="1"/>
                <w:bCs w:val="1"/>
                <w:color w:val="auto"/>
                <w:vertAlign w:val="superscript"/>
              </w:rPr>
              <w:t>(1)(2)(3)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4.45%</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4.30%</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2.33%</w:t>
            </w:r>
          </w:p>
        </w:tc>
        <w:tc>
          <w:tcPr>
            <w:tcW w:w="100" w:type="dxa"/>
            <w:vAlign w:val="bottom"/>
            <w:shd w:val="clear" w:color="auto" w:fill="CCEEFF"/>
          </w:tcPr>
          <w:p>
            <w:pPr>
              <w:spacing w:after="0"/>
              <w:rPr>
                <w:sz w:val="20"/>
                <w:szCs w:val="20"/>
                <w:color w:val="auto"/>
              </w:rPr>
            </w:pPr>
          </w:p>
        </w:tc>
        <w:tc>
          <w:tcPr>
            <w:tcW w:w="1480" w:type="dxa"/>
            <w:vAlign w:val="bottom"/>
            <w:gridSpan w:val="4"/>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-197bps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-212bps</w:t>
            </w:r>
          </w:p>
        </w:tc>
        <w:tc>
          <w:tcPr>
            <w:tcW w:w="0" w:type="dxa"/>
            <w:vAlign w:val="bottom"/>
          </w:tcPr>
          <w:p>
            <w:pPr>
              <w:spacing w:after="0"/>
              <w:rPr>
                <w:sz w:val="1"/>
                <w:szCs w:val="1"/>
                <w:color w:val="auto"/>
              </w:rPr>
            </w:pPr>
          </w:p>
        </w:tc>
      </w:tr>
      <w:tr>
        <w:trPr>
          <w:trHeight w:val="351"/>
        </w:trPr>
        <w:tc>
          <w:tcPr>
            <w:tcW w:w="4980" w:type="dxa"/>
            <w:vAlign w:val="bottom"/>
            <w:gridSpan w:val="3"/>
          </w:tcPr>
          <w:p>
            <w:pPr>
              <w:spacing w:after="0"/>
              <w:rPr>
                <w:sz w:val="20"/>
                <w:szCs w:val="20"/>
                <w:color w:val="auto"/>
              </w:rPr>
            </w:pPr>
            <w:r>
              <w:rPr>
                <w:rFonts w:ascii="Arial" w:cs="Arial" w:eastAsia="Arial" w:hAnsi="Arial"/>
                <w:sz w:val="16"/>
                <w:szCs w:val="16"/>
                <w:b w:val="1"/>
                <w:bCs w:val="1"/>
                <w:color w:val="auto"/>
              </w:rPr>
              <w:t xml:space="preserve">Net provisions for loan losses / Net interest income </w:t>
            </w:r>
            <w:r>
              <w:rPr>
                <w:rFonts w:ascii="Arial" w:cs="Arial" w:eastAsia="Arial" w:hAnsi="Arial"/>
                <w:sz w:val="26"/>
                <w:szCs w:val="26"/>
                <w:b w:val="1"/>
                <w:bCs w:val="1"/>
                <w:color w:val="auto"/>
                <w:vertAlign w:val="superscript"/>
              </w:rPr>
              <w:t>(1)(2)(3)</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17.44%</w:t>
            </w:r>
          </w:p>
        </w:tc>
        <w:tc>
          <w:tcPr>
            <w:tcW w:w="1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21.64%</w:t>
            </w:r>
          </w:p>
        </w:tc>
        <w:tc>
          <w:tcPr>
            <w:tcW w:w="1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56.38%</w:t>
            </w:r>
          </w:p>
        </w:tc>
        <w:tc>
          <w:tcPr>
            <w:tcW w:w="100" w:type="dxa"/>
            <w:vAlign w:val="bottom"/>
          </w:tcPr>
          <w:p>
            <w:pPr>
              <w:spacing w:after="0"/>
              <w:rPr>
                <w:sz w:val="24"/>
                <w:szCs w:val="24"/>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rPr>
              <w:t>3474bps</w:t>
            </w: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3894bps</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40" w:hanging="233"/>
        <w:spacing w:after="0"/>
        <w:tabs>
          <w:tab w:leader="none" w:pos="2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Figures differ from previously reported, please consider the data presented on this report.</w:t>
      </w:r>
    </w:p>
    <w:p>
      <w:pPr>
        <w:spacing w:after="0" w:line="20" w:lineRule="exact"/>
        <w:rPr>
          <w:rFonts w:ascii="Arial" w:cs="Arial" w:eastAsia="Arial" w:hAnsi="Arial"/>
          <w:sz w:val="16"/>
          <w:szCs w:val="16"/>
          <w:color w:val="auto"/>
        </w:rPr>
      </w:pPr>
    </w:p>
    <w:p>
      <w:pPr>
        <w:ind w:left="220" w:hanging="213"/>
        <w:spacing w:after="0"/>
        <w:tabs>
          <w:tab w:leader="none" w:pos="2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Annualized.</w:t>
      </w:r>
    </w:p>
    <w:p>
      <w:pPr>
        <w:spacing w:after="0" w:line="16" w:lineRule="exact"/>
        <w:rPr>
          <w:rFonts w:ascii="Arial" w:cs="Arial" w:eastAsia="Arial" w:hAnsi="Arial"/>
          <w:sz w:val="16"/>
          <w:szCs w:val="16"/>
          <w:color w:val="auto"/>
        </w:rPr>
      </w:pPr>
    </w:p>
    <w:p>
      <w:pPr>
        <w:ind w:left="240" w:hanging="233"/>
        <w:spacing w:after="0"/>
        <w:tabs>
          <w:tab w:leader="none" w:pos="2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Figures differ from those presented previously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Interest Income</w:t>
      </w:r>
    </w:p>
    <w:p>
      <w:pPr>
        <w:sectPr>
          <w:pgSz w:w="11900" w:h="16838" w:orient="portrait"/>
          <w:cols w:equalWidth="0" w:num="1">
            <w:col w:w="11240"/>
          </w:cols>
          <w:pgMar w:left="320" w:top="895" w:right="339" w:bottom="1440" w:gutter="0" w:footer="0" w:header="0"/>
        </w:sectPr>
      </w:pPr>
    </w:p>
    <w:p>
      <w:pPr>
        <w:spacing w:after="0" w:line="220" w:lineRule="exact"/>
        <w:rPr>
          <w:sz w:val="20"/>
          <w:szCs w:val="20"/>
          <w:color w:val="auto"/>
        </w:rPr>
      </w:pPr>
    </w:p>
    <w:p>
      <w:pPr>
        <w:jc w:val="center"/>
        <w:ind w:right="2020"/>
        <w:spacing w:after="0"/>
        <w:rPr>
          <w:sz w:val="20"/>
          <w:szCs w:val="20"/>
          <w:color w:val="auto"/>
        </w:rPr>
      </w:pPr>
      <w:r>
        <w:rPr>
          <w:rFonts w:ascii="Arial" w:cs="Arial" w:eastAsia="Arial" w:hAnsi="Arial"/>
          <w:sz w:val="16"/>
          <w:szCs w:val="16"/>
          <w:b w:val="1"/>
          <w:bCs w:val="1"/>
          <w:color w:val="auto"/>
        </w:rPr>
        <w:t>Interest Income - LC</w:t>
      </w:r>
    </w:p>
    <w:p>
      <w:pPr>
        <w:spacing w:after="0" w:line="46" w:lineRule="exact"/>
        <w:rPr>
          <w:sz w:val="20"/>
          <w:szCs w:val="20"/>
          <w:color w:val="auto"/>
        </w:rPr>
      </w:pPr>
    </w:p>
    <w:p>
      <w:pPr>
        <w:jc w:val="center"/>
        <w:ind w:right="204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2600"/>
        <w:spacing w:after="0"/>
        <w:rPr>
          <w:sz w:val="20"/>
          <w:szCs w:val="20"/>
          <w:color w:val="auto"/>
        </w:rPr>
      </w:pPr>
      <w:r>
        <w:rPr>
          <w:rFonts w:ascii="Arial" w:cs="Arial" w:eastAsia="Arial" w:hAnsi="Arial"/>
          <w:sz w:val="16"/>
          <w:szCs w:val="16"/>
          <w:b w:val="1"/>
          <w:bCs w:val="1"/>
          <w:color w:val="auto"/>
        </w:rPr>
        <w:t>Interest Income – FC</w:t>
      </w:r>
    </w:p>
    <w:p>
      <w:pPr>
        <w:spacing w:after="0" w:line="46" w:lineRule="exact"/>
        <w:rPr>
          <w:sz w:val="20"/>
          <w:szCs w:val="20"/>
          <w:color w:val="auto"/>
        </w:rPr>
      </w:pPr>
    </w:p>
    <w:p>
      <w:pPr>
        <w:jc w:val="center"/>
        <w:ind w:right="256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-4452620</wp:posOffset>
            </wp:positionH>
            <wp:positionV relativeFrom="paragraph">
              <wp:posOffset>140335</wp:posOffset>
            </wp:positionV>
            <wp:extent cx="6617335" cy="20167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7335" cy="2016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00" w:space="720"/>
            <w:col w:w="422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QoQ analysis, the -0.3% drop in Interest Income was primarily attributable to a contraction of -28.6% in interest on deposits in other banks after international interest rates fell. This decline was also associated, albeit to a lesser extent, to the release of FC reserves, which led to a drop in the balance of available funds in FC of -3.5% and to a decrease in the pay rate of legal reserves in FC. The aforementioned led interest income on deposits in other banks in FC to fall 31.1%.</w:t>
      </w:r>
    </w:p>
    <w:p>
      <w:pPr>
        <w:spacing w:after="0" w:line="200" w:lineRule="exact"/>
        <w:rPr>
          <w:sz w:val="20"/>
          <w:szCs w:val="20"/>
          <w:color w:val="auto"/>
        </w:rPr>
      </w:pPr>
    </w:p>
    <w:p>
      <w:pPr>
        <w:spacing w:after="0" w:line="20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8" w:name="page29"/>
    <w:bookmarkEnd w:id="28"/>
    <w:p>
      <w:pPr>
        <w:spacing w:after="0" w:line="270" w:lineRule="auto"/>
        <w:rPr>
          <w:sz w:val="20"/>
          <w:szCs w:val="20"/>
          <w:color w:val="auto"/>
        </w:rPr>
      </w:pPr>
      <w:r>
        <w:rPr>
          <w:rFonts w:ascii="Arial" w:cs="Arial" w:eastAsia="Arial" w:hAnsi="Arial"/>
          <w:sz w:val="18"/>
          <w:szCs w:val="18"/>
          <w:color w:val="auto"/>
        </w:rPr>
        <w:t>Additionally, interest income on loans remained mostly stable (+0.1%). This result was attributable to a -0.9% drop in interest income on LC loans, which was offset by a +3.4% increase in interest income on FC loans.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 the YoY analysis, interest income rose +5.4%, which outpaced the growth posted in 4Q19. Growth in interest income was mainly attributable to an increase in interest on loans (+8.1%). This expansion was attributable to:</w:t>
      </w:r>
    </w:p>
    <w:p>
      <w:pPr>
        <w:spacing w:after="0" w:line="175" w:lineRule="exact"/>
        <w:rPr>
          <w:sz w:val="20"/>
          <w:szCs w:val="20"/>
          <w:color w:val="auto"/>
        </w:rPr>
      </w:pPr>
    </w:p>
    <w:p>
      <w:pPr>
        <w:jc w:val="both"/>
        <w:ind w:left="880" w:hanging="500"/>
        <w:spacing w:after="0" w:line="258"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volume effect, due to an acceleration in the growth of average daily balances in all segments with the exception of ASB, which translated into growth of +8.0% in total loans. This increase was mainly driven by Retail Banking, which registered an increase of +11.0% in average daily loan balances YoY.</w:t>
      </w:r>
    </w:p>
    <w:p>
      <w:pPr>
        <w:spacing w:after="0" w:line="186" w:lineRule="exact"/>
        <w:rPr>
          <w:rFonts w:ascii="Arial" w:cs="Arial" w:eastAsia="Arial" w:hAnsi="Arial"/>
          <w:sz w:val="18"/>
          <w:szCs w:val="18"/>
          <w:color w:val="auto"/>
        </w:rPr>
      </w:pPr>
    </w:p>
    <w:p>
      <w:pPr>
        <w:ind w:left="880" w:hanging="500"/>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mix by segment given that Retail Banking represented 40.8% of total loans versus 39.8% in 1Q19.</w:t>
      </w:r>
    </w:p>
    <w:p>
      <w:pPr>
        <w:spacing w:after="0" w:line="219" w:lineRule="exact"/>
        <w:rPr>
          <w:rFonts w:ascii="Arial" w:cs="Arial" w:eastAsia="Arial" w:hAnsi="Arial"/>
          <w:sz w:val="18"/>
          <w:szCs w:val="18"/>
          <w:color w:val="auto"/>
        </w:rPr>
      </w:pPr>
    </w:p>
    <w:p>
      <w:pPr>
        <w:ind w:left="880" w:hanging="500"/>
        <w:spacing w:after="0" w:line="270"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currency mix was also favorable given that growth in average daily balances was primarily attributable to loan expansion of +10.7% in the LC YoY.</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advances outlined above were partially offset by a drop in income from deposits in other banks after both local and international interest rates fell. Also, BCRP’s release of legal reserves in LC and FC to inject liquidity to tackle the economic consequences of COVID-19, reducing the balances of deposits in others banks.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Interest Expenses</w:t>
      </w:r>
    </w:p>
    <w:p>
      <w:pPr>
        <w:sectPr>
          <w:pgSz w:w="11900" w:h="16838" w:orient="portrait"/>
          <w:cols w:equalWidth="0" w:num="1">
            <w:col w:w="11240"/>
          </w:cols>
          <w:pgMar w:left="320" w:top="899" w:right="339" w:bottom="1440" w:gutter="0" w:footer="0" w:header="0"/>
        </w:sectPr>
      </w:pP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Interest Expenses – LC</w:t>
      </w:r>
    </w:p>
    <w:p>
      <w:pPr>
        <w:spacing w:after="0" w:line="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140335</wp:posOffset>
            </wp:positionV>
            <wp:extent cx="6541135" cy="20840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41135" cy="2084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1940"/>
        <w:spacing w:after="0"/>
        <w:rPr>
          <w:sz w:val="20"/>
          <w:szCs w:val="20"/>
          <w:color w:val="auto"/>
        </w:rPr>
      </w:pPr>
      <w:r>
        <w:rPr>
          <w:rFonts w:ascii="Arial" w:cs="Arial" w:eastAsia="Arial" w:hAnsi="Arial"/>
          <w:sz w:val="14"/>
          <w:szCs w:val="14"/>
          <w:b w:val="1"/>
          <w:bCs w:val="1"/>
          <w:color w:val="auto"/>
        </w:rPr>
        <w:t>Interest Expenses – FC</w:t>
      </w:r>
    </w:p>
    <w:p>
      <w:pPr>
        <w:spacing w:after="0" w:line="69"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(S/ millions)</w:t>
      </w:r>
    </w:p>
    <w:p>
      <w:pPr>
        <w:spacing w:after="0" w:line="200" w:lineRule="exact"/>
        <w:rPr>
          <w:sz w:val="20"/>
          <w:szCs w:val="20"/>
          <w:color w:val="auto"/>
        </w:rPr>
      </w:pPr>
    </w:p>
    <w:p>
      <w:pPr>
        <w:sectPr>
          <w:pgSz w:w="11900" w:h="16838" w:orient="portrait"/>
          <w:cols w:equalWidth="0" w:num="2">
            <w:col w:w="6840" w:space="720"/>
            <w:col w:w="3680"/>
          </w:cols>
          <w:pgMar w:left="320" w:top="8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the QoQ analysis, interest expenses registered a reduction of -2.9%. This was primarily attributable a decrease in interest on bonds and subordinated notes and, to a lesser extent, to the contraction in interest on loans.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5.3% reduction in expenses for bonds and subordinated notes was the result of BCP Stand-alone’s liability management in the third and fourth quarters of 2019. As indicated in previous reports, in 2019, bonds were issued in LC and FC at very favorable rates, which coupled with expirations and calls for bonds, extended the tenure and reduced funding rates.</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contraction of -3.1% in expenses for interest on loans, which was attributable to a drop in rates in the national and international markets. The payment for interest in LC fell -3.8%, while in FC, the drop was -1.8%.</w:t>
      </w:r>
    </w:p>
    <w:p>
      <w:pPr>
        <w:spacing w:after="0" w:line="17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In the YoY analysis, interest expenses fell -2.5%. This was attributable firstly to a contraction in interest expenses on bonds and subordinated notes and secondly, to a decrease in interest expenses on loans, which offset growth in expenses on deposits.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expenses on bonds and subordinated notes fell -12.5%, after BCP Stand-alone implemented a debt restructuring strategy in the last two quarters of 2019. This strategy was divided into two phases. During the first phase, a liability management of corporate bonds issued by BCP Stand-alone was carried, in both LC and FC. In the second phase, a perpetual subordinated debt was called at BCP Stand-alone. The aforementioned increased the tenure and reduced rates.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29" w:name="page30"/>
    <w:bookmarkEnd w:id="29"/>
    <w:p>
      <w:pPr>
        <w:spacing w:after="0" w:line="270" w:lineRule="auto"/>
        <w:rPr>
          <w:sz w:val="20"/>
          <w:szCs w:val="20"/>
          <w:color w:val="auto"/>
        </w:rPr>
      </w:pPr>
      <w:r>
        <w:rPr>
          <w:rFonts w:ascii="Arial" w:cs="Arial" w:eastAsia="Arial" w:hAnsi="Arial"/>
          <w:sz w:val="18"/>
          <w:szCs w:val="18"/>
          <w:color w:val="auto"/>
        </w:rPr>
        <w:t>Additionally, interest expenses on borrowed funds fell -5.6% after rates fell in the international market. This mainly impacted interest on borrowed funds in FC, which fell -22.5% in comparison to last year’s figure.</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aforementioned was slightly offset by the +2.9% increase in interest on deposits. This growth was mainly driven by an increase in the volume of the most expensive deposits, time deposits (+11.6%),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Net Interest Margin (NIM) and Risk-Adjusted NIM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Credicorp’s NIM and Risk-Adjusted NIM </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6549390" cy="2126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4939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700" w:firstLine="7"/>
        <w:spacing w:after="0" w:line="270" w:lineRule="auto"/>
        <w:tabs>
          <w:tab w:leader="none" w:pos="2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Starting on 1Q17, we exclude derivatives from the NII result. For comparative purposes, figures starting from 1Q16 have been recalculated with the new methodology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NIM </w:t>
      </w:r>
      <w:r>
        <w:rPr>
          <w:rFonts w:ascii="Arial" w:cs="Arial" w:eastAsia="Arial" w:hAnsi="Arial"/>
          <w:sz w:val="18"/>
          <w:szCs w:val="18"/>
          <w:color w:val="auto"/>
        </w:rPr>
        <w:t>dropped QoQ and YoY. This was attributable to:</w:t>
      </w:r>
    </w:p>
    <w:p>
      <w:pPr>
        <w:spacing w:after="0" w:line="224" w:lineRule="exact"/>
        <w:rPr>
          <w:sz w:val="20"/>
          <w:szCs w:val="20"/>
          <w:color w:val="auto"/>
        </w:rPr>
      </w:pPr>
    </w:p>
    <w:p>
      <w:pPr>
        <w:ind w:left="880" w:hanging="500"/>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increase in average interest-earning assets of +3.2% and +9.1% with regard to 4Q19 and 1Q19, respectively.</w:t>
      </w:r>
    </w:p>
    <w:p>
      <w:pPr>
        <w:spacing w:after="0" w:line="219" w:lineRule="exact"/>
        <w:rPr>
          <w:rFonts w:ascii="Arial" w:cs="Arial" w:eastAsia="Arial" w:hAnsi="Arial"/>
          <w:sz w:val="18"/>
          <w:szCs w:val="18"/>
          <w:color w:val="auto"/>
        </w:rPr>
      </w:pPr>
    </w:p>
    <w:p>
      <w:pPr>
        <w:ind w:left="880" w:right="20" w:hanging="500"/>
        <w:spacing w:after="0" w:line="270"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Slower growth in net interest income, despite lower interest expenses; this was primarily attributable to an improvement in the funding structure, where deposits now account for a larger share of the funding structure.</w:t>
      </w:r>
    </w:p>
    <w:p>
      <w:pPr>
        <w:spacing w:after="0" w:line="171" w:lineRule="exact"/>
        <w:rPr>
          <w:sz w:val="20"/>
          <w:szCs w:val="20"/>
          <w:color w:val="auto"/>
        </w:rPr>
      </w:pPr>
    </w:p>
    <w:p>
      <w:pPr>
        <w:spacing w:after="0" w:line="305" w:lineRule="auto"/>
        <w:rPr>
          <w:sz w:val="20"/>
          <w:szCs w:val="20"/>
          <w:color w:val="auto"/>
        </w:rPr>
      </w:pPr>
      <w:r>
        <w:rPr>
          <w:rFonts w:ascii="Arial" w:cs="Arial" w:eastAsia="Arial" w:hAnsi="Arial"/>
          <w:sz w:val="17"/>
          <w:szCs w:val="17"/>
          <w:b w:val="1"/>
          <w:bCs w:val="1"/>
          <w:color w:val="auto"/>
        </w:rPr>
        <w:t xml:space="preserve">Risk-adjusted NIM </w:t>
      </w:r>
      <w:r>
        <w:rPr>
          <w:rFonts w:ascii="Arial" w:cs="Arial" w:eastAsia="Arial" w:hAnsi="Arial"/>
          <w:sz w:val="17"/>
          <w:szCs w:val="17"/>
          <w:color w:val="auto"/>
        </w:rPr>
        <w:t>fell -197 bps QoQ and -212bps YoY, which was attributable to an increase in provisions after expectations for economic growth in Peru</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decreased due to the COVID-19 pandemic and to the government’s decision to lockdown the country to slow the virus’s spread.</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 w:name="page31"/>
    <w:bookmarkEnd w:id="30"/>
    <w:p>
      <w:pPr>
        <w:ind w:left="8040"/>
        <w:spacing w:after="0"/>
        <w:rPr>
          <w:sz w:val="20"/>
          <w:szCs w:val="20"/>
          <w:color w:val="auto"/>
        </w:rPr>
      </w:pPr>
      <w:r>
        <w:rPr>
          <w:rFonts w:ascii="Arial" w:cs="Arial" w:eastAsia="Arial" w:hAnsi="Arial"/>
          <w:sz w:val="18"/>
          <w:szCs w:val="18"/>
          <w:b w:val="1"/>
          <w:bCs w:val="1"/>
          <w:color w:val="auto"/>
        </w:rPr>
        <w:t xml:space="preserve">NIM on loans </w:t>
      </w:r>
      <w:r>
        <w:rPr>
          <w:rFonts w:ascii="Arial" w:cs="Arial" w:eastAsia="Arial" w:hAnsi="Arial"/>
          <w:sz w:val="29"/>
          <w:szCs w:val="29"/>
          <w:b w:val="1"/>
          <w:bCs w:val="1"/>
          <w:color w:val="auto"/>
          <w:vertAlign w:val="superscript"/>
        </w:rPr>
        <w:t>(1)</w:t>
      </w:r>
    </w:p>
    <w:p>
      <w:pPr>
        <w:jc w:val="both"/>
        <w:ind w:left="60" w:right="5300"/>
        <w:spacing w:after="0" w:line="248" w:lineRule="auto"/>
        <w:rPr>
          <w:sz w:val="20"/>
          <w:szCs w:val="20"/>
          <w:color w:val="auto"/>
        </w:rPr>
      </w:pPr>
      <w:r>
        <w:rPr>
          <w:rFonts w:ascii="Arial" w:cs="Arial" w:eastAsia="Arial" w:hAnsi="Arial"/>
          <w:sz w:val="18"/>
          <w:szCs w:val="18"/>
          <w:color w:val="auto"/>
        </w:rPr>
        <w:t>NIM on loans fell -24bps QoQ. This contraction was attributable to a decrease in market interest rates in 1Q20 in both LC and FC. This was attributable to the measures to reactivate the economy in the context of the COVID-19 pandemic. Nevertheless, YoY the NIM on loans increased after new pricing strategies were implemented in retail banking and at Mibanco to cover higher risks that were assumed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4367530</wp:posOffset>
            </wp:positionH>
            <wp:positionV relativeFrom="paragraph">
              <wp:posOffset>-789940</wp:posOffset>
            </wp:positionV>
            <wp:extent cx="2270760" cy="14909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70760" cy="1490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It is also important to analyze NIM by subsidiary. The table below contains the interest margins at each of Credicorp’s subsidiaries.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BCP</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BCP</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8"/>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MM Breakdown</w:t>
            </w:r>
          </w:p>
        </w:tc>
        <w:tc>
          <w:tcPr>
            <w:tcW w:w="8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center"/>
              <w:spacing w:after="0" w:line="267" w:lineRule="exact"/>
              <w:rPr>
                <w:sz w:val="20"/>
                <w:szCs w:val="20"/>
                <w:color w:val="auto"/>
              </w:rPr>
            </w:pPr>
            <w:r>
              <w:rPr>
                <w:rFonts w:ascii="Arial" w:cs="Arial" w:eastAsia="Arial" w:hAnsi="Arial"/>
                <w:sz w:val="18"/>
                <w:szCs w:val="18"/>
                <w:b w:val="1"/>
                <w:bCs w:val="1"/>
                <w:color w:val="auto"/>
                <w:w w:val="86"/>
              </w:rPr>
              <w:t xml:space="preserve">Stand-alone </w:t>
            </w:r>
            <w:r>
              <w:rPr>
                <w:rFonts w:ascii="Arial" w:cs="Arial" w:eastAsia="Arial" w:hAnsi="Arial"/>
                <w:sz w:val="29"/>
                <w:szCs w:val="29"/>
                <w:b w:val="1"/>
                <w:bCs w:val="1"/>
                <w:color w:val="auto"/>
                <w:w w:val="86"/>
                <w:vertAlign w:val="superscript"/>
              </w:rPr>
              <w:t>(1)</w:t>
            </w:r>
          </w:p>
        </w:tc>
        <w:tc>
          <w:tcPr>
            <w:tcW w:w="28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ind w:left="160"/>
              <w:spacing w:after="0" w:line="267" w:lineRule="exact"/>
              <w:rPr>
                <w:sz w:val="20"/>
                <w:szCs w:val="20"/>
                <w:color w:val="auto"/>
              </w:rPr>
            </w:pPr>
            <w:r>
              <w:rPr>
                <w:rFonts w:ascii="Arial" w:cs="Arial" w:eastAsia="Arial" w:hAnsi="Arial"/>
                <w:sz w:val="18"/>
                <w:szCs w:val="18"/>
                <w:b w:val="1"/>
                <w:bCs w:val="1"/>
                <w:color w:val="auto"/>
              </w:rPr>
              <w:t xml:space="preserve">Mibanco </w:t>
            </w:r>
            <w:r>
              <w:rPr>
                <w:rFonts w:ascii="Arial" w:cs="Arial" w:eastAsia="Arial" w:hAnsi="Arial"/>
                <w:sz w:val="29"/>
                <w:szCs w:val="29"/>
                <w:b w:val="1"/>
                <w:bCs w:val="1"/>
                <w:color w:val="auto"/>
                <w:vertAlign w:val="superscript"/>
              </w:rPr>
              <w:t>(1)</w:t>
            </w:r>
          </w:p>
        </w:tc>
        <w:tc>
          <w:tcPr>
            <w:tcW w:w="28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Bolivia</w:t>
            </w:r>
          </w:p>
        </w:tc>
        <w:tc>
          <w:tcPr>
            <w:tcW w:w="28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ind w:left="60"/>
              <w:spacing w:after="0" w:line="267" w:lineRule="exact"/>
              <w:rPr>
                <w:sz w:val="20"/>
                <w:szCs w:val="20"/>
                <w:color w:val="auto"/>
              </w:rPr>
            </w:pPr>
            <w:r>
              <w:rPr>
                <w:rFonts w:ascii="Arial" w:cs="Arial" w:eastAsia="Arial" w:hAnsi="Arial"/>
                <w:sz w:val="18"/>
                <w:szCs w:val="18"/>
                <w:b w:val="1"/>
                <w:bCs w:val="1"/>
                <w:color w:val="auto"/>
                <w:w w:val="90"/>
              </w:rPr>
              <w:t xml:space="preserve">Credicorp </w:t>
            </w:r>
            <w:r>
              <w:rPr>
                <w:rFonts w:ascii="Arial" w:cs="Arial" w:eastAsia="Arial" w:hAnsi="Arial"/>
                <w:sz w:val="29"/>
                <w:szCs w:val="29"/>
                <w:b w:val="1"/>
                <w:bCs w:val="1"/>
                <w:color w:val="auto"/>
                <w:w w:val="90"/>
                <w:vertAlign w:val="superscript"/>
              </w:rPr>
              <w:t>(1)(2)</w:t>
            </w:r>
          </w:p>
        </w:tc>
        <w:tc>
          <w:tcPr>
            <w:tcW w:w="160" w:type="dxa"/>
            <w:vAlign w:val="bottom"/>
            <w:tcBorders>
              <w:bottom w:val="single" w:sz="8" w:color="CCEEFF"/>
            </w:tcBorders>
          </w:tcPr>
          <w:p>
            <w:pPr>
              <w:spacing w:after="0"/>
              <w:rPr>
                <w:sz w:val="23"/>
                <w:szCs w:val="23"/>
                <w:color w:val="auto"/>
              </w:rPr>
            </w:pPr>
          </w:p>
        </w:tc>
      </w:tr>
      <w:tr>
        <w:trPr>
          <w:trHeight w:val="207"/>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1Q19</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14.70%</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w:t>
            </w:r>
          </w:p>
        </w:tc>
      </w:tr>
      <w:tr>
        <w:trPr>
          <w:trHeight w:val="213"/>
        </w:trPr>
        <w:tc>
          <w:tcPr>
            <w:tcW w:w="4040" w:type="dxa"/>
            <w:vAlign w:val="bottom"/>
            <w:gridSpan w:val="2"/>
          </w:tcPr>
          <w:p>
            <w:pPr>
              <w:spacing w:after="0"/>
              <w:rPr>
                <w:sz w:val="20"/>
                <w:szCs w:val="20"/>
                <w:color w:val="auto"/>
              </w:rPr>
            </w:pPr>
            <w:r>
              <w:rPr>
                <w:rFonts w:ascii="Arial" w:cs="Arial" w:eastAsia="Arial" w:hAnsi="Arial"/>
                <w:sz w:val="18"/>
                <w:szCs w:val="18"/>
                <w:color w:val="auto"/>
              </w:rPr>
              <w:t>4Q19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4.92%</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15.11%</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3.69%</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5.49%</w:t>
            </w:r>
          </w:p>
        </w:tc>
      </w:tr>
      <w:tr>
        <w:trPr>
          <w:trHeight w:val="213"/>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1Q20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15.16%</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19" w:lineRule="exact"/>
        <w:rPr>
          <w:sz w:val="20"/>
          <w:szCs w:val="20"/>
          <w:color w:val="auto"/>
        </w:rPr>
      </w:pPr>
    </w:p>
    <w:p>
      <w:pPr>
        <w:ind w:left="260" w:hanging="253"/>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Credicorp also includes Credicorp Capital, Prima, Grupo Credito and Eliminations for consolidation purposes.</w:t>
      </w:r>
    </w:p>
    <w:p>
      <w:pPr>
        <w:spacing w:after="0" w:line="207"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In the YoY evolution at the Credicorp level, NIM fell in line with deterioration in BCP Stand-alone’s NIM, which represents 68% of net interest income. This decrease was insufficient to offset the improvement in Mibanco’s NIM.</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BCP Stand-alone’s NIM deteriorated -21bps QoQ and -4pbs YoY. The reduction in the margin was driven by lower market rates. This mainly affected Wholesale Banking’s segments, which are more sensitive to interest rate movements.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Mibanco’s NIM, which represents 20% of the net interest income, increased +5pbs QoQ and +46pbs YoY after new pricing strategy was implemented. These measures allowed improving disbursement rates during the quarter.</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It is also important to analyze risk-adjusted NIM by business line. The following table shows the net risk-adjusted margins for each of Credicorp’s main subsidiaries.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BCP</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BCP</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640" w:type="dxa"/>
            <w:vAlign w:val="bottom"/>
          </w:tcPr>
          <w:p>
            <w:pPr>
              <w:spacing w:after="0"/>
              <w:rPr>
                <w:sz w:val="20"/>
                <w:szCs w:val="20"/>
                <w:color w:val="auto"/>
              </w:rPr>
            </w:pPr>
            <w:r>
              <w:rPr>
                <w:rFonts w:ascii="Arial" w:cs="Arial" w:eastAsia="Arial" w:hAnsi="Arial"/>
                <w:sz w:val="18"/>
                <w:szCs w:val="18"/>
                <w:b w:val="1"/>
                <w:bCs w:val="1"/>
                <w:color w:val="auto"/>
              </w:rPr>
              <w:t>Risk Adjusted NIM Breakdown</w:t>
            </w:r>
          </w:p>
        </w:tc>
        <w:tc>
          <w:tcPr>
            <w:tcW w:w="100" w:type="dxa"/>
            <w:vAlign w:val="bottom"/>
          </w:tcPr>
          <w:p>
            <w:pPr>
              <w:spacing w:after="0"/>
              <w:rPr>
                <w:sz w:val="23"/>
                <w:szCs w:val="23"/>
                <w:color w:val="auto"/>
              </w:rPr>
            </w:pPr>
          </w:p>
        </w:tc>
        <w:tc>
          <w:tcPr>
            <w:tcW w:w="1380" w:type="dxa"/>
            <w:vAlign w:val="bottom"/>
            <w:gridSpan w:val="2"/>
          </w:tcPr>
          <w:p>
            <w:pPr>
              <w:jc w:val="right"/>
              <w:ind w:right="260"/>
              <w:spacing w:after="0" w:line="267" w:lineRule="exact"/>
              <w:rPr>
                <w:sz w:val="20"/>
                <w:szCs w:val="20"/>
                <w:color w:val="auto"/>
              </w:rPr>
            </w:pPr>
            <w:r>
              <w:rPr>
                <w:rFonts w:ascii="Arial" w:cs="Arial" w:eastAsia="Arial" w:hAnsi="Arial"/>
                <w:sz w:val="18"/>
                <w:szCs w:val="18"/>
                <w:b w:val="1"/>
                <w:bCs w:val="1"/>
                <w:color w:val="auto"/>
                <w:w w:val="83"/>
              </w:rPr>
              <w:t xml:space="preserve">Stand-alone </w:t>
            </w:r>
            <w:r>
              <w:rPr>
                <w:rFonts w:ascii="Arial" w:cs="Arial" w:eastAsia="Arial" w:hAnsi="Arial"/>
                <w:sz w:val="29"/>
                <w:szCs w:val="29"/>
                <w:b w:val="1"/>
                <w:bCs w:val="1"/>
                <w:color w:val="auto"/>
                <w:w w:val="83"/>
                <w:vertAlign w:val="superscript"/>
              </w:rPr>
              <w:t>(1)</w:t>
            </w:r>
          </w:p>
        </w:tc>
        <w:tc>
          <w:tcPr>
            <w:tcW w:w="1340" w:type="dxa"/>
            <w:vAlign w:val="bottom"/>
            <w:gridSpan w:val="2"/>
          </w:tcPr>
          <w:p>
            <w:pPr>
              <w:jc w:val="right"/>
              <w:ind w:right="360"/>
              <w:spacing w:after="0" w:line="267" w:lineRule="exact"/>
              <w:rPr>
                <w:sz w:val="20"/>
                <w:szCs w:val="20"/>
                <w:color w:val="auto"/>
              </w:rPr>
            </w:pPr>
            <w:r>
              <w:rPr>
                <w:rFonts w:ascii="Arial" w:cs="Arial" w:eastAsia="Arial" w:hAnsi="Arial"/>
                <w:sz w:val="18"/>
                <w:szCs w:val="18"/>
                <w:b w:val="1"/>
                <w:bCs w:val="1"/>
                <w:color w:val="auto"/>
                <w:w w:val="94"/>
              </w:rPr>
              <w:t xml:space="preserve">Mibanco </w:t>
            </w:r>
            <w:r>
              <w:rPr>
                <w:rFonts w:ascii="Arial" w:cs="Arial" w:eastAsia="Arial" w:hAnsi="Arial"/>
                <w:sz w:val="29"/>
                <w:szCs w:val="29"/>
                <w:b w:val="1"/>
                <w:bCs w:val="1"/>
                <w:color w:val="auto"/>
                <w:w w:val="94"/>
                <w:vertAlign w:val="superscript"/>
              </w:rPr>
              <w:t>(1)</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Bolivia</w:t>
            </w:r>
          </w:p>
        </w:tc>
        <w:tc>
          <w:tcPr>
            <w:tcW w:w="1320" w:type="dxa"/>
            <w:vAlign w:val="bottom"/>
            <w:gridSpan w:val="2"/>
          </w:tcPr>
          <w:p>
            <w:pPr>
              <w:jc w:val="right"/>
              <w:ind w:right="160"/>
              <w:spacing w:after="0" w:line="267" w:lineRule="exact"/>
              <w:rPr>
                <w:sz w:val="20"/>
                <w:szCs w:val="20"/>
                <w:color w:val="auto"/>
              </w:rPr>
            </w:pPr>
            <w:r>
              <w:rPr>
                <w:rFonts w:ascii="Arial" w:cs="Arial" w:eastAsia="Arial" w:hAnsi="Arial"/>
                <w:sz w:val="18"/>
                <w:szCs w:val="18"/>
                <w:b w:val="1"/>
                <w:bCs w:val="1"/>
                <w:color w:val="auto"/>
                <w:w w:val="83"/>
              </w:rPr>
              <w:t xml:space="preserve">Credicorp </w:t>
            </w:r>
            <w:r>
              <w:rPr>
                <w:rFonts w:ascii="Arial" w:cs="Arial" w:eastAsia="Arial" w:hAnsi="Arial"/>
                <w:sz w:val="29"/>
                <w:szCs w:val="29"/>
                <w:b w:val="1"/>
                <w:bCs w:val="1"/>
                <w:color w:val="auto"/>
                <w:w w:val="83"/>
                <w:vertAlign w:val="superscript"/>
              </w:rPr>
              <w:t>(1)(2)</w:t>
            </w:r>
          </w:p>
        </w:tc>
        <w:tc>
          <w:tcPr>
            <w:tcW w:w="0" w:type="dxa"/>
            <w:vAlign w:val="bottom"/>
          </w:tcPr>
          <w:p>
            <w:pPr>
              <w:spacing w:after="0"/>
              <w:rPr>
                <w:sz w:val="1"/>
                <w:szCs w:val="1"/>
                <w:color w:val="auto"/>
              </w:rPr>
            </w:pPr>
          </w:p>
        </w:tc>
      </w:tr>
      <w:tr>
        <w:trPr>
          <w:trHeight w:val="20"/>
        </w:trPr>
        <w:tc>
          <w:tcPr>
            <w:tcW w:w="4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1Q19</w:t>
            </w:r>
          </w:p>
        </w:tc>
        <w:tc>
          <w:tcPr>
            <w:tcW w:w="100" w:type="dxa"/>
            <w:vAlign w:val="bottom"/>
            <w:vMerge w:val="continue"/>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3"/>
        </w:trPr>
        <w:tc>
          <w:tcPr>
            <w:tcW w:w="4740" w:type="dxa"/>
            <w:vAlign w:val="bottom"/>
            <w:gridSpan w:val="2"/>
          </w:tcPr>
          <w:p>
            <w:pPr>
              <w:spacing w:after="0"/>
              <w:rPr>
                <w:sz w:val="20"/>
                <w:szCs w:val="20"/>
                <w:color w:val="auto"/>
              </w:rPr>
            </w:pPr>
            <w:r>
              <w:rPr>
                <w:rFonts w:ascii="Arial" w:cs="Arial" w:eastAsia="Arial" w:hAnsi="Arial"/>
                <w:sz w:val="18"/>
                <w:szCs w:val="18"/>
                <w:color w:val="auto"/>
              </w:rPr>
              <w:t>4Q19</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12.07%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3"/>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1Q20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Risk-Adjusted NIM: (Annualized Net interest income - annualized provisions) / Average period end and period beginning interest earning assets.</w:t>
      </w:r>
    </w:p>
    <w:p>
      <w:pPr>
        <w:spacing w:after="0" w:line="31" w:lineRule="exact"/>
        <w:rPr>
          <w:sz w:val="20"/>
          <w:szCs w:val="20"/>
          <w:color w:val="auto"/>
        </w:rPr>
      </w:pPr>
    </w:p>
    <w:p>
      <w:pPr>
        <w:ind w:left="260" w:hanging="253"/>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Credicorp also includes Credicorp Capital, Prima, Grupo Credito and Eliminations for consolidation purposes.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Credicorp reported a significant deterioration in the risk-adjusted NIM of -197bps QoQ and -212bps YoY, which reflects deterioration at the main subsidiaries after the cost of risk rose following a material change in expectations for economic growth in a COVID-19 scenario. This led risk-adjusted NIM to fall -230bps QoQ and -241bps YoY at BCP Stand-alone and -232bps QoQ and -254bps at 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1787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79" w:lineRule="exact"/>
        <w:rPr>
          <w:sz w:val="20"/>
          <w:szCs w:val="20"/>
          <w:color w:val="auto"/>
        </w:rPr>
      </w:pPr>
    </w:p>
    <w:p>
      <w:pPr>
        <w:ind w:left="220" w:hanging="212"/>
        <w:spacing w:after="0"/>
        <w:tabs>
          <w:tab w:leader="none" w:pos="220" w:val="left"/>
        </w:tabs>
        <w:numPr>
          <w:ilvl w:val="0"/>
          <w:numId w:val="48"/>
        </w:numPr>
        <w:rPr>
          <w:rFonts w:ascii="Arial" w:cs="Arial" w:eastAsia="Arial" w:hAnsi="Arial"/>
          <w:sz w:val="25"/>
          <w:szCs w:val="25"/>
          <w:color w:val="auto"/>
          <w:vertAlign w:val="superscript"/>
        </w:rPr>
      </w:pPr>
      <w:r>
        <w:rPr>
          <w:rFonts w:ascii="Arial" w:cs="Arial" w:eastAsia="Arial" w:hAnsi="Arial"/>
          <w:sz w:val="16"/>
          <w:szCs w:val="16"/>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136525</wp:posOffset>
            </wp:positionV>
            <wp:extent cx="4481830" cy="279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481830" cy="27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31" w:name="page32"/>
    <w:bookmarkEnd w:id="31"/>
    <w:p>
      <w:pPr>
        <w:ind w:left="460" w:hanging="453"/>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In 1Q20, non-financial income contracted QoQ and YoY. This was primarily attributable to losses on Net gain on securities, which stemmed from recent volatility in the global markets due to the Covid-19 crisis. Impacts were seen in proprietary investment portfolios, mainly at Prima AFP, Credicorp and BCP Stand-alone. The main components of Non-financial income, Fee income and Net gain on foreign exchange transactions registered a decrease in income after transactional activity dropped due to the quarantine imposed by the Peruvian government in mid-March.</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80" w:type="dxa"/>
            <w:vAlign w:val="bottom"/>
            <w:gridSpan w:val="2"/>
          </w:tcPr>
          <w:p>
            <w:pPr>
              <w:spacing w:after="0"/>
              <w:rPr>
                <w:sz w:val="20"/>
                <w:szCs w:val="20"/>
                <w:color w:val="auto"/>
              </w:rPr>
            </w:pPr>
            <w:r>
              <w:rPr>
                <w:rFonts w:ascii="Arial" w:cs="Arial" w:eastAsia="Arial" w:hAnsi="Arial"/>
                <w:sz w:val="16"/>
                <w:szCs w:val="16"/>
                <w:b w:val="1"/>
                <w:bCs w:val="1"/>
                <w:color w:val="auto"/>
              </w:rPr>
              <w:t>Non-financial income</w:t>
            </w: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Quarter</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w w:val="99"/>
              </w:rPr>
              <w:t>% change</w:t>
            </w:r>
          </w:p>
        </w:tc>
        <w:tc>
          <w:tcPr>
            <w:tcW w:w="7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1Q19</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4Q19</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1Q20</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8"/>
                <w:szCs w:val="18"/>
                <w:color w:val="auto"/>
              </w:rPr>
            </w:pP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Fee income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782,922</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847,206</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760,329</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-10.3%</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0"/>
        </w:trPr>
        <w:tc>
          <w:tcPr>
            <w:tcW w:w="5180" w:type="dxa"/>
            <w:vAlign w:val="bottom"/>
            <w:gridSpan w:val="2"/>
          </w:tcPr>
          <w:p>
            <w:pPr>
              <w:spacing w:after="0"/>
              <w:rPr>
                <w:sz w:val="20"/>
                <w:szCs w:val="20"/>
                <w:color w:val="auto"/>
              </w:rPr>
            </w:pPr>
            <w:r>
              <w:rPr>
                <w:rFonts w:ascii="Arial" w:cs="Arial" w:eastAsia="Arial" w:hAnsi="Arial"/>
                <w:sz w:val="16"/>
                <w:szCs w:val="16"/>
                <w:color w:val="auto"/>
              </w:rPr>
              <w:t>Net gain on foreign exchange transactions</w:t>
            </w:r>
          </w:p>
        </w:tc>
        <w:tc>
          <w:tcPr>
            <w:tcW w:w="1000" w:type="dxa"/>
            <w:vAlign w:val="bottom"/>
          </w:tcPr>
          <w:p>
            <w:pPr>
              <w:jc w:val="right"/>
              <w:spacing w:after="0"/>
              <w:rPr>
                <w:sz w:val="20"/>
                <w:szCs w:val="20"/>
                <w:color w:val="auto"/>
              </w:rPr>
            </w:pPr>
            <w:r>
              <w:rPr>
                <w:rFonts w:ascii="Arial" w:cs="Arial" w:eastAsia="Arial" w:hAnsi="Arial"/>
                <w:sz w:val="16"/>
                <w:szCs w:val="16"/>
                <w:color w:val="auto"/>
              </w:rPr>
              <w:t>178,423</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193,528</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166,983</w:t>
            </w:r>
          </w:p>
        </w:tc>
        <w:tc>
          <w:tcPr>
            <w:tcW w:w="2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-13.7%</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-6.4%</w:t>
            </w:r>
          </w:p>
        </w:tc>
      </w:tr>
      <w:tr>
        <w:trPr>
          <w:trHeight w:val="200"/>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gain on securities</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113,545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102,011</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(120,633)</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-218.3%</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-206.2%</w:t>
            </w:r>
          </w:p>
        </w:tc>
      </w:tr>
      <w:tr>
        <w:trPr>
          <w:trHeight w:val="240"/>
        </w:trPr>
        <w:tc>
          <w:tcPr>
            <w:tcW w:w="5180" w:type="dxa"/>
            <w:vAlign w:val="bottom"/>
            <w:gridSpan w:val="2"/>
          </w:tcPr>
          <w:p>
            <w:pPr>
              <w:spacing w:after="0" w:line="240" w:lineRule="exact"/>
              <w:rPr>
                <w:sz w:val="20"/>
                <w:szCs w:val="20"/>
                <w:color w:val="auto"/>
              </w:rPr>
            </w:pPr>
            <w:r>
              <w:rPr>
                <w:rFonts w:ascii="Arial" w:cs="Arial" w:eastAsia="Arial" w:hAnsi="Arial"/>
                <w:sz w:val="16"/>
                <w:szCs w:val="16"/>
                <w:color w:val="auto"/>
              </w:rPr>
              <w:t xml:space="preserve">Net gain from associates </w:t>
            </w:r>
            <w:r>
              <w:rPr>
                <w:rFonts w:ascii="Arial" w:cs="Arial" w:eastAsia="Arial" w:hAnsi="Arial"/>
                <w:sz w:val="26"/>
                <w:szCs w:val="26"/>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6"/>
                <w:szCs w:val="16"/>
                <w:color w:val="auto"/>
              </w:rPr>
              <w:t>14,786</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22,738</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19,225</w:t>
            </w:r>
          </w:p>
        </w:tc>
        <w:tc>
          <w:tcPr>
            <w:tcW w:w="2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-15.4%</w:t>
            </w:r>
          </w:p>
        </w:tc>
        <w:tc>
          <w:tcPr>
            <w:tcW w:w="2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30.0%</w:t>
            </w:r>
          </w:p>
        </w:tc>
      </w:tr>
      <w:tr>
        <w:trPr>
          <w:trHeight w:val="200"/>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gain on derivatives held for trading</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(2,434)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7,043</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35,430</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403.1%</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NA</w:t>
            </w:r>
          </w:p>
        </w:tc>
      </w:tr>
      <w:tr>
        <w:trPr>
          <w:trHeight w:val="240"/>
        </w:trPr>
        <w:tc>
          <w:tcPr>
            <w:tcW w:w="5180" w:type="dxa"/>
            <w:vAlign w:val="bottom"/>
            <w:gridSpan w:val="2"/>
          </w:tcPr>
          <w:p>
            <w:pPr>
              <w:spacing w:after="0" w:line="240" w:lineRule="exact"/>
              <w:rPr>
                <w:sz w:val="20"/>
                <w:szCs w:val="20"/>
                <w:color w:val="auto"/>
              </w:rPr>
            </w:pPr>
            <w:r>
              <w:rPr>
                <w:rFonts w:ascii="Arial" w:cs="Arial" w:eastAsia="Arial" w:hAnsi="Arial"/>
                <w:sz w:val="16"/>
                <w:szCs w:val="16"/>
                <w:color w:val="auto"/>
              </w:rPr>
              <w:t xml:space="preserve">Net gain from exchange differences </w:t>
            </w:r>
            <w:r>
              <w:rPr>
                <w:rFonts w:ascii="Arial" w:cs="Arial" w:eastAsia="Arial" w:hAnsi="Arial"/>
                <w:sz w:val="26"/>
                <w:szCs w:val="26"/>
                <w:color w:val="auto"/>
                <w:vertAlign w:val="superscript"/>
              </w:rPr>
              <w:t>(2)</w:t>
            </w:r>
          </w:p>
        </w:tc>
        <w:tc>
          <w:tcPr>
            <w:tcW w:w="1000" w:type="dxa"/>
            <w:vAlign w:val="bottom"/>
          </w:tcPr>
          <w:p>
            <w:pPr>
              <w:jc w:val="right"/>
              <w:spacing w:after="0"/>
              <w:rPr>
                <w:sz w:val="20"/>
                <w:szCs w:val="20"/>
                <w:color w:val="auto"/>
              </w:rPr>
            </w:pPr>
            <w:r>
              <w:rPr>
                <w:rFonts w:ascii="Arial" w:cs="Arial" w:eastAsia="Arial" w:hAnsi="Arial"/>
                <w:sz w:val="16"/>
                <w:szCs w:val="16"/>
                <w:color w:val="auto"/>
              </w:rPr>
              <w:t>13,490</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17,957</w:t>
            </w:r>
          </w:p>
        </w:tc>
        <w:tc>
          <w:tcPr>
            <w:tcW w:w="2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(21,240)</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-218.3%</w:t>
            </w:r>
          </w:p>
        </w:tc>
        <w:tc>
          <w:tcPr>
            <w:tcW w:w="2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-257.4%</w:t>
            </w:r>
          </w:p>
        </w:tc>
      </w:tr>
      <w:tr>
        <w:trPr>
          <w:trHeight w:val="213"/>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non-financial income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75,605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74,713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117,770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57.6%</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55.8%</w:t>
            </w:r>
          </w:p>
        </w:tc>
      </w:tr>
      <w:tr>
        <w:trPr>
          <w:trHeight w:val="202"/>
        </w:trPr>
        <w:tc>
          <w:tcPr>
            <w:tcW w:w="5180" w:type="dxa"/>
            <w:vAlign w:val="bottom"/>
            <w:gridSpan w:val="2"/>
          </w:tcPr>
          <w:p>
            <w:pPr>
              <w:spacing w:after="0"/>
              <w:rPr>
                <w:sz w:val="20"/>
                <w:szCs w:val="20"/>
                <w:color w:val="auto"/>
              </w:rPr>
            </w:pPr>
            <w:r>
              <w:rPr>
                <w:rFonts w:ascii="Arial" w:cs="Arial" w:eastAsia="Arial" w:hAnsi="Arial"/>
                <w:sz w:val="16"/>
                <w:szCs w:val="16"/>
                <w:b w:val="1"/>
                <w:bCs w:val="1"/>
                <w:color w:val="auto"/>
              </w:rPr>
              <w:t>Total non-financial income, net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1,176,337</w:t>
            </w:r>
          </w:p>
        </w:tc>
        <w:tc>
          <w:tcPr>
            <w:tcW w:w="20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1,265,196</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957,864</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-24.3</w:t>
            </w:r>
          </w:p>
        </w:tc>
        <w:tc>
          <w:tcPr>
            <w:tcW w:w="260" w:type="dxa"/>
            <w:vAlign w:val="bottom"/>
          </w:tcPr>
          <w:p>
            <w:pPr>
              <w:jc w:val="right"/>
              <w:ind w:right="20"/>
              <w:spacing w:after="0"/>
              <w:rPr>
                <w:sz w:val="20"/>
                <w:szCs w:val="20"/>
                <w:color w:val="auto"/>
              </w:rPr>
            </w:pPr>
            <w:r>
              <w:rPr>
                <w:rFonts w:ascii="Arial" w:cs="Arial" w:eastAsia="Arial" w:hAnsi="Arial"/>
                <w:sz w:val="16"/>
                <w:szCs w:val="16"/>
                <w:b w:val="1"/>
                <w:bCs w:val="1"/>
                <w:color w:val="auto"/>
                <w:w w:val="98"/>
              </w:rPr>
              <w:t>%</w:t>
            </w: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-18.6</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9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3175</wp:posOffset>
            </wp:positionV>
            <wp:extent cx="37534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753485" cy="8255"/>
                    </a:xfrm>
                    <a:prstGeom prst="rect">
                      <a:avLst/>
                    </a:prstGeom>
                    <a:noFill/>
                  </pic:spPr>
                </pic:pic>
              </a:graphicData>
            </a:graphic>
          </wp:anchor>
        </w:drawing>
      </w:r>
    </w:p>
    <w:p>
      <w:pPr>
        <w:spacing w:after="0" w:line="10" w:lineRule="exact"/>
        <w:rPr>
          <w:sz w:val="20"/>
          <w:szCs w:val="20"/>
          <w:color w:val="auto"/>
        </w:rPr>
      </w:pPr>
    </w:p>
    <w:p>
      <w:pPr>
        <w:ind w:left="260" w:hanging="253"/>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gains on other investments, mainly made up of the profit of Banmedica.</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Figures differ from previously reported due to the implementation of IFRS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-273685</wp:posOffset>
            </wp:positionV>
            <wp:extent cx="37534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753485"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Quarter</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w w:val="96"/>
              </w:rPr>
              <w:t>% change</w:t>
            </w: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1Q19</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4Q19</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1Q20</w:t>
            </w:r>
          </w:p>
        </w:tc>
        <w:tc>
          <w:tcPr>
            <w:tcW w:w="2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w w:val="86"/>
              </w:rPr>
              <w:t>QoQ</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YoY</w:t>
            </w:r>
          </w:p>
        </w:tc>
        <w:tc>
          <w:tcPr>
            <w:tcW w:w="180" w:type="dxa"/>
            <w:vAlign w:val="bottom"/>
            <w:tcBorders>
              <w:bottom w:val="single" w:sz="8" w:color="CCEEFF"/>
            </w:tcBorders>
          </w:tcPr>
          <w:p>
            <w:pPr>
              <w:spacing w:after="0"/>
              <w:rPr>
                <w:sz w:val="18"/>
                <w:szCs w:val="18"/>
                <w:color w:val="auto"/>
              </w:rPr>
            </w:pP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 EPS contribution (50%)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8,918</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17,262</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17,186</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92.7%</w:t>
            </w:r>
          </w:p>
        </w:tc>
      </w:tr>
      <w:tr>
        <w:trPr>
          <w:trHeight w:val="211"/>
        </w:trPr>
        <w:tc>
          <w:tcPr>
            <w:tcW w:w="5160" w:type="dxa"/>
            <w:vAlign w:val="bottom"/>
            <w:gridSpan w:val="2"/>
          </w:tcPr>
          <w:p>
            <w:pPr>
              <w:spacing w:after="0"/>
              <w:rPr>
                <w:sz w:val="20"/>
                <w:szCs w:val="20"/>
                <w:color w:val="auto"/>
              </w:rPr>
            </w:pPr>
            <w:r>
              <w:rPr>
                <w:rFonts w:ascii="Arial" w:cs="Arial" w:eastAsia="Arial" w:hAnsi="Arial"/>
                <w:sz w:val="16"/>
                <w:szCs w:val="16"/>
                <w:color w:val="auto"/>
              </w:rPr>
              <w:t>(-) Private health insurance deduction (50%)</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(2,736)</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(9,806)</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(6,430)</w:t>
            </w:r>
          </w:p>
        </w:tc>
        <w:tc>
          <w:tcPr>
            <w:tcW w:w="6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-34.4%</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135.0%</w:t>
            </w:r>
          </w:p>
        </w:tc>
      </w:tr>
      <w:tr>
        <w:trPr>
          <w:trHeight w:val="207"/>
        </w:trPr>
        <w:tc>
          <w:tcPr>
            <w:tcW w:w="5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Net gain from association with Banmedica</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6,182</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7,456</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10,756</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44.3</w:t>
            </w:r>
          </w:p>
        </w:tc>
        <w:tc>
          <w:tcPr>
            <w:tcW w:w="2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8"/>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QoQ evolution</w:t>
      </w:r>
      <w:r>
        <w:rPr>
          <w:rFonts w:ascii="Arial" w:cs="Arial" w:eastAsia="Arial" w:hAnsi="Arial"/>
          <w:sz w:val="18"/>
          <w:szCs w:val="18"/>
          <w:color w:val="auto"/>
        </w:rPr>
        <w:t xml:space="preserve"> registered a contraction of 24.3% in non-financial income due to:</w:t>
      </w:r>
    </w:p>
    <w:p>
      <w:pPr>
        <w:spacing w:after="0" w:line="220" w:lineRule="exact"/>
        <w:rPr>
          <w:sz w:val="20"/>
          <w:szCs w:val="20"/>
          <w:color w:val="auto"/>
        </w:rPr>
      </w:pPr>
    </w:p>
    <w:p>
      <w:pPr>
        <w:jc w:val="both"/>
        <w:ind w:left="880" w:hanging="500"/>
        <w:spacing w:after="0" w:line="270" w:lineRule="auto"/>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drop in the </w:t>
      </w:r>
      <w:r>
        <w:rPr>
          <w:rFonts w:ascii="Arial" w:cs="Arial" w:eastAsia="Arial" w:hAnsi="Arial"/>
          <w:sz w:val="17"/>
          <w:szCs w:val="17"/>
          <w:b w:val="1"/>
          <w:bCs w:val="1"/>
          <w:color w:val="auto"/>
        </w:rPr>
        <w:t>Net gain on securities</w:t>
      </w:r>
      <w:r>
        <w:rPr>
          <w:rFonts w:ascii="Arial" w:cs="Arial" w:eastAsia="Arial" w:hAnsi="Arial"/>
          <w:sz w:val="17"/>
          <w:szCs w:val="17"/>
          <w:color w:val="auto"/>
        </w:rPr>
        <w:t>, due to (i) Prima AFP, which posted a reduction in the profitability of its legal reserves after funds withdrawn and market volatility increased, (ii) losses on proprietary investment portfolios at Credicorp Capital, which registered negative results for mark-to-market (MtM) in the Trading portfolio, and (iii) BCP Stand-alone, due to realized losses after the sale of sovereign, Colombian and American bonds. All of the aforementioned was driven by market volatility and a drop in the value of assets due to the impact of COVID-19. Finally, the QoQ reduction was attributable to non-recurring positive results in 4Q19 after positions were sold in the fair value through other comprehensive investments, registered in the results of Credicorp Capital and ASB.</w:t>
      </w:r>
    </w:p>
    <w:p>
      <w:pPr>
        <w:spacing w:after="0" w:line="174" w:lineRule="exact"/>
        <w:rPr>
          <w:rFonts w:ascii="Arial" w:cs="Arial" w:eastAsia="Arial" w:hAnsi="Arial"/>
          <w:sz w:val="17"/>
          <w:szCs w:val="17"/>
          <w:color w:val="auto"/>
        </w:rPr>
      </w:pPr>
    </w:p>
    <w:p>
      <w:pPr>
        <w:jc w:val="both"/>
        <w:ind w:left="880" w:hanging="500"/>
        <w:spacing w:after="0" w:line="25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contraction of </w:t>
      </w:r>
      <w:r>
        <w:rPr>
          <w:rFonts w:ascii="Arial" w:cs="Arial" w:eastAsia="Arial" w:hAnsi="Arial"/>
          <w:sz w:val="18"/>
          <w:szCs w:val="18"/>
          <w:b w:val="1"/>
          <w:bCs w:val="1"/>
          <w:color w:val="auto"/>
        </w:rPr>
        <w:t>Fee income</w:t>
      </w:r>
      <w:r>
        <w:rPr>
          <w:rFonts w:ascii="Arial" w:cs="Arial" w:eastAsia="Arial" w:hAnsi="Arial"/>
          <w:sz w:val="18"/>
          <w:szCs w:val="18"/>
          <w:color w:val="auto"/>
        </w:rPr>
        <w:t>, (i) in line with seasonality in 1Q every year, after the usual drop in operations at the banking services in comparison to those at the end of the year, mainly at BCP Stand-alone, and to a lesser extent, at Mibanco, and (ii) due to a decrease in the income reported by Credicorp Capital for the corporate finance business due to an unfavorable environment for transaction execution. For more information, see 5.1.2 Fee income in the banking business.</w:t>
      </w:r>
    </w:p>
    <w:p>
      <w:pPr>
        <w:spacing w:after="0" w:line="184" w:lineRule="exact"/>
        <w:rPr>
          <w:rFonts w:ascii="Arial" w:cs="Arial" w:eastAsia="Arial" w:hAnsi="Arial"/>
          <w:sz w:val="18"/>
          <w:szCs w:val="18"/>
          <w:color w:val="auto"/>
        </w:rPr>
      </w:pPr>
    </w:p>
    <w:p>
      <w:pPr>
        <w:ind w:left="880" w:right="20" w:hanging="500"/>
        <w:spacing w:after="0" w:line="274"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reduction in the </w:t>
      </w:r>
      <w:r>
        <w:rPr>
          <w:rFonts w:ascii="Arial" w:cs="Arial" w:eastAsia="Arial" w:hAnsi="Arial"/>
          <w:sz w:val="18"/>
          <w:szCs w:val="18"/>
          <w:b w:val="1"/>
          <w:bCs w:val="1"/>
          <w:color w:val="auto"/>
        </w:rPr>
        <w:t>Net gain from exchange differences,</w:t>
      </w:r>
      <w:r>
        <w:rPr>
          <w:rFonts w:ascii="Arial" w:cs="Arial" w:eastAsia="Arial" w:hAnsi="Arial"/>
          <w:sz w:val="18"/>
          <w:szCs w:val="18"/>
          <w:color w:val="auto"/>
        </w:rPr>
        <w:t xml:space="preserve"> due to the loss reported for the exchange differences relative to IFRS 16, mainly in the month of January and at BCP Stand-alone, and to a lesser extent, at Mibanco.</w:t>
      </w:r>
    </w:p>
    <w:p>
      <w:pPr>
        <w:spacing w:after="0" w:line="167" w:lineRule="exact"/>
        <w:rPr>
          <w:rFonts w:ascii="Arial" w:cs="Arial" w:eastAsia="Arial" w:hAnsi="Arial"/>
          <w:sz w:val="18"/>
          <w:szCs w:val="18"/>
          <w:color w:val="auto"/>
        </w:rPr>
      </w:pPr>
    </w:p>
    <w:p>
      <w:pPr>
        <w:ind w:left="880" w:hanging="500"/>
        <w:spacing w:after="0" w:line="274"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decrease in </w:t>
      </w:r>
      <w:r>
        <w:rPr>
          <w:rFonts w:ascii="Arial" w:cs="Arial" w:eastAsia="Arial" w:hAnsi="Arial"/>
          <w:sz w:val="18"/>
          <w:szCs w:val="18"/>
          <w:b w:val="1"/>
          <w:bCs w:val="1"/>
          <w:color w:val="auto"/>
        </w:rPr>
        <w:t>Net gain on foreign exchange transactions</w:t>
      </w:r>
      <w:r>
        <w:rPr>
          <w:rFonts w:ascii="Arial" w:cs="Arial" w:eastAsia="Arial" w:hAnsi="Arial"/>
          <w:sz w:val="18"/>
          <w:szCs w:val="18"/>
          <w:color w:val="auto"/>
        </w:rPr>
        <w:t>, due to lower volumes operated by Wholesale and Retail Banking clients at BCP Stand-alone, mainly in March.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slightly attenuated by:</w:t>
      </w:r>
    </w:p>
    <w:p>
      <w:pPr>
        <w:spacing w:after="0" w:line="216" w:lineRule="exact"/>
        <w:rPr>
          <w:sz w:val="20"/>
          <w:szCs w:val="20"/>
          <w:color w:val="auto"/>
        </w:rPr>
      </w:pPr>
    </w:p>
    <w:p>
      <w:pPr>
        <w:ind w:left="880" w:hanging="500"/>
        <w:spacing w:after="0" w:line="274"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Other non-financial income </w:t>
      </w:r>
      <w:r>
        <w:rPr>
          <w:rFonts w:ascii="Arial" w:cs="Arial" w:eastAsia="Arial" w:hAnsi="Arial"/>
          <w:sz w:val="18"/>
          <w:szCs w:val="18"/>
          <w:color w:val="auto"/>
        </w:rPr>
        <w:t>due to (i) BCP Stand-alone, for the transfer of a legal collection portfolio under cession in the month of February,</w:t>
      </w:r>
      <w:r>
        <w:rPr>
          <w:rFonts w:ascii="Arial" w:cs="Arial" w:eastAsia="Arial" w:hAnsi="Arial"/>
          <w:sz w:val="18"/>
          <w:szCs w:val="18"/>
          <w:b w:val="1"/>
          <w:bCs w:val="1"/>
          <w:color w:val="auto"/>
        </w:rPr>
        <w:t xml:space="preserve"> </w:t>
      </w:r>
      <w:r>
        <w:rPr>
          <w:rFonts w:ascii="Arial" w:cs="Arial" w:eastAsia="Arial" w:hAnsi="Arial"/>
          <w:sz w:val="18"/>
          <w:szCs w:val="18"/>
          <w:color w:val="auto"/>
        </w:rPr>
        <w:t>and (ii) Mibanco, due to the sale of a property (building on Aramburu) in the month of March.</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2" w:name="page33"/>
    <w:bookmarkEnd w:id="32"/>
    <w:p>
      <w:pPr>
        <w:ind w:left="880" w:hanging="500"/>
        <w:spacing w:after="0" w:line="274"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increase in the </w:t>
      </w:r>
      <w:r>
        <w:rPr>
          <w:rFonts w:ascii="Arial" w:cs="Arial" w:eastAsia="Arial" w:hAnsi="Arial"/>
          <w:sz w:val="18"/>
          <w:szCs w:val="18"/>
          <w:b w:val="1"/>
          <w:bCs w:val="1"/>
          <w:color w:val="auto"/>
        </w:rPr>
        <w:t>Net gain on speculative derivatives</w:t>
      </w:r>
      <w:r>
        <w:rPr>
          <w:rFonts w:ascii="Arial" w:cs="Arial" w:eastAsia="Arial" w:hAnsi="Arial"/>
          <w:sz w:val="18"/>
          <w:szCs w:val="18"/>
          <w:color w:val="auto"/>
        </w:rPr>
        <w:t xml:space="preserve"> after advance executions of derivatives associated with structured products in the Asset Management business line at Credicorp Capital.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there was a drop of 18.6% in non-financial income due to:</w:t>
      </w:r>
    </w:p>
    <w:p>
      <w:pPr>
        <w:spacing w:after="0" w:line="220" w:lineRule="exact"/>
        <w:rPr>
          <w:sz w:val="20"/>
          <w:szCs w:val="20"/>
          <w:color w:val="auto"/>
        </w:rPr>
      </w:pPr>
    </w:p>
    <w:p>
      <w:pPr>
        <w:jc w:val="both"/>
        <w:ind w:left="880" w:hanging="500"/>
        <w:spacing w:after="0" w:line="261"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Losses on the </w:t>
      </w:r>
      <w:r>
        <w:rPr>
          <w:rFonts w:ascii="Arial" w:cs="Arial" w:eastAsia="Arial" w:hAnsi="Arial"/>
          <w:sz w:val="18"/>
          <w:szCs w:val="18"/>
          <w:b w:val="1"/>
          <w:bCs w:val="1"/>
          <w:color w:val="auto"/>
        </w:rPr>
        <w:t>Net gain on securities</w:t>
      </w:r>
      <w:r>
        <w:rPr>
          <w:rFonts w:ascii="Arial" w:cs="Arial" w:eastAsia="Arial" w:hAnsi="Arial"/>
          <w:sz w:val="18"/>
          <w:szCs w:val="18"/>
          <w:color w:val="auto"/>
        </w:rPr>
        <w:t xml:space="preserve"> mainly at Prima AFP and Credicorp Capital, due to the same circumstances discussed in the QoQ analysis. Losses were also attributable to an extraordinary result in 1Q19, which was generated by the favorable evolution of the financial markets in 2019 manifested through Credicorp Capital, Prima AFP and ASB.</w:t>
      </w:r>
    </w:p>
    <w:p>
      <w:pPr>
        <w:spacing w:after="0" w:line="178" w:lineRule="exact"/>
        <w:rPr>
          <w:rFonts w:ascii="Arial" w:cs="Arial" w:eastAsia="Arial" w:hAnsi="Arial"/>
          <w:sz w:val="18"/>
          <w:szCs w:val="18"/>
          <w:color w:val="auto"/>
        </w:rPr>
      </w:pPr>
    </w:p>
    <w:p>
      <w:pPr>
        <w:ind w:left="880" w:hanging="500"/>
        <w:spacing w:after="0"/>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The negative result for the </w:t>
      </w:r>
      <w:r>
        <w:rPr>
          <w:rFonts w:ascii="Arial" w:cs="Arial" w:eastAsia="Arial" w:hAnsi="Arial"/>
          <w:sz w:val="16"/>
          <w:szCs w:val="16"/>
          <w:b w:val="1"/>
          <w:bCs w:val="1"/>
          <w:color w:val="auto"/>
        </w:rPr>
        <w:t>Net gain from exchange differences</w:t>
      </w:r>
      <w:r>
        <w:rPr>
          <w:rFonts w:ascii="Arial" w:cs="Arial" w:eastAsia="Arial" w:hAnsi="Arial"/>
          <w:sz w:val="16"/>
          <w:szCs w:val="16"/>
          <w:color w:val="auto"/>
        </w:rPr>
        <w:t>, which was attributable to the same factors discussed in the QoQ analysis.</w:t>
      </w:r>
    </w:p>
    <w:p>
      <w:pPr>
        <w:spacing w:after="0" w:line="242" w:lineRule="exact"/>
        <w:rPr>
          <w:rFonts w:ascii="Arial" w:cs="Arial" w:eastAsia="Arial" w:hAnsi="Arial"/>
          <w:sz w:val="16"/>
          <w:szCs w:val="16"/>
          <w:color w:val="auto"/>
        </w:rPr>
      </w:pPr>
    </w:p>
    <w:p>
      <w:pPr>
        <w:jc w:val="both"/>
        <w:ind w:left="880" w:hanging="500"/>
        <w:spacing w:after="0" w:line="25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decrease in </w:t>
      </w:r>
      <w:r>
        <w:rPr>
          <w:rFonts w:ascii="Arial" w:cs="Arial" w:eastAsia="Arial" w:hAnsi="Arial"/>
          <w:sz w:val="18"/>
          <w:szCs w:val="18"/>
          <w:b w:val="1"/>
          <w:bCs w:val="1"/>
          <w:color w:val="auto"/>
        </w:rPr>
        <w:t>Fee income</w:t>
      </w:r>
      <w:r>
        <w:rPr>
          <w:rFonts w:ascii="Arial" w:cs="Arial" w:eastAsia="Arial" w:hAnsi="Arial"/>
          <w:sz w:val="18"/>
          <w:szCs w:val="18"/>
          <w:color w:val="auto"/>
        </w:rPr>
        <w:t>, which was attributable to the (i) facilities and fees exemptions extended to our clients in the framework of the crisis generated by the pandemic, (ii) the decrease in consumption and service volumes due to the obligatory quarantine imposed by the Peruvian government in mid-March, and (iii) the decrease in transactional activity at BCP Stand-alone and Mibanco, described in greater detail in section 5.1.1 Fee income for the Banking Business.</w:t>
      </w:r>
    </w:p>
    <w:p>
      <w:pPr>
        <w:spacing w:after="0" w:line="184"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 xml:space="preserve">The aforementioned was partially offset by growth in the </w:t>
      </w:r>
      <w:r>
        <w:rPr>
          <w:rFonts w:ascii="Arial" w:cs="Arial" w:eastAsia="Arial" w:hAnsi="Arial"/>
          <w:sz w:val="18"/>
          <w:szCs w:val="18"/>
          <w:b w:val="1"/>
          <w:bCs w:val="1"/>
          <w:color w:val="auto"/>
        </w:rPr>
        <w:t>Other non-financial income</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Net gain on speculative derivatives</w:t>
      </w:r>
      <w:r>
        <w:rPr>
          <w:rFonts w:ascii="Arial" w:cs="Arial" w:eastAsia="Arial" w:hAnsi="Arial"/>
          <w:sz w:val="18"/>
          <w:szCs w:val="18"/>
          <w:color w:val="auto"/>
        </w:rPr>
        <w:t>, which was attributable to the same circumstances explained in the QoQ analysis.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Fee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 By subsidiary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the contribution of each of Credicorp’s subsidiaries to growth in the group’s fee income in 1Q20.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QoQ by subsidiary </w:t>
      </w: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151130</wp:posOffset>
            </wp:positionV>
            <wp:extent cx="5083810" cy="1660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83810" cy="166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*Others include Encumbra, Bancompartir, Grupo Pacifico and eliminations for consolidation purposes.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figure below shows the annual evolution of fee income by subsidiary: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YoY by subsidiary </w:t>
      </w: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151130</wp:posOffset>
            </wp:positionV>
            <wp:extent cx="4922520" cy="17284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22520" cy="172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*Others include Encumbra, Bancompartir, Grupo Pacifico and eliminations for consolidation purposes.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5.1.2. Fee income in the Banking Business</w:t>
      </w:r>
    </w:p>
    <w:p>
      <w:pPr>
        <w:spacing w:after="0" w:line="224"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The chart below shows the evolution of the main components of fee income in the banking business: Next, we show the evolution of the main components of fee income in the banking business: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the Banking Business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80" w:type="dxa"/>
            <w:vAlign w:val="bottom"/>
            <w:gridSpan w:val="3"/>
          </w:tcPr>
          <w:p>
            <w:pPr>
              <w:spacing w:after="0"/>
              <w:rPr>
                <w:sz w:val="20"/>
                <w:szCs w:val="20"/>
                <w:color w:val="auto"/>
              </w:rPr>
            </w:pPr>
            <w:r>
              <w:rPr>
                <w:rFonts w:ascii="Arial" w:cs="Arial" w:eastAsia="Arial" w:hAnsi="Arial"/>
                <w:sz w:val="16"/>
                <w:szCs w:val="16"/>
                <w:b w:val="1"/>
                <w:bCs w:val="1"/>
                <w:color w:val="auto"/>
              </w:rPr>
              <w:t>Fee Income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ind w:left="100"/>
              <w:spacing w:after="0"/>
              <w:rPr>
                <w:sz w:val="20"/>
                <w:szCs w:val="20"/>
                <w:color w:val="auto"/>
              </w:rPr>
            </w:pPr>
            <w:r>
              <w:rPr>
                <w:rFonts w:ascii="Arial" w:cs="Arial" w:eastAsia="Arial" w:hAnsi="Arial"/>
                <w:sz w:val="16"/>
                <w:szCs w:val="16"/>
                <w:b w:val="1"/>
                <w:bCs w:val="1"/>
                <w:color w:val="auto"/>
              </w:rPr>
              <w:t>Quarter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4"/>
          </w:tcPr>
          <w:p>
            <w:pPr>
              <w:ind w:left="120"/>
              <w:spacing w:after="0"/>
              <w:rPr>
                <w:sz w:val="20"/>
                <w:szCs w:val="20"/>
                <w:color w:val="auto"/>
              </w:rPr>
            </w:pPr>
            <w:r>
              <w:rPr>
                <w:rFonts w:ascii="Arial" w:cs="Arial" w:eastAsia="Arial" w:hAnsi="Arial"/>
                <w:sz w:val="16"/>
                <w:szCs w:val="16"/>
                <w:b w:val="1"/>
                <w:bCs w:val="1"/>
                <w:color w:val="auto"/>
                <w:w w:val="99"/>
              </w:rPr>
              <w:t>% change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1Q19</w:t>
            </w:r>
          </w:p>
        </w:tc>
        <w:tc>
          <w:tcPr>
            <w:tcW w:w="2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4Q19</w:t>
            </w:r>
          </w:p>
        </w:tc>
        <w:tc>
          <w:tcPr>
            <w:tcW w:w="2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1Q20</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w w:val="92"/>
              </w:rPr>
              <w:t>QoQ</w:t>
            </w: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8"/>
                <w:szCs w:val="18"/>
                <w:color w:val="auto"/>
              </w:rPr>
            </w:pPr>
          </w:p>
        </w:tc>
      </w:tr>
      <w:tr>
        <w:trPr>
          <w:trHeight w:val="236"/>
        </w:trPr>
        <w:tc>
          <w:tcPr>
            <w:tcW w:w="5060" w:type="dxa"/>
            <w:vAlign w:val="bottom"/>
            <w:shd w:val="clear" w:color="auto" w:fill="CCEEFF"/>
          </w:tcPr>
          <w:p>
            <w:pPr>
              <w:spacing w:after="0" w:line="236" w:lineRule="exact"/>
              <w:rPr>
                <w:sz w:val="20"/>
                <w:szCs w:val="20"/>
                <w:color w:val="auto"/>
              </w:rPr>
            </w:pPr>
            <w:r>
              <w:rPr>
                <w:rFonts w:ascii="Arial" w:cs="Arial" w:eastAsia="Arial" w:hAnsi="Arial"/>
                <w:sz w:val="16"/>
                <w:szCs w:val="16"/>
                <w:color w:val="auto"/>
              </w:rPr>
              <w:t xml:space="preserve">Miscellaneous accounts </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177,517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186,506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164,963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-11.6%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40"/>
        </w:trPr>
        <w:tc>
          <w:tcPr>
            <w:tcW w:w="5280" w:type="dxa"/>
            <w:vAlign w:val="bottom"/>
            <w:gridSpan w:val="3"/>
          </w:tcPr>
          <w:p>
            <w:pPr>
              <w:spacing w:after="0" w:line="240" w:lineRule="exact"/>
              <w:rPr>
                <w:sz w:val="20"/>
                <w:szCs w:val="20"/>
                <w:color w:val="auto"/>
              </w:rPr>
            </w:pPr>
            <w:r>
              <w:rPr>
                <w:rFonts w:ascii="Arial" w:cs="Arial" w:eastAsia="Arial" w:hAnsi="Arial"/>
                <w:sz w:val="16"/>
                <w:szCs w:val="16"/>
                <w:color w:val="auto"/>
              </w:rPr>
              <w:t xml:space="preserve">Credit cards </w:t>
            </w:r>
            <w:r>
              <w:rPr>
                <w:rFonts w:ascii="Arial" w:cs="Arial" w:eastAsia="Arial" w:hAnsi="Arial"/>
                <w:sz w:val="26"/>
                <w:szCs w:val="26"/>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6"/>
                <w:szCs w:val="16"/>
                <w:color w:val="auto"/>
              </w:rPr>
              <w:t>69,499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72,051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60,435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-13.0%</w:t>
            </w:r>
          </w:p>
        </w:tc>
      </w:tr>
      <w:tr>
        <w:trPr>
          <w:trHeight w:val="200"/>
        </w:trPr>
        <w:tc>
          <w:tcPr>
            <w:tcW w:w="5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Drafts and transfers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60,232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71,547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61,846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-13.6%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40"/>
        </w:trPr>
        <w:tc>
          <w:tcPr>
            <w:tcW w:w="5280" w:type="dxa"/>
            <w:vAlign w:val="bottom"/>
            <w:gridSpan w:val="3"/>
          </w:tcPr>
          <w:p>
            <w:pPr>
              <w:spacing w:after="0" w:line="240" w:lineRule="exact"/>
              <w:rPr>
                <w:sz w:val="20"/>
                <w:szCs w:val="20"/>
                <w:color w:val="auto"/>
              </w:rPr>
            </w:pPr>
            <w:r>
              <w:rPr>
                <w:rFonts w:ascii="Arial" w:cs="Arial" w:eastAsia="Arial" w:hAnsi="Arial"/>
                <w:sz w:val="16"/>
                <w:szCs w:val="16"/>
                <w:color w:val="auto"/>
              </w:rPr>
              <w:t xml:space="preserve">Personal loans </w:t>
            </w:r>
            <w:r>
              <w:rPr>
                <w:rFonts w:ascii="Arial" w:cs="Arial" w:eastAsia="Arial" w:hAnsi="Arial"/>
                <w:sz w:val="26"/>
                <w:szCs w:val="26"/>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6"/>
                <w:szCs w:val="16"/>
                <w:color w:val="auto"/>
              </w:rPr>
              <w:t>23,590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28,125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28,352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20.2%</w:t>
            </w:r>
          </w:p>
        </w:tc>
      </w:tr>
      <w:tr>
        <w:trPr>
          <w:trHeight w:val="240"/>
        </w:trPr>
        <w:tc>
          <w:tcPr>
            <w:tcW w:w="5280" w:type="dxa"/>
            <w:vAlign w:val="bottom"/>
            <w:gridSpan w:val="3"/>
            <w:shd w:val="clear" w:color="auto" w:fill="CCEEFF"/>
          </w:tcPr>
          <w:p>
            <w:pPr>
              <w:spacing w:after="0" w:line="240" w:lineRule="exact"/>
              <w:rPr>
                <w:sz w:val="20"/>
                <w:szCs w:val="20"/>
                <w:color w:val="auto"/>
              </w:rPr>
            </w:pPr>
            <w:r>
              <w:rPr>
                <w:rFonts w:ascii="Arial" w:cs="Arial" w:eastAsia="Arial" w:hAnsi="Arial"/>
                <w:sz w:val="16"/>
                <w:szCs w:val="16"/>
                <w:color w:val="auto"/>
              </w:rPr>
              <w:t xml:space="preserve">SME loans </w:t>
            </w:r>
            <w:r>
              <w:rPr>
                <w:rFonts w:ascii="Arial" w:cs="Arial" w:eastAsia="Arial" w:hAnsi="Arial"/>
                <w:sz w:val="26"/>
                <w:szCs w:val="26"/>
                <w:color w:val="auto"/>
                <w:vertAlign w:val="superscript"/>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40"/>
        </w:trPr>
        <w:tc>
          <w:tcPr>
            <w:tcW w:w="5280" w:type="dxa"/>
            <w:vAlign w:val="bottom"/>
            <w:gridSpan w:val="3"/>
          </w:tcPr>
          <w:p>
            <w:pPr>
              <w:spacing w:after="0" w:line="240" w:lineRule="exact"/>
              <w:rPr>
                <w:sz w:val="20"/>
                <w:szCs w:val="20"/>
                <w:color w:val="auto"/>
              </w:rPr>
            </w:pPr>
            <w:r>
              <w:rPr>
                <w:rFonts w:ascii="Arial" w:cs="Arial" w:eastAsia="Arial" w:hAnsi="Arial"/>
                <w:sz w:val="16"/>
                <w:szCs w:val="16"/>
                <w:color w:val="auto"/>
              </w:rPr>
              <w:t xml:space="preserve">Insurance </w:t>
            </w:r>
            <w:r>
              <w:rPr>
                <w:rFonts w:ascii="Arial" w:cs="Arial" w:eastAsia="Arial" w:hAnsi="Arial"/>
                <w:sz w:val="26"/>
                <w:szCs w:val="26"/>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6"/>
                <w:szCs w:val="16"/>
                <w:color w:val="auto"/>
              </w:rPr>
              <w:t>22,210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25,776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25,179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13.4%</w:t>
            </w:r>
          </w:p>
        </w:tc>
      </w:tr>
      <w:tr>
        <w:trPr>
          <w:trHeight w:val="240"/>
        </w:trPr>
        <w:tc>
          <w:tcPr>
            <w:tcW w:w="5280" w:type="dxa"/>
            <w:vAlign w:val="bottom"/>
            <w:gridSpan w:val="3"/>
            <w:shd w:val="clear" w:color="auto" w:fill="CCEEFF"/>
          </w:tcPr>
          <w:p>
            <w:pPr>
              <w:spacing w:after="0" w:line="240" w:lineRule="exact"/>
              <w:rPr>
                <w:sz w:val="20"/>
                <w:szCs w:val="20"/>
                <w:color w:val="auto"/>
              </w:rPr>
            </w:pPr>
            <w:r>
              <w:rPr>
                <w:rFonts w:ascii="Arial" w:cs="Arial" w:eastAsia="Arial" w:hAnsi="Arial"/>
                <w:sz w:val="16"/>
                <w:szCs w:val="16"/>
                <w:color w:val="auto"/>
              </w:rPr>
              <w:t xml:space="preserve">Mortgage loans </w:t>
            </w:r>
            <w:r>
              <w:rPr>
                <w:rFonts w:ascii="Arial" w:cs="Arial" w:eastAsia="Arial" w:hAnsi="Arial"/>
                <w:sz w:val="26"/>
                <w:szCs w:val="26"/>
                <w:color w:val="auto"/>
                <w:vertAlign w:val="superscript"/>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-12.0%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40"/>
        </w:trPr>
        <w:tc>
          <w:tcPr>
            <w:tcW w:w="5280" w:type="dxa"/>
            <w:vAlign w:val="bottom"/>
            <w:gridSpan w:val="3"/>
          </w:tcPr>
          <w:p>
            <w:pPr>
              <w:spacing w:after="0" w:line="240" w:lineRule="exact"/>
              <w:rPr>
                <w:sz w:val="20"/>
                <w:szCs w:val="20"/>
                <w:color w:val="auto"/>
              </w:rPr>
            </w:pPr>
            <w:r>
              <w:rPr>
                <w:rFonts w:ascii="Arial" w:cs="Arial" w:eastAsia="Arial" w:hAnsi="Arial"/>
                <w:sz w:val="16"/>
                <w:szCs w:val="16"/>
                <w:color w:val="auto"/>
              </w:rPr>
              <w:t xml:space="preserve">Off-balance sheet </w:t>
            </w:r>
            <w:r>
              <w:rPr>
                <w:rFonts w:ascii="Arial" w:cs="Arial" w:eastAsia="Arial" w:hAnsi="Arial"/>
                <w:sz w:val="26"/>
                <w:szCs w:val="26"/>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6"/>
                <w:szCs w:val="16"/>
                <w:color w:val="auto"/>
              </w:rPr>
              <w:t>47,302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48,215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50,093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5.9%</w:t>
            </w:r>
          </w:p>
        </w:tc>
      </w:tr>
      <w:tr>
        <w:trPr>
          <w:trHeight w:val="240"/>
        </w:trPr>
        <w:tc>
          <w:tcPr>
            <w:tcW w:w="5280" w:type="dxa"/>
            <w:vAlign w:val="bottom"/>
            <w:gridSpan w:val="3"/>
            <w:shd w:val="clear" w:color="auto" w:fill="CCEEFF"/>
          </w:tcPr>
          <w:p>
            <w:pPr>
              <w:spacing w:after="0" w:line="240" w:lineRule="exact"/>
              <w:rPr>
                <w:sz w:val="20"/>
                <w:szCs w:val="20"/>
                <w:color w:val="auto"/>
              </w:rPr>
            </w:pPr>
            <w:r>
              <w:rPr>
                <w:rFonts w:ascii="Arial" w:cs="Arial" w:eastAsia="Arial" w:hAnsi="Arial"/>
                <w:sz w:val="16"/>
                <w:szCs w:val="16"/>
                <w:color w:val="auto"/>
              </w:rPr>
              <w:t xml:space="preserve">Payments and collections </w:t>
            </w:r>
            <w:r>
              <w:rPr>
                <w:rFonts w:ascii="Arial" w:cs="Arial" w:eastAsia="Arial" w:hAnsi="Arial"/>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103,763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109,311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101,283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40"/>
        </w:trPr>
        <w:tc>
          <w:tcPr>
            <w:tcW w:w="5280" w:type="dxa"/>
            <w:vAlign w:val="bottom"/>
            <w:gridSpan w:val="3"/>
          </w:tcPr>
          <w:p>
            <w:pPr>
              <w:spacing w:after="0" w:line="240" w:lineRule="exact"/>
              <w:rPr>
                <w:sz w:val="20"/>
                <w:szCs w:val="20"/>
                <w:color w:val="auto"/>
              </w:rPr>
            </w:pPr>
            <w:r>
              <w:rPr>
                <w:rFonts w:ascii="Arial" w:cs="Arial" w:eastAsia="Arial" w:hAnsi="Arial"/>
                <w:sz w:val="16"/>
                <w:szCs w:val="16"/>
                <w:color w:val="auto"/>
              </w:rPr>
              <w:t xml:space="preserve">Commercial loans </w:t>
            </w:r>
            <w:r>
              <w:rPr>
                <w:rFonts w:ascii="Arial" w:cs="Arial" w:eastAsia="Arial" w:hAnsi="Arial"/>
                <w:sz w:val="26"/>
                <w:szCs w:val="26"/>
                <w:color w:val="auto"/>
                <w:vertAlign w:val="superscript"/>
              </w:rPr>
              <w:t>(3)(4)</w:t>
            </w:r>
          </w:p>
        </w:tc>
        <w:tc>
          <w:tcPr>
            <w:tcW w:w="900" w:type="dxa"/>
            <w:vAlign w:val="bottom"/>
          </w:tcPr>
          <w:p>
            <w:pPr>
              <w:jc w:val="right"/>
              <w:spacing w:after="0"/>
              <w:rPr>
                <w:sz w:val="20"/>
                <w:szCs w:val="20"/>
                <w:color w:val="auto"/>
              </w:rPr>
            </w:pPr>
            <w:r>
              <w:rPr>
                <w:rFonts w:ascii="Arial" w:cs="Arial" w:eastAsia="Arial" w:hAnsi="Arial"/>
                <w:sz w:val="16"/>
                <w:szCs w:val="16"/>
                <w:color w:val="auto"/>
              </w:rPr>
              <w:t>22,423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24,391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17,978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-26.3%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-19.8%</w:t>
            </w:r>
          </w:p>
        </w:tc>
      </w:tr>
      <w:tr>
        <w:trPr>
          <w:trHeight w:val="240"/>
        </w:trPr>
        <w:tc>
          <w:tcPr>
            <w:tcW w:w="5280" w:type="dxa"/>
            <w:vAlign w:val="bottom"/>
            <w:gridSpan w:val="3"/>
            <w:shd w:val="clear" w:color="auto" w:fill="CCEEFF"/>
          </w:tcPr>
          <w:p>
            <w:pPr>
              <w:spacing w:after="0" w:line="240" w:lineRule="exact"/>
              <w:rPr>
                <w:sz w:val="20"/>
                <w:szCs w:val="20"/>
                <w:color w:val="auto"/>
              </w:rPr>
            </w:pPr>
            <w:r>
              <w:rPr>
                <w:rFonts w:ascii="Arial" w:cs="Arial" w:eastAsia="Arial" w:hAnsi="Arial"/>
                <w:sz w:val="16"/>
                <w:szCs w:val="16"/>
                <w:color w:val="auto"/>
              </w:rPr>
              <w:t xml:space="preserve">Foreign trade </w:t>
            </w:r>
            <w:r>
              <w:rPr>
                <w:rFonts w:ascii="Arial" w:cs="Arial" w:eastAsia="Arial" w:hAnsi="Arial"/>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11,576</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-14.4%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40"/>
        </w:trPr>
        <w:tc>
          <w:tcPr>
            <w:tcW w:w="5280" w:type="dxa"/>
            <w:vAlign w:val="bottom"/>
            <w:gridSpan w:val="3"/>
          </w:tcPr>
          <w:p>
            <w:pPr>
              <w:spacing w:after="0" w:line="240" w:lineRule="exact"/>
              <w:rPr>
                <w:sz w:val="20"/>
                <w:szCs w:val="20"/>
                <w:color w:val="auto"/>
              </w:rPr>
            </w:pPr>
            <w:r>
              <w:rPr>
                <w:rFonts w:ascii="Arial" w:cs="Arial" w:eastAsia="Arial" w:hAnsi="Arial"/>
                <w:sz w:val="16"/>
                <w:szCs w:val="16"/>
                <w:color w:val="auto"/>
              </w:rPr>
              <w:t xml:space="preserve">Corporate finance and mutual funds </w:t>
            </w:r>
            <w:r>
              <w:rPr>
                <w:rFonts w:ascii="Arial" w:cs="Arial" w:eastAsia="Arial" w:hAnsi="Arial"/>
                <w:sz w:val="26"/>
                <w:szCs w:val="26"/>
                <w:color w:val="auto"/>
                <w:vertAlign w:val="superscript"/>
              </w:rPr>
              <w:t>(4)</w:t>
            </w:r>
          </w:p>
        </w:tc>
        <w:tc>
          <w:tcPr>
            <w:tcW w:w="900" w:type="dxa"/>
            <w:vAlign w:val="bottom"/>
          </w:tcPr>
          <w:p>
            <w:pPr>
              <w:jc w:val="right"/>
              <w:spacing w:after="0"/>
              <w:rPr>
                <w:sz w:val="20"/>
                <w:szCs w:val="20"/>
                <w:color w:val="auto"/>
              </w:rPr>
            </w:pPr>
            <w:r>
              <w:rPr>
                <w:rFonts w:ascii="Arial" w:cs="Arial" w:eastAsia="Arial" w:hAnsi="Arial"/>
                <w:sz w:val="16"/>
                <w:szCs w:val="16"/>
                <w:color w:val="auto"/>
              </w:rPr>
              <w:t>15,028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18,690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16,673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10.9%</w:t>
            </w:r>
          </w:p>
        </w:tc>
      </w:tr>
      <w:tr>
        <w:trPr>
          <w:trHeight w:val="240"/>
        </w:trPr>
        <w:tc>
          <w:tcPr>
            <w:tcW w:w="5280" w:type="dxa"/>
            <w:vAlign w:val="bottom"/>
            <w:gridSpan w:val="3"/>
            <w:shd w:val="clear" w:color="auto" w:fill="CCEEFF"/>
          </w:tcPr>
          <w:p>
            <w:pPr>
              <w:spacing w:after="0" w:line="240" w:lineRule="exact"/>
              <w:rPr>
                <w:sz w:val="20"/>
                <w:szCs w:val="20"/>
                <w:color w:val="auto"/>
              </w:rPr>
            </w:pPr>
            <w:r>
              <w:rPr>
                <w:rFonts w:ascii="Arial" w:cs="Arial" w:eastAsia="Arial" w:hAnsi="Arial"/>
                <w:sz w:val="27"/>
                <w:szCs w:val="27"/>
                <w:color w:val="auto"/>
                <w:vertAlign w:val="subscript"/>
              </w:rPr>
              <w:t>ASB</w:t>
            </w:r>
            <w:r>
              <w:rPr>
                <w:rFonts w:ascii="Arial" w:cs="Arial" w:eastAsia="Arial" w:hAnsi="Arial"/>
                <w:sz w:val="12"/>
                <w:szCs w:val="12"/>
                <w:color w:val="auto"/>
              </w:rPr>
              <w:t xml:space="preserve"> (4)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11,550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-27.2%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54"/>
        </w:trPr>
        <w:tc>
          <w:tcPr>
            <w:tcW w:w="5280" w:type="dxa"/>
            <w:vAlign w:val="bottom"/>
            <w:gridSpan w:val="3"/>
          </w:tcPr>
          <w:p>
            <w:pPr>
              <w:spacing w:after="0" w:line="253" w:lineRule="exact"/>
              <w:rPr>
                <w:sz w:val="20"/>
                <w:szCs w:val="20"/>
                <w:color w:val="auto"/>
              </w:rPr>
            </w:pPr>
            <w:r>
              <w:rPr>
                <w:rFonts w:ascii="Arial" w:cs="Arial" w:eastAsia="Arial" w:hAnsi="Arial"/>
                <w:sz w:val="16"/>
                <w:szCs w:val="16"/>
                <w:color w:val="auto"/>
              </w:rPr>
              <w:t xml:space="preserve">Others </w:t>
            </w:r>
            <w:r>
              <w:rPr>
                <w:rFonts w:ascii="Arial" w:cs="Arial" w:eastAsia="Arial" w:hAnsi="Arial"/>
                <w:sz w:val="26"/>
                <w:szCs w:val="26"/>
                <w:color w:val="auto"/>
                <w:vertAlign w:val="superscript"/>
              </w:rPr>
              <w:t>(4)(5)</w:t>
            </w:r>
          </w:p>
        </w:tc>
        <w:tc>
          <w:tcPr>
            <w:tcW w:w="900" w:type="dxa"/>
            <w:vAlign w:val="bottom"/>
          </w:tcPr>
          <w:p>
            <w:pPr>
              <w:jc w:val="right"/>
              <w:spacing w:after="0"/>
              <w:rPr>
                <w:sz w:val="20"/>
                <w:szCs w:val="20"/>
                <w:color w:val="auto"/>
              </w:rPr>
            </w:pPr>
            <w:r>
              <w:rPr>
                <w:rFonts w:ascii="Arial" w:cs="Arial" w:eastAsia="Arial" w:hAnsi="Arial"/>
                <w:sz w:val="16"/>
                <w:szCs w:val="16"/>
                <w:color w:val="auto"/>
              </w:rPr>
              <w:t>69,836</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79,916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62,067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-22.3%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-11.1%</w:t>
            </w:r>
          </w:p>
        </w:tc>
      </w:tr>
      <w:tr>
        <w:trPr>
          <w:trHeight w:val="204"/>
        </w:trPr>
        <w:tc>
          <w:tcPr>
            <w:tcW w:w="52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Total fee income</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664,612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718,725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637,067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-11.4</w:t>
            </w:r>
          </w:p>
        </w:tc>
        <w:tc>
          <w:tcPr>
            <w:tcW w:w="2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8"/>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BCP</w:t>
      </w:r>
    </w:p>
    <w:p>
      <w:pPr>
        <w:spacing w:after="0" w:line="19" w:lineRule="exact"/>
        <w:rPr>
          <w:sz w:val="20"/>
          <w:szCs w:val="20"/>
          <w:color w:val="auto"/>
        </w:rPr>
      </w:pPr>
    </w:p>
    <w:p>
      <w:pPr>
        <w:ind w:left="260" w:hanging="253"/>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fees from BCP Bolivia, Mibanco, network usage and other services to third parties, among others.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QoQ analysis,</w:t>
      </w:r>
      <w:r>
        <w:rPr>
          <w:rFonts w:ascii="Arial" w:cs="Arial" w:eastAsia="Arial" w:hAnsi="Arial"/>
          <w:sz w:val="16"/>
          <w:szCs w:val="16"/>
          <w:color w:val="auto"/>
        </w:rPr>
        <w:t xml:space="preserve"> fee income in the banking business fell -11.4% QoQ. The lines that registered the most significant contractions this quarter were:</w:t>
      </w:r>
    </w:p>
    <w:p>
      <w:pPr>
        <w:spacing w:after="0" w:line="243" w:lineRule="exact"/>
        <w:rPr>
          <w:sz w:val="20"/>
          <w:szCs w:val="20"/>
          <w:color w:val="auto"/>
        </w:rPr>
      </w:pPr>
    </w:p>
    <w:p>
      <w:pPr>
        <w:jc w:val="both"/>
        <w:ind w:left="880" w:hanging="500"/>
        <w:spacing w:after="0" w:line="261"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Miscellaneous accounts</w:t>
      </w:r>
      <w:r>
        <w:rPr>
          <w:rFonts w:ascii="Arial" w:cs="Arial" w:eastAsia="Arial" w:hAnsi="Arial"/>
          <w:sz w:val="18"/>
          <w:szCs w:val="18"/>
          <w:color w:val="auto"/>
        </w:rPr>
        <w:t>, mainly for (i) Debit cards, due to the reduction in fees for card replacement and a decrease in cash withdrawals,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 lesser extent, due to (ii) Savings accounts and (iii) Current accounts, which experienced a decrease in the fees generated for account maintenance.</w:t>
      </w:r>
    </w:p>
    <w:p>
      <w:pPr>
        <w:spacing w:after="0" w:line="396"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4" w:name="page35"/>
    <w:bookmarkEnd w:id="34"/>
    <w:p>
      <w:pPr>
        <w:jc w:val="both"/>
        <w:ind w:left="880" w:hanging="500"/>
        <w:spacing w:after="0" w:line="261"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Others, </w:t>
      </w:r>
      <w:r>
        <w:rPr>
          <w:rFonts w:ascii="Arial" w:cs="Arial" w:eastAsia="Arial" w:hAnsi="Arial"/>
          <w:sz w:val="18"/>
          <w:szCs w:val="18"/>
          <w:color w:val="auto"/>
        </w:rPr>
        <w:t>mainly at Mibanco, which represents 90% of the contraction due to a drop in income from obligatory insurance and a decrease in fees</w:t>
      </w:r>
      <w:r>
        <w:rPr>
          <w:rFonts w:ascii="Arial" w:cs="Arial" w:eastAsia="Arial" w:hAnsi="Arial"/>
          <w:sz w:val="18"/>
          <w:szCs w:val="18"/>
          <w:b w:val="1"/>
          <w:bCs w:val="1"/>
          <w:color w:val="auto"/>
        </w:rPr>
        <w:t xml:space="preserve"> </w:t>
      </w:r>
      <w:r>
        <w:rPr>
          <w:rFonts w:ascii="Arial" w:cs="Arial" w:eastAsia="Arial" w:hAnsi="Arial"/>
          <w:sz w:val="18"/>
          <w:szCs w:val="18"/>
          <w:color w:val="auto"/>
        </w:rPr>
        <w:t>assessed for overdue loans. This last decrease was generated after the bank offered to freeze installment payments for up to two quotas without penalties or to waive fees.</w:t>
      </w:r>
    </w:p>
    <w:p>
      <w:pPr>
        <w:spacing w:after="0" w:line="178" w:lineRule="exact"/>
        <w:rPr>
          <w:rFonts w:ascii="Arial" w:cs="Arial" w:eastAsia="Arial" w:hAnsi="Arial"/>
          <w:sz w:val="18"/>
          <w:szCs w:val="18"/>
          <w:color w:val="auto"/>
        </w:rPr>
      </w:pPr>
    </w:p>
    <w:p>
      <w:pPr>
        <w:jc w:val="both"/>
        <w:ind w:left="880" w:hanging="500"/>
        <w:spacing w:after="0" w:line="254"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Credit cards, </w:t>
      </w:r>
      <w:r>
        <w:rPr>
          <w:rFonts w:ascii="Arial" w:cs="Arial" w:eastAsia="Arial" w:hAnsi="Arial"/>
          <w:sz w:val="18"/>
          <w:szCs w:val="18"/>
          <w:color w:val="auto"/>
        </w:rPr>
        <w:t>due to (i) seasonality from every 1Q due to an increase in transactional activity through year-end transactions, (ii) a decrease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fees from establishments due to a drop in consumption, (iii) a drop in fees for overdue loans due to no collections from clients who have availed of skip programs or installment payments freezing, and (iv) a decrease in card membership fees (fees suspended until July). All of the aforementioned was attributable to the measures taken during the quarantine for COVID-19, which began on March 15, and to subsequent fallout.</w:t>
      </w:r>
    </w:p>
    <w:p>
      <w:pPr>
        <w:spacing w:after="0" w:line="185" w:lineRule="exact"/>
        <w:rPr>
          <w:rFonts w:ascii="Arial" w:cs="Arial" w:eastAsia="Arial" w:hAnsi="Arial"/>
          <w:sz w:val="18"/>
          <w:szCs w:val="18"/>
          <w:color w:val="auto"/>
        </w:rPr>
      </w:pPr>
    </w:p>
    <w:p>
      <w:pPr>
        <w:jc w:val="both"/>
        <w:ind w:left="880" w:hanging="500"/>
        <w:spacing w:after="0" w:line="283" w:lineRule="auto"/>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Drafts and transfers</w:t>
      </w:r>
      <w:r>
        <w:rPr>
          <w:rFonts w:ascii="Arial" w:cs="Arial" w:eastAsia="Arial" w:hAnsi="Arial"/>
          <w:sz w:val="17"/>
          <w:szCs w:val="17"/>
          <w:color w:val="auto"/>
        </w:rPr>
        <w:t>, due to (i) a drop in transactions of approximately 50% in the month of March (versus February), which affected the</w:t>
      </w:r>
      <w:r>
        <w:rPr>
          <w:rFonts w:ascii="Arial" w:cs="Arial" w:eastAsia="Arial" w:hAnsi="Arial"/>
          <w:sz w:val="17"/>
          <w:szCs w:val="17"/>
          <w:b w:val="1"/>
          <w:bCs w:val="1"/>
          <w:color w:val="auto"/>
        </w:rPr>
        <w:t xml:space="preserve"> </w:t>
      </w:r>
      <w:r>
        <w:rPr>
          <w:rFonts w:ascii="Arial" w:cs="Arial" w:eastAsia="Arial" w:hAnsi="Arial"/>
          <w:sz w:val="17"/>
          <w:szCs w:val="17"/>
          <w:color w:val="auto"/>
        </w:rPr>
        <w:t>volume of local and foreign transfers, and (ii) facilities offered for free local transfers for 30 days, which led fee income for this component to fall 50% with regard to February’s level and (iii) seasonality from every 4Q, which registered a higher number of transactions.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the contracting of 4.1% was attributable to (i) Miscellaneous Accounts, (ii) Credit cards and (iii) Others, which was attributable to the same factors discussed in the QoQ analysis, and to a decrease in transactional activity during the pandemic. Additionally, the drop in income is in line with the transactional strategy to encourage clients to migrate to digital channels,</w:t>
      </w:r>
    </w:p>
    <w:p>
      <w:pPr>
        <w:spacing w:after="0" w:line="396"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6. Insurance Underwriting Result</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insurance underwriting result fell 1.8% QoQ, which was primarily attributable to an increase in the acquisition costs in both P&amp;C and Life insurance. This was mitigated by a decrease in claims in P&amp;C and an increase in net premiums in Life insurance. In the YoY analysis, the underwriting result rose 30.1%, which was driven primarily by an increase in net earned premiums in both Life insurance and P&amp;C business; and by a decrease in claims in P&amp;C business, which was attenuated by an increase in the acquisition costs of both businesses.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3680" w:type="dxa"/>
            <w:vAlign w:val="bottom"/>
            <w:gridSpan w:val="3"/>
          </w:tcPr>
          <w:p>
            <w:pPr>
              <w:spacing w:after="0"/>
              <w:rPr>
                <w:sz w:val="20"/>
                <w:szCs w:val="20"/>
                <w:color w:val="auto"/>
              </w:rPr>
            </w:pPr>
            <w:r>
              <w:rPr>
                <w:rFonts w:ascii="Arial" w:cs="Arial" w:eastAsia="Arial" w:hAnsi="Arial"/>
                <w:sz w:val="16"/>
                <w:szCs w:val="16"/>
                <w:b w:val="1"/>
                <w:bCs w:val="1"/>
                <w:color w:val="auto"/>
              </w:rPr>
              <w:t xml:space="preserve">Insurance underwriting result </w:t>
            </w:r>
            <w:r>
              <w:rPr>
                <w:rFonts w:ascii="Arial" w:cs="Arial" w:eastAsia="Arial" w:hAnsi="Arial"/>
                <w:sz w:val="26"/>
                <w:szCs w:val="26"/>
                <w:b w:val="1"/>
                <w:bCs w:val="1"/>
                <w:color w:val="auto"/>
                <w:vertAlign w:val="superscript"/>
              </w:rPr>
              <w:t>(1)</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6"/>
                <w:szCs w:val="16"/>
                <w:b w:val="1"/>
                <w:bCs w:val="1"/>
                <w:color w:val="auto"/>
              </w:rPr>
              <w:t>Quarter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 change</w:t>
            </w:r>
          </w:p>
        </w:tc>
      </w:tr>
      <w:tr>
        <w:trPr>
          <w:trHeight w:val="204"/>
        </w:trPr>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1Q19</w:t>
            </w:r>
          </w:p>
        </w:tc>
        <w:tc>
          <w:tcPr>
            <w:tcW w:w="14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4Q19</w:t>
            </w:r>
          </w:p>
        </w:tc>
        <w:tc>
          <w:tcPr>
            <w:tcW w:w="1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1Q20</w:t>
            </w:r>
          </w:p>
        </w:tc>
        <w:tc>
          <w:tcPr>
            <w:tcW w:w="14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QoQ</w:t>
            </w:r>
          </w:p>
        </w:tc>
        <w:tc>
          <w:tcPr>
            <w:tcW w:w="24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7"/>
                <w:szCs w:val="17"/>
                <w:color w:val="auto"/>
              </w:rPr>
            </w:pPr>
          </w:p>
        </w:tc>
      </w:tr>
      <w:tr>
        <w:trPr>
          <w:trHeight w:val="196"/>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Net earned premiums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584,209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620,578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627,935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00"/>
        </w:trPr>
        <w:tc>
          <w:tcPr>
            <w:tcW w:w="3680" w:type="dxa"/>
            <w:vAlign w:val="bottom"/>
            <w:gridSpan w:val="3"/>
          </w:tcPr>
          <w:p>
            <w:pPr>
              <w:spacing w:after="0"/>
              <w:rPr>
                <w:sz w:val="20"/>
                <w:szCs w:val="20"/>
                <w:color w:val="auto"/>
              </w:rPr>
            </w:pPr>
            <w:r>
              <w:rPr>
                <w:rFonts w:ascii="Arial" w:cs="Arial" w:eastAsia="Arial" w:hAnsi="Arial"/>
                <w:sz w:val="16"/>
                <w:szCs w:val="16"/>
                <w:color w:val="auto"/>
              </w:rPr>
              <w:t>Net claims</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(383,817)</w:t>
            </w:r>
          </w:p>
        </w:tc>
        <w:tc>
          <w:tcPr>
            <w:tcW w:w="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(387,426)</w:t>
            </w: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(373,502)</w:t>
            </w:r>
          </w:p>
        </w:tc>
        <w:tc>
          <w:tcPr>
            <w:tcW w:w="6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54"/>
        </w:trPr>
        <w:tc>
          <w:tcPr>
            <w:tcW w:w="3680" w:type="dxa"/>
            <w:vAlign w:val="bottom"/>
            <w:gridSpan w:val="3"/>
            <w:shd w:val="clear" w:color="auto" w:fill="CCEEFF"/>
          </w:tcPr>
          <w:p>
            <w:pPr>
              <w:spacing w:after="0" w:line="253" w:lineRule="exact"/>
              <w:rPr>
                <w:sz w:val="20"/>
                <w:szCs w:val="20"/>
                <w:color w:val="auto"/>
              </w:rPr>
            </w:pPr>
            <w:r>
              <w:rPr>
                <w:rFonts w:ascii="Arial" w:cs="Arial" w:eastAsia="Arial" w:hAnsi="Arial"/>
                <w:sz w:val="16"/>
                <w:szCs w:val="16"/>
                <w:color w:val="auto"/>
              </w:rPr>
              <w:t xml:space="preserve">Acquisition cost </w:t>
            </w:r>
            <w:r>
              <w:rPr>
                <w:rFonts w:ascii="Arial" w:cs="Arial" w:eastAsia="Arial" w:hAnsi="Arial"/>
                <w:sz w:val="26"/>
                <w:szCs w:val="26"/>
                <w:color w:val="auto"/>
                <w:vertAlign w:val="superscript"/>
              </w:rPr>
              <w:t>(2)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(91,281)</w:t>
            </w:r>
          </w:p>
        </w:tc>
        <w:tc>
          <w:tcPr>
            <w:tcW w:w="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(88,662)</w:t>
            </w:r>
          </w:p>
        </w:tc>
        <w:tc>
          <w:tcPr>
            <w:tcW w:w="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(112,507)</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26.9%</w:t>
            </w:r>
          </w:p>
        </w:tc>
        <w:tc>
          <w:tcPr>
            <w:tcW w:w="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04"/>
        </w:trPr>
        <w:tc>
          <w:tcPr>
            <w:tcW w:w="3680" w:type="dxa"/>
            <w:vAlign w:val="bottom"/>
            <w:gridSpan w:val="3"/>
          </w:tcPr>
          <w:p>
            <w:pPr>
              <w:spacing w:after="0"/>
              <w:rPr>
                <w:sz w:val="20"/>
                <w:szCs w:val="20"/>
                <w:color w:val="auto"/>
              </w:rPr>
            </w:pPr>
            <w:r>
              <w:rPr>
                <w:rFonts w:ascii="Arial" w:cs="Arial" w:eastAsia="Arial" w:hAnsi="Arial"/>
                <w:sz w:val="16"/>
                <w:szCs w:val="16"/>
                <w:b w:val="1"/>
                <w:bCs w:val="1"/>
                <w:color w:val="auto"/>
              </w:rPr>
              <w:t>Total insurance underwriting result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109,111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144,490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141,926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w w:val="98"/>
              </w:rPr>
              <w:t>%</w:t>
            </w:r>
          </w:p>
        </w:tc>
        <w:tc>
          <w:tcPr>
            <w:tcW w:w="6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30.1</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98"/>
              </w:rPr>
              <w:t>%</w:t>
            </w:r>
          </w:p>
        </w:tc>
      </w:tr>
      <w:tr>
        <w:trPr>
          <w:trHeight w:val="20"/>
        </w:trPr>
        <w:tc>
          <w:tcPr>
            <w:tcW w:w="3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ind w:left="260" w:hanging="253"/>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the results of the Life, Property &amp; Casualty and Crediseguros business</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net fees and underwriting expenses.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Life Insurance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 insurance total premiums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1309370</wp:posOffset>
            </wp:positionH>
            <wp:positionV relativeFrom="paragraph">
              <wp:posOffset>140335</wp:posOffset>
            </wp:positionV>
            <wp:extent cx="4524375" cy="18046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24375" cy="1804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Total premiums increased 0.4% QoQ, which was attributable to (i) Group Life, mainly through Statutory Life due to new regulations, which went into effect in January 2020 in which companies must insure their employees, since the first working day; (ii) Credit Life, through the alliance channel after solidarity payments (late payments assumed by the entity) were made; (iii) in D&amp;S, after an increase in premiums was registered through SISCO IV. The aforementioned was attenuated by Annuities and driven primarily by a decrease in sales of individual annuities and Individual Life after issuances fell in the direct channel; both lines were affected by a decrease in the number of selling days due to the quarantine.</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YoY analysis, total premiums increased 0.6%; this was mainly driven by (i) Credit Life, where growth was attributable to an increase in premiums in the alliance and bancassurance channel and to solidarity payments (debts assumed by the entity); (ii) Group Life, due to an increase in statutory life products after a new regulation went into effect in January 2020 in which companies must insure their employees, since the first working day and to growth in Collective Life, which was reflected in an increase in premium turnover in the bancassurance line; (iii) Individual Life, due to an increase in premium turnover for renewals; and (iv) D&amp;S, due to an increase in premiums through SISCO IV. The aforementioned was attenuated by a decrease in premiums in Annuities due to individual annuities and to a decrease in selling days due to the quarantine.</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18"/>
          <w:szCs w:val="18"/>
          <w:b w:val="1"/>
          <w:bCs w:val="1"/>
          <w:color w:val="auto"/>
        </w:rPr>
        <w:t xml:space="preserve">Life insurance net earned premiums </w:t>
      </w:r>
      <w:r>
        <w:rPr>
          <w:rFonts w:ascii="Arial" w:cs="Arial" w:eastAsia="Arial" w:hAnsi="Arial"/>
          <w:sz w:val="29"/>
          <w:szCs w:val="29"/>
          <w:b w:val="1"/>
          <w:bCs w:val="1"/>
          <w:color w:val="auto"/>
          <w:vertAlign w:val="superscript"/>
        </w:rPr>
        <w:t>(1)</w:t>
      </w:r>
    </w:p>
    <w:p>
      <w:pPr>
        <w:jc w:val="center"/>
        <w:ind w:right="4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138430</wp:posOffset>
            </wp:positionV>
            <wp:extent cx="5523865" cy="1939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23865" cy="1939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(1) Total premiums without considering reinsurance nor reserve premiums.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Net earned premiums increased 5.5% QoQ. This was primarily attributable to the evolution of Credit Life and Statutory Life, which mirrored that seen in the analysis of total premiums, and to the performance of Annuities, which was driven by a decrease in reserves due to adjustments in the parameters for investment rates.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YoY analysis, net earned premiums increased 11.1%. This was primarily driven by: (i) Credit Life, which reported an increase in sales through the alliance and bancassurance channels and to the increase registered for solidarity payment; (ii) Group Life, which was mainly attributable to an increase in sales of the collective life product through the bancassurance channel; (iii) Annuities, due to a decrease in reserves after adjustments were made to the parameters for investment rates; and (iv) in D&amp;S, due to an increase in the premiums reported in SISCO IV. The aforementioned was attenuated by Individual Life after a higher adjustment was made to reserves.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 insurance net claims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140335</wp:posOffset>
            </wp:positionV>
            <wp:extent cx="5414010" cy="20758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14010" cy="207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Net claims increased 1.2% QoQ. This was attributable to: (i) Credit Life, which higher claims reported in the bancassurance channel increased; (ii) Group Life, after more IBNR reserves were set aside for statutory life and collective life products; and, (iii) Annuities due to an increase in pension payments for individual annuities. The aforementioned was mitigated by D&amp;S after provisions for claims through SISCO IV were released.</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7" w:name="page38"/>
    <w:bookmarkEnd w:id="37"/>
    <w:p>
      <w:pPr>
        <w:jc w:val="both"/>
        <w:spacing w:after="0" w:line="270" w:lineRule="auto"/>
        <w:rPr>
          <w:sz w:val="20"/>
          <w:szCs w:val="20"/>
          <w:color w:val="auto"/>
        </w:rPr>
      </w:pPr>
      <w:r>
        <w:rPr>
          <w:rFonts w:ascii="Arial" w:cs="Arial" w:eastAsia="Arial" w:hAnsi="Arial"/>
          <w:sz w:val="18"/>
          <w:szCs w:val="18"/>
          <w:color w:val="auto"/>
        </w:rPr>
        <w:t>In the YoY analysis, net claims increased 7.9%, which was primarily driven by D&amp;S through SISCO II and SISCO III due to a decrease in interest rates and in Annuities due to growth in pension payments through individual annuities.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Property and Casualty Insurance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Property and Casualty total premiums</w:t>
      </w:r>
      <w:r>
        <w:rPr>
          <w:rFonts w:ascii="Arial" w:cs="Arial" w:eastAsia="Arial" w:hAnsi="Arial"/>
          <w:sz w:val="29"/>
          <w:szCs w:val="29"/>
          <w:b w:val="1"/>
          <w:bCs w:val="1"/>
          <w:color w:val="auto"/>
          <w:vertAlign w:val="superscript"/>
        </w:rPr>
        <w:t>)</w:t>
      </w:r>
    </w:p>
    <w:p>
      <w:pPr>
        <w:jc w:val="center"/>
        <w:ind w:right="4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138430</wp:posOffset>
            </wp:positionV>
            <wp:extent cx="5346065" cy="20586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46065" cy="205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premiums fell -10.8% QoQ, which was attributable to (i) Commercial Lines, due to a decrease in renewals in the fire and third-party liability lines, which was mitigated by an increase in sales in the agriculture and aviation lines; (ii) Cars, due to a decrease in sales of new policies through the brokers channel and to a drop in production due to the quarantine imposed mid-March; and (iii) SOAT due a decrease in sales through the brokers channel. The aforementioned was offset by (i) Personal Lines, due to renewed premiums for the mortgage product; and (ii) Medical assistance, due to an increase in sales of comprehensive health products through the brokers channel.</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YoY analysis, total premiums increased 2.0% due to (i) Commercial Lines, which experienced growth in the agriculture and aviation lines; (ii) Medical Assistance, due to an increase in sales of oncological and comprehensive health products; and (iii) Personal Lines, due to an increase in the price of the card protection product and to an increase in sales of personal accident products. These effects were attenuated by a decrease in sales of new policies for Cars and SOAT in the brokers channel and to the decrease in the number of selling days after the quarantine was imposed mid-March.</w:t>
      </w:r>
    </w:p>
    <w:p>
      <w:pPr>
        <w:spacing w:after="0" w:line="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Property &amp; Casualty net earned premiums </w:t>
      </w:r>
      <w:r>
        <w:rPr>
          <w:rFonts w:ascii="Arial" w:cs="Arial" w:eastAsia="Arial" w:hAnsi="Arial"/>
          <w:sz w:val="29"/>
          <w:szCs w:val="29"/>
          <w:b w:val="1"/>
          <w:bCs w:val="1"/>
          <w:color w:val="auto"/>
          <w:vertAlign w:val="superscript"/>
        </w:rPr>
        <w:t>(1)</w:t>
      </w:r>
    </w:p>
    <w:p>
      <w:pPr>
        <w:jc w:val="center"/>
        <w:ind w:right="4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138430</wp:posOffset>
            </wp:positionV>
            <wp:extent cx="5219065" cy="19742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9065" cy="1974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 Total premiums without considering reinsurance nor reserve premiums.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8" w:name="page39"/>
    <w:bookmarkEnd w:id="38"/>
    <w:p>
      <w:pPr>
        <w:jc w:val="both"/>
        <w:spacing w:after="0" w:line="270" w:lineRule="auto"/>
        <w:rPr>
          <w:sz w:val="20"/>
          <w:szCs w:val="20"/>
          <w:color w:val="auto"/>
        </w:rPr>
      </w:pPr>
      <w:r>
        <w:rPr>
          <w:rFonts w:ascii="Arial" w:cs="Arial" w:eastAsia="Arial" w:hAnsi="Arial"/>
          <w:sz w:val="18"/>
          <w:szCs w:val="18"/>
          <w:color w:val="auto"/>
        </w:rPr>
        <w:t>Net earned premiums fell-3.3% QoQ, which was primarily attributable to the reasons outlined in the analysis of total premiums and to an increase in unexpired risk reserves (URR) for products in the Personal Lines and Medical Assistance.</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YoY analysis, net premiums increased 3.5%. This was primarily attributable to Medical Assistance and the Personal Lines, for the same reasons as those attributable to the evolution of total premiums, and to the performance of Cars, which was marked by a decrease in the reserves set aside for unexpired risk after direct premiums fell.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Property &amp; Casualty net claims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140335</wp:posOffset>
            </wp:positionV>
            <wp:extent cx="5329555" cy="19570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29555" cy="1957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Net claims dropped -11.3% QoQ, which was attributable to a decrease in claims notifications after the quarantine was imposed mid-March. This decrease was mainly registered in the Cars, SOAT and Personal Lines. The decrease in claims was also attributable to an improvement in claims management in Cars. The aforementioned was attenuated by the evolution of Medical Assistance, which registered an increase in IBNR reserves.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the YoY analysis, net claims fell -17.3%. The decrease in claims was seen across business lines after fewer notifications for claims were received due to the quarantine that was instituted in mid-March and to an improvement in claims management in Cars.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Acquisition Cost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per Business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140335</wp:posOffset>
            </wp:positionV>
            <wp:extent cx="2965450" cy="20332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65450" cy="203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1"/>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Acquisition cost</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ind w:left="12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gridSpan w:val="4"/>
          </w:tcPr>
          <w:p>
            <w:pPr>
              <w:ind w:left="14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1"/>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1Q19</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4Q19</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1Q20</w:t>
            </w:r>
          </w:p>
        </w:tc>
        <w:tc>
          <w:tcPr>
            <w:tcW w:w="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w w:val="87"/>
              </w:rPr>
              <w:t>QoQ</w:t>
            </w:r>
          </w:p>
        </w:tc>
        <w:tc>
          <w:tcPr>
            <w:tcW w:w="3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gridSpan w:val="2"/>
          </w:tcPr>
          <w:p>
            <w:pPr>
              <w:spacing w:after="0"/>
              <w:rPr>
                <w:sz w:val="19"/>
                <w:szCs w:val="19"/>
                <w:color w:val="auto"/>
              </w:rPr>
            </w:pPr>
          </w:p>
        </w:tc>
      </w:tr>
      <w:tr>
        <w:trPr>
          <w:trHeight w:val="207"/>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r>
      <w:tr>
        <w:trPr>
          <w:trHeight w:val="213"/>
        </w:trPr>
        <w:tc>
          <w:tcPr>
            <w:tcW w:w="4700" w:type="dxa"/>
            <w:vAlign w:val="bottom"/>
            <w:gridSpan w:val="3"/>
          </w:tcPr>
          <w:p>
            <w:pPr>
              <w:spacing w:after="0"/>
              <w:rPr>
                <w:sz w:val="20"/>
                <w:szCs w:val="20"/>
                <w:color w:val="auto"/>
              </w:rPr>
            </w:pPr>
            <w:r>
              <w:rPr>
                <w:rFonts w:ascii="Arial" w:cs="Arial" w:eastAsia="Arial" w:hAnsi="Arial"/>
                <w:sz w:val="18"/>
                <w:szCs w:val="18"/>
                <w:color w:val="auto"/>
              </w:rPr>
              <w:t>Underwriting expenses</w:t>
            </w:r>
          </w:p>
        </w:tc>
        <w:tc>
          <w:tcPr>
            <w:tcW w:w="1200" w:type="dxa"/>
            <w:vAlign w:val="bottom"/>
            <w:gridSpan w:val="2"/>
          </w:tcPr>
          <w:p>
            <w:pPr>
              <w:jc w:val="right"/>
              <w:ind w:right="62"/>
              <w:spacing w:after="0"/>
              <w:rPr>
                <w:sz w:val="20"/>
                <w:szCs w:val="20"/>
                <w:color w:val="auto"/>
              </w:rPr>
            </w:pPr>
            <w:r>
              <w:rPr>
                <w:rFonts w:ascii="Arial" w:cs="Arial" w:eastAsia="Arial" w:hAnsi="Arial"/>
                <w:sz w:val="18"/>
                <w:szCs w:val="18"/>
                <w:color w:val="auto"/>
              </w:rPr>
              <w:t>(34,576)</w:t>
            </w:r>
          </w:p>
        </w:tc>
        <w:tc>
          <w:tcPr>
            <w:tcW w:w="120" w:type="dxa"/>
            <w:vAlign w:val="bottom"/>
          </w:tcPr>
          <w:p>
            <w:pPr>
              <w:spacing w:after="0"/>
              <w:rPr>
                <w:sz w:val="18"/>
                <w:szCs w:val="18"/>
                <w:color w:val="auto"/>
              </w:rPr>
            </w:pPr>
          </w:p>
        </w:tc>
        <w:tc>
          <w:tcPr>
            <w:tcW w:w="1200" w:type="dxa"/>
            <w:vAlign w:val="bottom"/>
            <w:gridSpan w:val="2"/>
          </w:tcPr>
          <w:p>
            <w:pPr>
              <w:jc w:val="right"/>
              <w:ind w:right="62"/>
              <w:spacing w:after="0"/>
              <w:rPr>
                <w:sz w:val="20"/>
                <w:szCs w:val="20"/>
                <w:color w:val="auto"/>
              </w:rPr>
            </w:pPr>
            <w:r>
              <w:rPr>
                <w:rFonts w:ascii="Arial" w:cs="Arial" w:eastAsia="Arial" w:hAnsi="Arial"/>
                <w:sz w:val="18"/>
                <w:szCs w:val="18"/>
                <w:color w:val="auto"/>
              </w:rPr>
              <w:t>(35,206)</w:t>
            </w:r>
          </w:p>
        </w:tc>
        <w:tc>
          <w:tcPr>
            <w:tcW w:w="120" w:type="dxa"/>
            <w:vAlign w:val="bottom"/>
          </w:tcPr>
          <w:p>
            <w:pPr>
              <w:spacing w:after="0"/>
              <w:rPr>
                <w:sz w:val="18"/>
                <w:szCs w:val="18"/>
                <w:color w:val="auto"/>
              </w:rPr>
            </w:pPr>
          </w:p>
        </w:tc>
        <w:tc>
          <w:tcPr>
            <w:tcW w:w="1200" w:type="dxa"/>
            <w:vAlign w:val="bottom"/>
            <w:gridSpan w:val="2"/>
          </w:tcPr>
          <w:p>
            <w:pPr>
              <w:jc w:val="right"/>
              <w:ind w:right="62"/>
              <w:spacing w:after="0"/>
              <w:rPr>
                <w:sz w:val="20"/>
                <w:szCs w:val="20"/>
                <w:color w:val="auto"/>
              </w:rPr>
            </w:pPr>
            <w:r>
              <w:rPr>
                <w:rFonts w:ascii="Arial" w:cs="Arial" w:eastAsia="Arial" w:hAnsi="Arial"/>
                <w:sz w:val="18"/>
                <w:szCs w:val="18"/>
                <w:color w:val="auto"/>
              </w:rPr>
              <w:t>(46,461)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jc w:val="right"/>
              <w:ind w:right="51"/>
              <w:spacing w:after="0"/>
              <w:rPr>
                <w:sz w:val="20"/>
                <w:szCs w:val="20"/>
                <w:color w:val="auto"/>
              </w:rPr>
            </w:pPr>
            <w:r>
              <w:rPr>
                <w:rFonts w:ascii="Arial" w:cs="Arial" w:eastAsia="Arial" w:hAnsi="Arial"/>
                <w:sz w:val="18"/>
                <w:szCs w:val="18"/>
                <w:color w:val="auto"/>
                <w:w w:val="97"/>
              </w:rPr>
              <w:t>32.0%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34.4%</w:t>
            </w:r>
          </w:p>
        </w:tc>
      </w:tr>
      <w:tr>
        <w:trPr>
          <w:trHeight w:val="227"/>
        </w:trPr>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Underwriting income</w:t>
            </w:r>
          </w:p>
        </w:tc>
        <w:tc>
          <w:tcPr>
            <w:tcW w:w="120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3,308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w w:val="87"/>
              </w:rPr>
              <w:t>-94.9%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-81.7%</w:t>
            </w:r>
          </w:p>
        </w:tc>
      </w:tr>
      <w:tr>
        <w:trPr>
          <w:trHeight w:val="220"/>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Acquisition cost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(91,281</w:t>
            </w:r>
          </w:p>
        </w:tc>
        <w:tc>
          <w:tcPr>
            <w:tcW w:w="200" w:type="dxa"/>
            <w:vAlign w:val="bottom"/>
          </w:tcPr>
          <w:p>
            <w:pPr>
              <w:jc w:val="right"/>
              <w:ind w:right="62"/>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(88,662</w:t>
            </w:r>
          </w:p>
        </w:tc>
        <w:tc>
          <w:tcPr>
            <w:tcW w:w="200" w:type="dxa"/>
            <w:vAlign w:val="bottom"/>
          </w:tcPr>
          <w:p>
            <w:pPr>
              <w:jc w:val="right"/>
              <w:ind w:right="62"/>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(112,507</w:t>
            </w:r>
          </w:p>
        </w:tc>
        <w:tc>
          <w:tcPr>
            <w:tcW w:w="200" w:type="dxa"/>
            <w:vAlign w:val="bottom"/>
          </w:tcPr>
          <w:p>
            <w:pPr>
              <w:jc w:val="right"/>
              <w:ind w:right="62"/>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28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acquisition cost rose +26.9% QoQ. This was attributable to an increase in the net underwriting expense in P&amp;C and to an increase in fees associated with life insurance. In P&amp;C, growth was driven mainly by an increase in the underwriting expenses for Cars after 8 million soles in premiums were returned to clients who were unable to use their cars during the quarantine; higher reserves for uncollectible premiums, mainly in the Commercial, Cars and Medical Assistance lines; and a decrease in underwriting income for Commercial lines. In the Life business, the increase was due to growth in fees through the Alliances channel for Credit Life, after premiums rose, and to a decrease in underwriting income after profit sharing with reinsurers in 4Q19.</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 the YoY analysis, the acquisition cost increased +23.3% in both the Life and P&amp;C businesses. In Life insurance, growth was attributable to an increase in fees for Credit Life after premium rose through the Alliance channel. In P&amp;C, growth was attributable to the increase discussed in the previous paragraph and to a move to set aside more reserves for uncollectible premiums in Cars, Commercial Lines and Medical Assistance.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Underwriting Result by Business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Result by Business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140335</wp:posOffset>
            </wp:positionV>
            <wp:extent cx="2897505" cy="19062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7505" cy="190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QoQ analysis, the decrease in the underwriting result was attributable to P&amp;C and mitigated by Life insurance. In P&amp;C, the reduction was attributable to: (i) an increase in underwriting expenses after premiums were reimbursed in Cars and to a move to set aside more reserves for uncollectible premiums;</w:t>
      </w:r>
    </w:p>
    <w:p>
      <w:pPr>
        <w:spacing w:after="0" w:line="1" w:lineRule="exact"/>
        <w:rPr>
          <w:sz w:val="20"/>
          <w:szCs w:val="20"/>
          <w:color w:val="auto"/>
        </w:rPr>
      </w:pPr>
    </w:p>
    <w:p>
      <w:pPr>
        <w:jc w:val="both"/>
        <w:ind w:firstLine="7"/>
        <w:spacing w:after="0" w:line="250" w:lineRule="auto"/>
        <w:tabs>
          <w:tab w:leader="none" w:pos="202"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decrease in net premiums across business lines, which was mitigated by a decrease in claims given that fewer claims notifications were received during the quarantine imposed in mid-March. In Life insurance business, growth was attributable to an increase in net earned premiums in Credit Life, Annuities and Group Life, which was attenuated by an increase in the acquisition cost due to growth in fees after premiums rose, and to a decrease in the underwriting income after profit sharing in 4Q19.</w:t>
      </w:r>
    </w:p>
    <w:p>
      <w:pPr>
        <w:spacing w:after="0" w:line="19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the YoY analysis, the increase in the underwriting result was primarily attributable to P&amp;C and to a lesser extent, to Life insurance. In P&amp;C, the increase was associated with a drop in claims after fewer claims notifications were received during the quarantine period imposed in Mid-March and to an increase in net premiums in the Medical Assistance and Personal Lines. The aforementioned was attenuated by an increase in the acquisition cost after premiums were reimbursed in Cars. In the Life insurance business, the variation was attributable to an increase in premiums in Credit Life, Group Life and Annuities, which was attenuated by growth in claims in D&amp;S and Annuities and by an increase in fees in Credit Life after premiums rose.</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7. Operating Expenses and Efficiency</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improvement QoQ in the operating efficiency ratio was attributable to a seasonal effect on expenses, which reach their highest level in the last quarter of the year. In the YoY analysis, which excludes the seasonal effect, the operating efficiency ratio deteriorated 100 bps, which was primarily due to an increase in salaries and employee benefits in the Microfinance line, which offset the increase in net interest income.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0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9"/>
              </w:rPr>
              <w:t>% change</w:t>
            </w:r>
          </w:p>
        </w:tc>
        <w:tc>
          <w:tcPr>
            <w:tcW w:w="7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1Q19</w:t>
            </w: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4Q19</w:t>
            </w: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1Q20</w:t>
            </w: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QoQ</w:t>
            </w:r>
          </w:p>
        </w:tc>
        <w:tc>
          <w:tcPr>
            <w:tcW w:w="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employees benefits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834,317</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885,526</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891,183</w:t>
            </w:r>
          </w:p>
        </w:tc>
        <w:tc>
          <w:tcPr>
            <w:tcW w:w="3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Administrative, general and tax expenses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538,157</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701,225</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539,644</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131,325</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176,593</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171,748</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Association in participation</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2,736</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9,806</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6,430</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67"/>
        </w:trPr>
        <w:tc>
          <w:tcPr>
            <w:tcW w:w="4280" w:type="dxa"/>
            <w:vAlign w:val="bottom"/>
            <w:gridSpan w:val="2"/>
            <w:shd w:val="clear" w:color="auto" w:fill="CCEEFF"/>
          </w:tcPr>
          <w:p>
            <w:pPr>
              <w:spacing w:after="0" w:line="267" w:lineRule="exact"/>
              <w:rPr>
                <w:sz w:val="20"/>
                <w:szCs w:val="20"/>
                <w:color w:val="auto"/>
              </w:rPr>
            </w:pPr>
            <w:r>
              <w:rPr>
                <w:rFonts w:ascii="Arial" w:cs="Arial" w:eastAsia="Arial" w:hAnsi="Arial"/>
                <w:sz w:val="18"/>
                <w:szCs w:val="18"/>
                <w:color w:val="auto"/>
              </w:rPr>
              <w:t xml:space="preserve">Acquisition cost </w:t>
            </w:r>
            <w:r>
              <w:rPr>
                <w:rFonts w:ascii="Arial" w:cs="Arial" w:eastAsia="Arial" w:hAnsi="Arial"/>
                <w:sz w:val="29"/>
                <w:szCs w:val="29"/>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91,281</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88,662</w:t>
            </w:r>
          </w:p>
        </w:tc>
        <w:tc>
          <w:tcPr>
            <w:tcW w:w="3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112,507</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line="267" w:lineRule="exact"/>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29"/>
                <w:szCs w:val="29"/>
                <w:b w:val="1"/>
                <w:bCs w:val="1"/>
                <w:color w:val="auto"/>
                <w:vertAlign w:val="superscript"/>
              </w:rPr>
              <w:t>(2)</w:t>
            </w: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80" w:type="dxa"/>
            <w:vAlign w:val="bottom"/>
            <w:gridSpan w:val="2"/>
            <w:vMerge w:val="continue"/>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1,597,816</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1,861,812</w:t>
            </w:r>
          </w:p>
        </w:tc>
        <w:tc>
          <w:tcPr>
            <w:tcW w:w="30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1,721,512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w:t>
            </w:r>
          </w:p>
        </w:tc>
        <w:tc>
          <w:tcPr>
            <w:tcW w:w="2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0"/>
        </w:trPr>
        <w:tc>
          <w:tcPr>
            <w:tcW w:w="4280" w:type="dxa"/>
            <w:vAlign w:val="bottom"/>
            <w:gridSpan w:val="2"/>
            <w:vMerge w:val="restart"/>
            <w:shd w:val="clear" w:color="auto" w:fill="CCEEFF"/>
          </w:tcPr>
          <w:p>
            <w:pPr>
              <w:spacing w:after="0" w:line="267" w:lineRule="exact"/>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29"/>
                <w:szCs w:val="29"/>
                <w:b w:val="1"/>
                <w:bCs w:val="1"/>
                <w:color w:val="auto"/>
                <w:vertAlign w:val="superscript"/>
              </w:rPr>
              <w:t>(3)</w:t>
            </w: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80" w:type="dxa"/>
            <w:vAlign w:val="bottom"/>
            <w:gridSpan w:val="2"/>
            <w:vMerge w:val="continue"/>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3,768,564</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4,073,876</w:t>
            </w:r>
          </w:p>
        </w:tc>
        <w:tc>
          <w:tcPr>
            <w:tcW w:w="3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3,967,962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line="267" w:lineRule="exact"/>
              <w:rPr>
                <w:sz w:val="20"/>
                <w:szCs w:val="20"/>
                <w:color w:val="auto"/>
              </w:rPr>
            </w:pPr>
            <w:r>
              <w:rPr>
                <w:rFonts w:ascii="Arial" w:cs="Arial" w:eastAsia="Arial" w:hAnsi="Arial"/>
                <w:sz w:val="18"/>
                <w:szCs w:val="18"/>
                <w:b w:val="1"/>
                <w:bCs w:val="1"/>
                <w:color w:val="auto"/>
              </w:rPr>
              <w:t xml:space="preserve">Efficiency ratio </w:t>
            </w:r>
            <w:r>
              <w:rPr>
                <w:rFonts w:ascii="Arial" w:cs="Arial" w:eastAsia="Arial" w:hAnsi="Arial"/>
                <w:sz w:val="29"/>
                <w:szCs w:val="29"/>
                <w:b w:val="1"/>
                <w:bCs w:val="1"/>
                <w:color w:val="auto"/>
                <w:vertAlign w:val="superscript"/>
              </w:rPr>
              <w:t>(4)</w:t>
            </w: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80" w:type="dxa"/>
            <w:vAlign w:val="bottom"/>
            <w:gridSpan w:val="2"/>
            <w:vMerge w:val="continue"/>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43.4%</w:t>
            </w:r>
          </w:p>
        </w:tc>
        <w:tc>
          <w:tcPr>
            <w:tcW w:w="17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-230bps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100bps</w:t>
            </w:r>
          </w:p>
        </w:tc>
        <w:tc>
          <w:tcPr>
            <w:tcW w:w="0" w:type="dxa"/>
            <w:vAlign w:val="bottom"/>
          </w:tcPr>
          <w:p>
            <w:pPr>
              <w:spacing w:after="0"/>
              <w:rPr>
                <w:sz w:val="1"/>
                <w:szCs w:val="1"/>
                <w:color w:val="auto"/>
              </w:rPr>
            </w:pPr>
          </w:p>
        </w:tc>
      </w:tr>
      <w:tr>
        <w:trPr>
          <w:trHeight w:val="20"/>
        </w:trPr>
        <w:tc>
          <w:tcPr>
            <w:tcW w:w="4280" w:type="dxa"/>
            <w:vAlign w:val="bottom"/>
            <w:gridSpan w:val="2"/>
            <w:vMerge w:val="restart"/>
            <w:shd w:val="clear" w:color="auto" w:fill="CCEEFF"/>
          </w:tcPr>
          <w:p>
            <w:pPr>
              <w:spacing w:after="0" w:line="267" w:lineRule="exact"/>
              <w:rPr>
                <w:sz w:val="20"/>
                <w:szCs w:val="20"/>
                <w:color w:val="auto"/>
              </w:rPr>
            </w:pPr>
            <w:r>
              <w:rPr>
                <w:rFonts w:ascii="Arial" w:cs="Arial" w:eastAsia="Arial" w:hAnsi="Arial"/>
                <w:sz w:val="18"/>
                <w:szCs w:val="18"/>
                <w:b w:val="1"/>
                <w:bCs w:val="1"/>
                <w:color w:val="auto"/>
              </w:rPr>
              <w:t xml:space="preserve">Operating expenses / Total average assets </w:t>
            </w:r>
            <w:r>
              <w:rPr>
                <w:rFonts w:ascii="Arial" w:cs="Arial" w:eastAsia="Arial" w:hAnsi="Arial"/>
                <w:sz w:val="29"/>
                <w:szCs w:val="29"/>
                <w:b w:val="1"/>
                <w:bCs w:val="1"/>
                <w:color w:val="auto"/>
                <w:vertAlign w:val="superscript"/>
              </w:rPr>
              <w:t>(5)</w:t>
            </w: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80" w:type="dxa"/>
            <w:vAlign w:val="bottom"/>
            <w:gridSpan w:val="2"/>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3.57%</w:t>
            </w:r>
          </w:p>
        </w:tc>
        <w:tc>
          <w:tcPr>
            <w:tcW w:w="1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-42bps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-3bps</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60" w:hanging="253"/>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acquisition cost of Pacifico iIncludes net fees and underwriting expenses.</w:t>
      </w:r>
    </w:p>
    <w:p>
      <w:pPr>
        <w:spacing w:after="0" w:line="19" w:lineRule="exact"/>
        <w:rPr>
          <w:rFonts w:ascii="Arial" w:cs="Arial" w:eastAsia="Arial" w:hAnsi="Arial"/>
          <w:sz w:val="18"/>
          <w:szCs w:val="18"/>
          <w:color w:val="auto"/>
        </w:rPr>
      </w:pPr>
    </w:p>
    <w:p>
      <w:pPr>
        <w:ind w:firstLine="7"/>
        <w:spacing w:after="0" w:line="247" w:lineRule="auto"/>
        <w:tabs>
          <w:tab w:leader="none" w:pos="2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expenses = Salaries and employees benefits + Administrative, general and tax expenses + Depreciation and amortization + Acquisition cost + Association in participation.</w:t>
      </w:r>
    </w:p>
    <w:p>
      <w:pPr>
        <w:ind w:firstLine="7"/>
        <w:spacing w:after="0" w:line="247" w:lineRule="auto"/>
        <w:tabs>
          <w:tab w:leader="none" w:pos="2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income = Net interest income + Fee income + Net gain on foreign exchange transactions + Net gain from associates + Net gain on derivatives held for trading + Result on exchange differences + Net premiums earned.</w:t>
      </w:r>
    </w:p>
    <w:p>
      <w:pPr>
        <w:ind w:left="260" w:hanging="253"/>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 Operating expenses / Operating income.</w:t>
      </w:r>
    </w:p>
    <w:p>
      <w:pPr>
        <w:spacing w:after="0" w:line="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"(5) Figures differ from previously reported, please consider the data presented on this report. Operating expenses / Average of Total Assets. Average is calculated with period-beginning and period-ending balances.</w:t>
      </w:r>
    </w:p>
    <w:p>
      <w:pPr>
        <w:spacing w:after="0" w:line="184"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the improvement in the efficiency ratio was attributable to a seasonal effect on operating expenses; as such, the YoY analysis provides a clearer picture of the evolution of efficiency.</w:t>
      </w:r>
    </w:p>
    <w:p>
      <w:pPr>
        <w:spacing w:after="0" w:line="16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the efficiency ratio deteriorated 100 bps. This was primarily attributable to the fact that operating expenses posted a higher increase than growth in operating income.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figure below depicts the impact of the variation of each component of operating income and operating expenses in the YoY efficiency ratio:</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151130</wp:posOffset>
            </wp:positionV>
            <wp:extent cx="5761355" cy="16179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61355" cy="161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7"/>
        <w:spacing w:after="0" w:line="255" w:lineRule="auto"/>
        <w:tabs>
          <w:tab w:leader="none" w:pos="2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operating income includes: Net gain on foreign exchange transactions, Net gain from associates, Net gain on derivatives held for trading and Net gain from exchange difference.</w:t>
      </w:r>
    </w:p>
    <w:p>
      <w:pPr>
        <w:ind w:left="260" w:hanging="253"/>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operating expenses includes: Acquisition cost and Association in participation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impact of operating expenses shows that the negative effect on the operating efficiency ratio was due to:</w:t>
      </w:r>
    </w:p>
    <w:p>
      <w:pPr>
        <w:spacing w:after="0" w:line="220" w:lineRule="exact"/>
        <w:rPr>
          <w:sz w:val="20"/>
          <w:szCs w:val="20"/>
          <w:color w:val="auto"/>
        </w:rPr>
      </w:pPr>
    </w:p>
    <w:p>
      <w:pPr>
        <w:jc w:val="both"/>
        <w:ind w:left="880" w:hanging="500"/>
        <w:spacing w:after="0" w:line="296" w:lineRule="auto"/>
        <w:tabs>
          <w:tab w:leader="none" w:pos="8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 increase in salaries and employee benefits, mainly in the Microfinance business and, to a lesser extent, at BCP Stand-alone. In the case of Microfinance, the increase was attributable to (i) Mibanco, due to an increase in headcount in 2019, which was primarily to bolster commercial teams to build the capacities needed to ensure growth down the line at Mibanco and (ii) Bancompartir, which is included in Credicorp’s balance sheet since December 2019. At BCP Stand-alone, growth was attributable to hiring of individuals with specialized profiles in 2019.</w:t>
      </w:r>
    </w:p>
    <w:p>
      <w:pPr>
        <w:spacing w:after="0" w:line="37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ind w:left="880" w:right="20" w:hanging="500"/>
        <w:spacing w:after="0" w:line="270"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increase in the depreciation and amortization line due to the higher amortization expenses for software, in line with the investment of new software to support our Yape and Credit Card business.</w:t>
      </w:r>
    </w:p>
    <w:p>
      <w:pPr>
        <w:spacing w:after="0" w:line="174" w:lineRule="exact"/>
        <w:rPr>
          <w:rFonts w:ascii="Arial" w:cs="Arial" w:eastAsia="Arial" w:hAnsi="Arial"/>
          <w:sz w:val="18"/>
          <w:szCs w:val="18"/>
          <w:color w:val="auto"/>
        </w:rPr>
      </w:pPr>
    </w:p>
    <w:p>
      <w:pPr>
        <w:ind w:left="880" w:hanging="500"/>
        <w:spacing w:after="0" w:line="270"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increase in the acquisition cost, which was attributable to growth in net earned premiums and the reimbursement of 50% of the premiums paid by clients for cars for personal use in March.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terms of operating income, the effects that positively impacted the operating efficiency ratio were:</w:t>
      </w:r>
    </w:p>
    <w:p>
      <w:pPr>
        <w:spacing w:after="0" w:line="220" w:lineRule="exact"/>
        <w:rPr>
          <w:sz w:val="20"/>
          <w:szCs w:val="20"/>
          <w:color w:val="auto"/>
        </w:rPr>
      </w:pPr>
    </w:p>
    <w:p>
      <w:pPr>
        <w:ind w:left="880" w:right="20" w:hanging="500"/>
        <w:spacing w:after="0" w:line="270"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Growth in net interest income, in line with the expansion in average daily loan balances in all segments, as indicated in section 4.1. Interest Income.</w:t>
      </w:r>
    </w:p>
    <w:p>
      <w:pPr>
        <w:spacing w:after="0" w:line="174" w:lineRule="exact"/>
        <w:rPr>
          <w:rFonts w:ascii="Arial" w:cs="Arial" w:eastAsia="Arial" w:hAnsi="Arial"/>
          <w:sz w:val="18"/>
          <w:szCs w:val="18"/>
          <w:color w:val="auto"/>
        </w:rPr>
      </w:pPr>
    </w:p>
    <w:p>
      <w:pPr>
        <w:ind w:left="880" w:hanging="500"/>
        <w:spacing w:after="0" w:line="270"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increase in net earned premiums at Grupo Pacífico, which was seen in both the life and P&amp;C lines, as explained in further detail in section 6.1 Net earned premiums.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It is important to note that in the current global context, Credicorp is looking to reduce growth in operating expenses given that it expects operating income for the year to fall.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Credicorp’s Administrative, General and Tax Expenses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Credicorp’s administrative, general and tax expenses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Administrative, general and tax expenses</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Quarter</w:t>
            </w: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31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 000</w:t>
            </w: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49"/>
              <w:spacing w:after="0" w:line="153" w:lineRule="exact"/>
              <w:rPr>
                <w:sz w:val="20"/>
                <w:szCs w:val="20"/>
                <w:color w:val="auto"/>
              </w:rPr>
            </w:pPr>
            <w:r>
              <w:rPr>
                <w:rFonts w:ascii="Arial" w:cs="Arial" w:eastAsia="Arial" w:hAnsi="Arial"/>
                <w:sz w:val="14"/>
                <w:szCs w:val="14"/>
                <w:b w:val="1"/>
                <w:bCs w:val="1"/>
                <w:color w:val="auto"/>
              </w:rPr>
              <w:t>1Q19</w:t>
            </w:r>
          </w:p>
        </w:tc>
        <w:tc>
          <w:tcPr>
            <w:tcW w:w="2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249"/>
              <w:spacing w:after="0" w:line="153"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49"/>
              <w:spacing w:after="0" w:line="153" w:lineRule="exact"/>
              <w:rPr>
                <w:sz w:val="20"/>
                <w:szCs w:val="20"/>
                <w:color w:val="auto"/>
              </w:rPr>
            </w:pPr>
            <w:r>
              <w:rPr>
                <w:rFonts w:ascii="Arial" w:cs="Arial" w:eastAsia="Arial" w:hAnsi="Arial"/>
                <w:sz w:val="14"/>
                <w:szCs w:val="14"/>
                <w:b w:val="1"/>
                <w:bCs w:val="1"/>
                <w:color w:val="auto"/>
              </w:rPr>
              <w:t>4Q19</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49"/>
              <w:spacing w:after="0" w:line="153"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69"/>
              <w:spacing w:after="0" w:line="153" w:lineRule="exact"/>
              <w:rPr>
                <w:sz w:val="20"/>
                <w:szCs w:val="20"/>
                <w:color w:val="auto"/>
              </w:rPr>
            </w:pPr>
            <w:r>
              <w:rPr>
                <w:rFonts w:ascii="Arial" w:cs="Arial" w:eastAsia="Arial" w:hAnsi="Arial"/>
                <w:sz w:val="14"/>
                <w:szCs w:val="14"/>
                <w:b w:val="1"/>
                <w:bCs w:val="1"/>
                <w:color w:val="auto"/>
              </w:rPr>
              <w:t>1Q20</w:t>
            </w:r>
          </w:p>
        </w:tc>
        <w:tc>
          <w:tcPr>
            <w:tcW w:w="2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69"/>
              <w:spacing w:after="0" w:line="153" w:lineRule="exact"/>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09"/>
              <w:spacing w:after="0" w:line="153" w:lineRule="exact"/>
              <w:rPr>
                <w:sz w:val="20"/>
                <w:szCs w:val="20"/>
                <w:color w:val="auto"/>
              </w:rPr>
            </w:pPr>
            <w:r>
              <w:rPr>
                <w:rFonts w:ascii="Arial" w:cs="Arial" w:eastAsia="Arial" w:hAnsi="Arial"/>
                <w:sz w:val="14"/>
                <w:szCs w:val="14"/>
                <w:b w:val="1"/>
                <w:bCs w:val="1"/>
                <w:color w:val="auto"/>
              </w:rPr>
              <w:t>YoY</w:t>
            </w:r>
          </w:p>
        </w:tc>
        <w:tc>
          <w:tcPr>
            <w:tcW w:w="120" w:type="dxa"/>
            <w:vAlign w:val="bottom"/>
            <w:tcBorders>
              <w:bottom w:val="single" w:sz="8" w:color="CCEEFF"/>
            </w:tcBorders>
          </w:tcPr>
          <w:p>
            <w:pPr>
              <w:spacing w:after="0"/>
              <w:rPr>
                <w:sz w:val="13"/>
                <w:szCs w:val="13"/>
                <w:color w:val="auto"/>
              </w:rPr>
            </w:pPr>
          </w:p>
        </w:tc>
      </w:tr>
      <w:tr>
        <w:trPr>
          <w:trHeight w:val="140"/>
        </w:trPr>
        <w:tc>
          <w:tcPr>
            <w:tcW w:w="31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Marketing</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78,500</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9"/>
              <w:spacing w:after="0" w:line="140" w:lineRule="exact"/>
              <w:rPr>
                <w:sz w:val="20"/>
                <w:szCs w:val="20"/>
                <w:color w:val="auto"/>
              </w:rPr>
            </w:pPr>
            <w:r>
              <w:rPr>
                <w:rFonts w:ascii="Arial" w:cs="Arial" w:eastAsia="Arial" w:hAnsi="Arial"/>
                <w:sz w:val="14"/>
                <w:szCs w:val="14"/>
                <w:color w:val="auto"/>
              </w:rPr>
              <w:t>15%</w:t>
            </w:r>
          </w:p>
        </w:tc>
        <w:tc>
          <w:tcPr>
            <w:tcW w:w="7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121,694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9"/>
              <w:spacing w:after="0" w:line="140" w:lineRule="exact"/>
              <w:rPr>
                <w:sz w:val="20"/>
                <w:szCs w:val="20"/>
                <w:color w:val="auto"/>
              </w:rPr>
            </w:pPr>
            <w:r>
              <w:rPr>
                <w:rFonts w:ascii="Arial" w:cs="Arial" w:eastAsia="Arial" w:hAnsi="Arial"/>
                <w:sz w:val="14"/>
                <w:szCs w:val="14"/>
                <w:color w:val="auto"/>
              </w:rPr>
              <w:t>17%</w:t>
            </w:r>
          </w:p>
        </w:tc>
        <w:tc>
          <w:tcPr>
            <w:tcW w:w="7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76,376</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9"/>
              <w:spacing w:after="0" w:line="140" w:lineRule="exact"/>
              <w:rPr>
                <w:sz w:val="20"/>
                <w:szCs w:val="20"/>
                <w:color w:val="auto"/>
              </w:rPr>
            </w:pPr>
            <w:r>
              <w:rPr>
                <w:rFonts w:ascii="Arial" w:cs="Arial" w:eastAsia="Arial" w:hAnsi="Arial"/>
                <w:sz w:val="14"/>
                <w:szCs w:val="14"/>
                <w:color w:val="auto"/>
              </w:rPr>
              <w:t>14%</w:t>
            </w:r>
          </w:p>
        </w:tc>
        <w:tc>
          <w:tcPr>
            <w:tcW w:w="1020" w:type="dxa"/>
            <w:vAlign w:val="bottom"/>
            <w:gridSpan w:val="2"/>
            <w:shd w:val="clear" w:color="auto" w:fill="CCEEFF"/>
          </w:tcPr>
          <w:p>
            <w:pPr>
              <w:jc w:val="right"/>
              <w:ind w:right="69"/>
              <w:spacing w:after="0" w:line="140" w:lineRule="exact"/>
              <w:rPr>
                <w:sz w:val="20"/>
                <w:szCs w:val="20"/>
                <w:color w:val="auto"/>
              </w:rPr>
            </w:pPr>
            <w:r>
              <w:rPr>
                <w:rFonts w:ascii="Arial" w:cs="Arial" w:eastAsia="Arial" w:hAnsi="Arial"/>
                <w:sz w:val="14"/>
                <w:szCs w:val="14"/>
                <w:color w:val="auto"/>
              </w:rPr>
              <w:t>-37.2%</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-2.7%</w:t>
            </w:r>
          </w:p>
        </w:tc>
      </w:tr>
      <w:tr>
        <w:trPr>
          <w:trHeight w:val="147"/>
        </w:trPr>
        <w:tc>
          <w:tcPr>
            <w:tcW w:w="3240" w:type="dxa"/>
            <w:vAlign w:val="bottom"/>
            <w:gridSpan w:val="2"/>
          </w:tcPr>
          <w:p>
            <w:pPr>
              <w:spacing w:after="0" w:line="147" w:lineRule="exact"/>
              <w:rPr>
                <w:sz w:val="20"/>
                <w:szCs w:val="20"/>
                <w:color w:val="auto"/>
              </w:rPr>
            </w:pPr>
            <w:r>
              <w:rPr>
                <w:rFonts w:ascii="Arial" w:cs="Arial" w:eastAsia="Arial" w:hAnsi="Arial"/>
                <w:sz w:val="14"/>
                <w:szCs w:val="14"/>
                <w:color w:val="auto"/>
              </w:rPr>
              <w:t>Taxes and contributions</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66,709</w:t>
            </w:r>
          </w:p>
        </w:tc>
        <w:tc>
          <w:tcPr>
            <w:tcW w:w="10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12%</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77,685</w:t>
            </w:r>
          </w:p>
        </w:tc>
        <w:tc>
          <w:tcPr>
            <w:tcW w:w="220" w:type="dxa"/>
            <w:vAlign w:val="bottom"/>
          </w:tcPr>
          <w:p>
            <w:pPr>
              <w:spacing w:after="0"/>
              <w:rPr>
                <w:sz w:val="12"/>
                <w:szCs w:val="12"/>
                <w:color w:val="auto"/>
              </w:rPr>
            </w:pPr>
          </w:p>
        </w:tc>
        <w:tc>
          <w:tcPr>
            <w:tcW w:w="80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11%</w:t>
            </w:r>
          </w:p>
        </w:tc>
        <w:tc>
          <w:tcPr>
            <w:tcW w:w="9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68,017</w:t>
            </w:r>
          </w:p>
        </w:tc>
        <w:tc>
          <w:tcPr>
            <w:tcW w:w="520" w:type="dxa"/>
            <w:vAlign w:val="bottom"/>
          </w:tcPr>
          <w:p>
            <w:pPr>
              <w:spacing w:after="0"/>
              <w:rPr>
                <w:sz w:val="12"/>
                <w:szCs w:val="12"/>
                <w:color w:val="auto"/>
              </w:rPr>
            </w:pPr>
          </w:p>
        </w:tc>
        <w:tc>
          <w:tcPr>
            <w:tcW w:w="5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13%</w:t>
            </w:r>
          </w:p>
        </w:tc>
        <w:tc>
          <w:tcPr>
            <w:tcW w:w="10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-12.4%</w:t>
            </w:r>
          </w:p>
        </w:tc>
        <w:tc>
          <w:tcPr>
            <w:tcW w:w="220" w:type="dxa"/>
            <w:vAlign w:val="bottom"/>
          </w:tcPr>
          <w:p>
            <w:pPr>
              <w:spacing w:after="0"/>
              <w:rPr>
                <w:sz w:val="12"/>
                <w:szCs w:val="12"/>
                <w:color w:val="auto"/>
              </w:rPr>
            </w:pPr>
          </w:p>
        </w:tc>
        <w:tc>
          <w:tcPr>
            <w:tcW w:w="7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2.0%</w:t>
            </w:r>
          </w:p>
        </w:tc>
      </w:tr>
      <w:tr>
        <w:trPr>
          <w:trHeight w:val="147"/>
        </w:trPr>
        <w:tc>
          <w:tcPr>
            <w:tcW w:w="32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Insfrastructure</w:t>
            </w:r>
          </w:p>
        </w:tc>
        <w:tc>
          <w:tcPr>
            <w:tcW w:w="10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67,944</w:t>
            </w:r>
          </w:p>
        </w:tc>
        <w:tc>
          <w:tcPr>
            <w:tcW w:w="102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13%</w:t>
            </w: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83,411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12%</w:t>
            </w:r>
          </w:p>
        </w:tc>
        <w:tc>
          <w:tcPr>
            <w:tcW w:w="9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77,185</w:t>
            </w:r>
          </w:p>
        </w:tc>
        <w:tc>
          <w:tcPr>
            <w:tcW w:w="5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14%</w:t>
            </w:r>
          </w:p>
        </w:tc>
        <w:tc>
          <w:tcPr>
            <w:tcW w:w="102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-7.5%</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13.6%</w:t>
            </w:r>
          </w:p>
        </w:tc>
      </w:tr>
      <w:tr>
        <w:trPr>
          <w:trHeight w:val="147"/>
        </w:trPr>
        <w:tc>
          <w:tcPr>
            <w:tcW w:w="3240" w:type="dxa"/>
            <w:vAlign w:val="bottom"/>
            <w:gridSpan w:val="2"/>
          </w:tcPr>
          <w:p>
            <w:pPr>
              <w:spacing w:after="0" w:line="147" w:lineRule="exact"/>
              <w:rPr>
                <w:sz w:val="20"/>
                <w:szCs w:val="20"/>
                <w:color w:val="auto"/>
              </w:rPr>
            </w:pPr>
            <w:r>
              <w:rPr>
                <w:rFonts w:ascii="Arial" w:cs="Arial" w:eastAsia="Arial" w:hAnsi="Arial"/>
                <w:sz w:val="14"/>
                <w:szCs w:val="14"/>
                <w:color w:val="auto"/>
              </w:rPr>
              <w:t>Systems outsourcing</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31,872</w:t>
            </w:r>
          </w:p>
        </w:tc>
        <w:tc>
          <w:tcPr>
            <w:tcW w:w="10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6%</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7,378</w:t>
            </w:r>
          </w:p>
        </w:tc>
        <w:tc>
          <w:tcPr>
            <w:tcW w:w="220" w:type="dxa"/>
            <w:vAlign w:val="bottom"/>
          </w:tcPr>
          <w:p>
            <w:pPr>
              <w:spacing w:after="0"/>
              <w:rPr>
                <w:sz w:val="12"/>
                <w:szCs w:val="12"/>
                <w:color w:val="auto"/>
              </w:rPr>
            </w:pPr>
          </w:p>
        </w:tc>
        <w:tc>
          <w:tcPr>
            <w:tcW w:w="80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1%</w:t>
            </w:r>
          </w:p>
        </w:tc>
        <w:tc>
          <w:tcPr>
            <w:tcW w:w="9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48,729</w:t>
            </w:r>
          </w:p>
        </w:tc>
        <w:tc>
          <w:tcPr>
            <w:tcW w:w="520" w:type="dxa"/>
            <w:vAlign w:val="bottom"/>
          </w:tcPr>
          <w:p>
            <w:pPr>
              <w:spacing w:after="0"/>
              <w:rPr>
                <w:sz w:val="12"/>
                <w:szCs w:val="12"/>
                <w:color w:val="auto"/>
              </w:rPr>
            </w:pPr>
          </w:p>
        </w:tc>
        <w:tc>
          <w:tcPr>
            <w:tcW w:w="5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9%</w:t>
            </w:r>
          </w:p>
        </w:tc>
        <w:tc>
          <w:tcPr>
            <w:tcW w:w="10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560.5%</w:t>
            </w:r>
          </w:p>
        </w:tc>
        <w:tc>
          <w:tcPr>
            <w:tcW w:w="220" w:type="dxa"/>
            <w:vAlign w:val="bottom"/>
          </w:tcPr>
          <w:p>
            <w:pPr>
              <w:spacing w:after="0"/>
              <w:rPr>
                <w:sz w:val="12"/>
                <w:szCs w:val="12"/>
                <w:color w:val="auto"/>
              </w:rPr>
            </w:pPr>
          </w:p>
        </w:tc>
        <w:tc>
          <w:tcPr>
            <w:tcW w:w="7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52.9%</w:t>
            </w:r>
          </w:p>
        </w:tc>
      </w:tr>
      <w:tr>
        <w:trPr>
          <w:trHeight w:val="147"/>
        </w:trPr>
        <w:tc>
          <w:tcPr>
            <w:tcW w:w="32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Programs and systems</w:t>
            </w:r>
          </w:p>
        </w:tc>
        <w:tc>
          <w:tcPr>
            <w:tcW w:w="10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63,848</w:t>
            </w:r>
          </w:p>
        </w:tc>
        <w:tc>
          <w:tcPr>
            <w:tcW w:w="102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12%</w:t>
            </w:r>
          </w:p>
        </w:tc>
        <w:tc>
          <w:tcPr>
            <w:tcW w:w="10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84,076</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12%</w:t>
            </w:r>
          </w:p>
        </w:tc>
        <w:tc>
          <w:tcPr>
            <w:tcW w:w="9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68,119</w:t>
            </w:r>
          </w:p>
        </w:tc>
        <w:tc>
          <w:tcPr>
            <w:tcW w:w="5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13%</w:t>
            </w:r>
          </w:p>
        </w:tc>
        <w:tc>
          <w:tcPr>
            <w:tcW w:w="102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-19.0%</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6.7%</w:t>
            </w:r>
          </w:p>
        </w:tc>
      </w:tr>
      <w:tr>
        <w:trPr>
          <w:trHeight w:val="147"/>
        </w:trPr>
        <w:tc>
          <w:tcPr>
            <w:tcW w:w="3240" w:type="dxa"/>
            <w:vAlign w:val="bottom"/>
            <w:gridSpan w:val="2"/>
          </w:tcPr>
          <w:p>
            <w:pPr>
              <w:spacing w:after="0" w:line="147" w:lineRule="exact"/>
              <w:rPr>
                <w:sz w:val="20"/>
                <w:szCs w:val="20"/>
                <w:color w:val="auto"/>
              </w:rPr>
            </w:pPr>
            <w:r>
              <w:rPr>
                <w:rFonts w:ascii="Arial" w:cs="Arial" w:eastAsia="Arial" w:hAnsi="Arial"/>
                <w:sz w:val="14"/>
                <w:szCs w:val="14"/>
                <w:color w:val="auto"/>
              </w:rPr>
              <w:t>Communications</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22,714</w:t>
            </w:r>
          </w:p>
        </w:tc>
        <w:tc>
          <w:tcPr>
            <w:tcW w:w="10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4%</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22,413</w:t>
            </w:r>
          </w:p>
        </w:tc>
        <w:tc>
          <w:tcPr>
            <w:tcW w:w="220" w:type="dxa"/>
            <w:vAlign w:val="bottom"/>
          </w:tcPr>
          <w:p>
            <w:pPr>
              <w:spacing w:after="0"/>
              <w:rPr>
                <w:sz w:val="12"/>
                <w:szCs w:val="12"/>
                <w:color w:val="auto"/>
              </w:rPr>
            </w:pPr>
          </w:p>
        </w:tc>
        <w:tc>
          <w:tcPr>
            <w:tcW w:w="80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3%</w:t>
            </w:r>
          </w:p>
        </w:tc>
        <w:tc>
          <w:tcPr>
            <w:tcW w:w="9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17,585</w:t>
            </w:r>
          </w:p>
        </w:tc>
        <w:tc>
          <w:tcPr>
            <w:tcW w:w="520" w:type="dxa"/>
            <w:vAlign w:val="bottom"/>
          </w:tcPr>
          <w:p>
            <w:pPr>
              <w:spacing w:after="0"/>
              <w:rPr>
                <w:sz w:val="12"/>
                <w:szCs w:val="12"/>
                <w:color w:val="auto"/>
              </w:rPr>
            </w:pPr>
          </w:p>
        </w:tc>
        <w:tc>
          <w:tcPr>
            <w:tcW w:w="5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3%</w:t>
            </w:r>
          </w:p>
        </w:tc>
        <w:tc>
          <w:tcPr>
            <w:tcW w:w="10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-21.5%</w:t>
            </w:r>
          </w:p>
        </w:tc>
        <w:tc>
          <w:tcPr>
            <w:tcW w:w="220" w:type="dxa"/>
            <w:vAlign w:val="bottom"/>
          </w:tcPr>
          <w:p>
            <w:pPr>
              <w:spacing w:after="0"/>
              <w:rPr>
                <w:sz w:val="12"/>
                <w:szCs w:val="12"/>
                <w:color w:val="auto"/>
              </w:rPr>
            </w:pPr>
          </w:p>
        </w:tc>
        <w:tc>
          <w:tcPr>
            <w:tcW w:w="7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-22.6%</w:t>
            </w:r>
          </w:p>
        </w:tc>
      </w:tr>
      <w:tr>
        <w:trPr>
          <w:trHeight w:val="147"/>
        </w:trPr>
        <w:tc>
          <w:tcPr>
            <w:tcW w:w="32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Rent</w:t>
            </w:r>
          </w:p>
        </w:tc>
        <w:tc>
          <w:tcPr>
            <w:tcW w:w="10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30,462</w:t>
            </w:r>
          </w:p>
        </w:tc>
        <w:tc>
          <w:tcPr>
            <w:tcW w:w="102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6%</w:t>
            </w:r>
          </w:p>
        </w:tc>
        <w:tc>
          <w:tcPr>
            <w:tcW w:w="10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28,675</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4%</w:t>
            </w:r>
          </w:p>
        </w:tc>
        <w:tc>
          <w:tcPr>
            <w:tcW w:w="9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25,192</w:t>
            </w:r>
          </w:p>
        </w:tc>
        <w:tc>
          <w:tcPr>
            <w:tcW w:w="5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5%</w:t>
            </w:r>
          </w:p>
        </w:tc>
        <w:tc>
          <w:tcPr>
            <w:tcW w:w="102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-12.1%</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-17.3%</w:t>
            </w:r>
          </w:p>
        </w:tc>
      </w:tr>
      <w:tr>
        <w:trPr>
          <w:trHeight w:val="147"/>
        </w:trPr>
        <w:tc>
          <w:tcPr>
            <w:tcW w:w="3240" w:type="dxa"/>
            <w:vAlign w:val="bottom"/>
            <w:gridSpan w:val="2"/>
          </w:tcPr>
          <w:p>
            <w:pPr>
              <w:spacing w:after="0" w:line="147" w:lineRule="exact"/>
              <w:rPr>
                <w:sz w:val="20"/>
                <w:szCs w:val="20"/>
                <w:color w:val="auto"/>
              </w:rPr>
            </w:pPr>
            <w:r>
              <w:rPr>
                <w:rFonts w:ascii="Arial" w:cs="Arial" w:eastAsia="Arial" w:hAnsi="Arial"/>
                <w:sz w:val="14"/>
                <w:szCs w:val="14"/>
                <w:color w:val="auto"/>
              </w:rPr>
              <w:t>Consulting</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33,775</w:t>
            </w:r>
          </w:p>
        </w:tc>
        <w:tc>
          <w:tcPr>
            <w:tcW w:w="10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6%</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81,933</w:t>
            </w:r>
          </w:p>
        </w:tc>
        <w:tc>
          <w:tcPr>
            <w:tcW w:w="220" w:type="dxa"/>
            <w:vAlign w:val="bottom"/>
          </w:tcPr>
          <w:p>
            <w:pPr>
              <w:spacing w:after="0"/>
              <w:rPr>
                <w:sz w:val="12"/>
                <w:szCs w:val="12"/>
                <w:color w:val="auto"/>
              </w:rPr>
            </w:pPr>
          </w:p>
        </w:tc>
        <w:tc>
          <w:tcPr>
            <w:tcW w:w="80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12%</w:t>
            </w:r>
          </w:p>
        </w:tc>
        <w:tc>
          <w:tcPr>
            <w:tcW w:w="9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26,958</w:t>
            </w:r>
          </w:p>
        </w:tc>
        <w:tc>
          <w:tcPr>
            <w:tcW w:w="520" w:type="dxa"/>
            <w:vAlign w:val="bottom"/>
          </w:tcPr>
          <w:p>
            <w:pPr>
              <w:spacing w:after="0"/>
              <w:rPr>
                <w:sz w:val="12"/>
                <w:szCs w:val="12"/>
                <w:color w:val="auto"/>
              </w:rPr>
            </w:pPr>
          </w:p>
        </w:tc>
        <w:tc>
          <w:tcPr>
            <w:tcW w:w="5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5%</w:t>
            </w:r>
          </w:p>
        </w:tc>
        <w:tc>
          <w:tcPr>
            <w:tcW w:w="10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-67.1%</w:t>
            </w:r>
          </w:p>
        </w:tc>
        <w:tc>
          <w:tcPr>
            <w:tcW w:w="220" w:type="dxa"/>
            <w:vAlign w:val="bottom"/>
          </w:tcPr>
          <w:p>
            <w:pPr>
              <w:spacing w:after="0"/>
              <w:rPr>
                <w:sz w:val="12"/>
                <w:szCs w:val="12"/>
                <w:color w:val="auto"/>
              </w:rPr>
            </w:pPr>
          </w:p>
        </w:tc>
        <w:tc>
          <w:tcPr>
            <w:tcW w:w="7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-20.2%</w:t>
            </w:r>
          </w:p>
        </w:tc>
      </w:tr>
      <w:tr>
        <w:trPr>
          <w:trHeight w:val="147"/>
        </w:trPr>
        <w:tc>
          <w:tcPr>
            <w:tcW w:w="32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Channels</w:t>
            </w:r>
          </w:p>
        </w:tc>
        <w:tc>
          <w:tcPr>
            <w:tcW w:w="10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52,768</w:t>
            </w:r>
          </w:p>
        </w:tc>
        <w:tc>
          <w:tcPr>
            <w:tcW w:w="102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10%</w:t>
            </w: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66,711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10%</w:t>
            </w:r>
          </w:p>
        </w:tc>
        <w:tc>
          <w:tcPr>
            <w:tcW w:w="9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51,053</w:t>
            </w:r>
          </w:p>
        </w:tc>
        <w:tc>
          <w:tcPr>
            <w:tcW w:w="5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9%</w:t>
            </w:r>
          </w:p>
        </w:tc>
        <w:tc>
          <w:tcPr>
            <w:tcW w:w="102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-23.5%</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-3.2%</w:t>
            </w:r>
          </w:p>
        </w:tc>
      </w:tr>
      <w:tr>
        <w:trPr>
          <w:trHeight w:val="147"/>
        </w:trPr>
        <w:tc>
          <w:tcPr>
            <w:tcW w:w="3240" w:type="dxa"/>
            <w:vAlign w:val="bottom"/>
            <w:gridSpan w:val="2"/>
          </w:tcPr>
          <w:p>
            <w:pPr>
              <w:spacing w:after="0" w:line="147" w:lineRule="exact"/>
              <w:rPr>
                <w:sz w:val="20"/>
                <w:szCs w:val="20"/>
                <w:color w:val="auto"/>
              </w:rPr>
            </w:pPr>
            <w:r>
              <w:rPr>
                <w:rFonts w:ascii="Arial" w:cs="Arial" w:eastAsia="Arial" w:hAnsi="Arial"/>
                <w:sz w:val="14"/>
                <w:szCs w:val="14"/>
                <w:color w:val="auto"/>
              </w:rPr>
              <w:t>Gastos Legales</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6,673</w:t>
            </w:r>
          </w:p>
        </w:tc>
        <w:tc>
          <w:tcPr>
            <w:tcW w:w="10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1%</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18,483</w:t>
            </w:r>
          </w:p>
        </w:tc>
        <w:tc>
          <w:tcPr>
            <w:tcW w:w="220" w:type="dxa"/>
            <w:vAlign w:val="bottom"/>
          </w:tcPr>
          <w:p>
            <w:pPr>
              <w:spacing w:after="0"/>
              <w:rPr>
                <w:sz w:val="12"/>
                <w:szCs w:val="12"/>
                <w:color w:val="auto"/>
              </w:rPr>
            </w:pPr>
          </w:p>
        </w:tc>
        <w:tc>
          <w:tcPr>
            <w:tcW w:w="80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3%</w:t>
            </w:r>
          </w:p>
        </w:tc>
        <w:tc>
          <w:tcPr>
            <w:tcW w:w="9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5,525</w:t>
            </w:r>
          </w:p>
        </w:tc>
        <w:tc>
          <w:tcPr>
            <w:tcW w:w="520" w:type="dxa"/>
            <w:vAlign w:val="bottom"/>
          </w:tcPr>
          <w:p>
            <w:pPr>
              <w:spacing w:after="0"/>
              <w:rPr>
                <w:sz w:val="12"/>
                <w:szCs w:val="12"/>
                <w:color w:val="auto"/>
              </w:rPr>
            </w:pPr>
          </w:p>
        </w:tc>
        <w:tc>
          <w:tcPr>
            <w:tcW w:w="5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1%</w:t>
            </w:r>
          </w:p>
        </w:tc>
        <w:tc>
          <w:tcPr>
            <w:tcW w:w="10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-70.1%</w:t>
            </w:r>
          </w:p>
        </w:tc>
        <w:tc>
          <w:tcPr>
            <w:tcW w:w="220" w:type="dxa"/>
            <w:vAlign w:val="bottom"/>
          </w:tcPr>
          <w:p>
            <w:pPr>
              <w:spacing w:after="0"/>
              <w:rPr>
                <w:sz w:val="12"/>
                <w:szCs w:val="12"/>
                <w:color w:val="auto"/>
              </w:rPr>
            </w:pPr>
          </w:p>
        </w:tc>
        <w:tc>
          <w:tcPr>
            <w:tcW w:w="7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-17.2%</w:t>
            </w:r>
          </w:p>
        </w:tc>
      </w:tr>
      <w:tr>
        <w:trPr>
          <w:trHeight w:val="147"/>
        </w:trPr>
        <w:tc>
          <w:tcPr>
            <w:tcW w:w="32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Gastos de Representación</w:t>
            </w:r>
          </w:p>
        </w:tc>
        <w:tc>
          <w:tcPr>
            <w:tcW w:w="10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5,114</w:t>
            </w:r>
          </w:p>
        </w:tc>
        <w:tc>
          <w:tcPr>
            <w:tcW w:w="102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1%</w:t>
            </w:r>
          </w:p>
        </w:tc>
        <w:tc>
          <w:tcPr>
            <w:tcW w:w="10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5,086</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1%</w:t>
            </w:r>
          </w:p>
        </w:tc>
        <w:tc>
          <w:tcPr>
            <w:tcW w:w="9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4,469</w:t>
            </w:r>
          </w:p>
        </w:tc>
        <w:tc>
          <w:tcPr>
            <w:tcW w:w="5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1%</w:t>
            </w:r>
          </w:p>
        </w:tc>
        <w:tc>
          <w:tcPr>
            <w:tcW w:w="102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-12.1%</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-12.6%</w:t>
            </w:r>
          </w:p>
        </w:tc>
      </w:tr>
      <w:tr>
        <w:trPr>
          <w:trHeight w:val="147"/>
        </w:trPr>
        <w:tc>
          <w:tcPr>
            <w:tcW w:w="3240" w:type="dxa"/>
            <w:vAlign w:val="bottom"/>
            <w:gridSpan w:val="2"/>
          </w:tcPr>
          <w:p>
            <w:pPr>
              <w:spacing w:after="0" w:line="147" w:lineRule="exact"/>
              <w:rPr>
                <w:sz w:val="20"/>
                <w:szCs w:val="20"/>
                <w:color w:val="auto"/>
              </w:rPr>
            </w:pPr>
            <w:r>
              <w:rPr>
                <w:rFonts w:ascii="Arial" w:cs="Arial" w:eastAsia="Arial" w:hAnsi="Arial"/>
                <w:sz w:val="14"/>
                <w:szCs w:val="14"/>
                <w:color w:val="auto"/>
              </w:rPr>
              <w:t>Seguros</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11,556</w:t>
            </w:r>
          </w:p>
        </w:tc>
        <w:tc>
          <w:tcPr>
            <w:tcW w:w="10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2%</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20,063</w:t>
            </w:r>
          </w:p>
        </w:tc>
        <w:tc>
          <w:tcPr>
            <w:tcW w:w="220" w:type="dxa"/>
            <w:vAlign w:val="bottom"/>
          </w:tcPr>
          <w:p>
            <w:pPr>
              <w:spacing w:after="0"/>
              <w:rPr>
                <w:sz w:val="12"/>
                <w:szCs w:val="12"/>
                <w:color w:val="auto"/>
              </w:rPr>
            </w:pPr>
          </w:p>
        </w:tc>
        <w:tc>
          <w:tcPr>
            <w:tcW w:w="80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3%</w:t>
            </w:r>
          </w:p>
        </w:tc>
        <w:tc>
          <w:tcPr>
            <w:tcW w:w="9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22,032</w:t>
            </w:r>
          </w:p>
        </w:tc>
        <w:tc>
          <w:tcPr>
            <w:tcW w:w="520" w:type="dxa"/>
            <w:vAlign w:val="bottom"/>
          </w:tcPr>
          <w:p>
            <w:pPr>
              <w:spacing w:after="0"/>
              <w:rPr>
                <w:sz w:val="12"/>
                <w:szCs w:val="12"/>
                <w:color w:val="auto"/>
              </w:rPr>
            </w:pPr>
          </w:p>
        </w:tc>
        <w:tc>
          <w:tcPr>
            <w:tcW w:w="5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4%</w:t>
            </w:r>
          </w:p>
        </w:tc>
        <w:tc>
          <w:tcPr>
            <w:tcW w:w="10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9.8%</w:t>
            </w:r>
          </w:p>
        </w:tc>
        <w:tc>
          <w:tcPr>
            <w:tcW w:w="220" w:type="dxa"/>
            <w:vAlign w:val="bottom"/>
          </w:tcPr>
          <w:p>
            <w:pPr>
              <w:spacing w:after="0"/>
              <w:rPr>
                <w:sz w:val="12"/>
                <w:szCs w:val="12"/>
                <w:color w:val="auto"/>
              </w:rPr>
            </w:pPr>
          </w:p>
        </w:tc>
        <w:tc>
          <w:tcPr>
            <w:tcW w:w="7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90.7%</w:t>
            </w:r>
          </w:p>
        </w:tc>
      </w:tr>
      <w:tr>
        <w:trPr>
          <w:trHeight w:val="200"/>
        </w:trPr>
        <w:tc>
          <w:tcPr>
            <w:tcW w:w="3240" w:type="dxa"/>
            <w:vAlign w:val="bottom"/>
            <w:gridSpan w:val="2"/>
            <w:shd w:val="clear" w:color="auto" w:fill="CCEEFF"/>
          </w:tcPr>
          <w:p>
            <w:pPr>
              <w:spacing w:after="0" w:line="200"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3"/>
                <w:szCs w:val="23"/>
                <w:color w:val="auto"/>
                <w:vertAlign w:val="superscript"/>
              </w:rPr>
              <w:t>(1)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66,222</w:t>
            </w:r>
          </w:p>
        </w:tc>
        <w:tc>
          <w:tcPr>
            <w:tcW w:w="10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12%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83,618</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12%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48,404</w:t>
            </w:r>
          </w:p>
        </w:tc>
        <w:tc>
          <w:tcPr>
            <w:tcW w:w="5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9%</w:t>
            </w:r>
          </w:p>
        </w:tc>
        <w:tc>
          <w:tcPr>
            <w:tcW w:w="10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-42.1%</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-26.9%</w:t>
            </w:r>
          </w:p>
        </w:tc>
      </w:tr>
      <w:tr>
        <w:trPr>
          <w:trHeight w:val="140"/>
        </w:trPr>
        <w:tc>
          <w:tcPr>
            <w:tcW w:w="3240" w:type="dxa"/>
            <w:vAlign w:val="bottom"/>
            <w:gridSpan w:val="2"/>
          </w:tcPr>
          <w:p>
            <w:pPr>
              <w:spacing w:after="0" w:line="140" w:lineRule="exact"/>
              <w:rPr>
                <w:sz w:val="20"/>
                <w:szCs w:val="20"/>
                <w:color w:val="auto"/>
              </w:rPr>
            </w:pPr>
            <w:r>
              <w:rPr>
                <w:rFonts w:ascii="Arial" w:cs="Arial" w:eastAsia="Arial" w:hAnsi="Arial"/>
                <w:sz w:val="14"/>
                <w:szCs w:val="14"/>
                <w:b w:val="1"/>
                <w:bCs w:val="1"/>
                <w:color w:val="auto"/>
              </w:rPr>
              <w:t>Total administrative and general expenses</w:t>
            </w:r>
          </w:p>
        </w:tc>
        <w:tc>
          <w:tcPr>
            <w:tcW w:w="78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538,157</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29"/>
              <w:spacing w:after="0" w:line="140"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701,225</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49"/>
              <w:spacing w:after="0" w:line="140"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539,644</w:t>
            </w:r>
          </w:p>
        </w:tc>
        <w:tc>
          <w:tcPr>
            <w:tcW w:w="2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49"/>
              <w:spacing w:after="0" w:line="140" w:lineRule="exact"/>
              <w:rPr>
                <w:sz w:val="20"/>
                <w:szCs w:val="20"/>
                <w:color w:val="auto"/>
              </w:rPr>
            </w:pPr>
            <w:r>
              <w:rPr>
                <w:rFonts w:ascii="Arial" w:cs="Arial" w:eastAsia="Arial" w:hAnsi="Arial"/>
                <w:sz w:val="14"/>
                <w:szCs w:val="14"/>
                <w:b w:val="1"/>
                <w:bCs w:val="1"/>
                <w:color w:val="auto"/>
                <w:w w:val="96"/>
              </w:rPr>
              <w:t>%</w:t>
            </w:r>
          </w:p>
        </w:tc>
        <w:tc>
          <w:tcPr>
            <w:tcW w:w="76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-23.0</w:t>
            </w:r>
          </w:p>
        </w:tc>
        <w:tc>
          <w:tcPr>
            <w:tcW w:w="260" w:type="dxa"/>
            <w:vAlign w:val="bottom"/>
          </w:tcPr>
          <w:p>
            <w:pPr>
              <w:jc w:val="right"/>
              <w:ind w:right="49"/>
              <w:spacing w:after="0" w:line="140"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0.3</w:t>
            </w:r>
          </w:p>
        </w:tc>
        <w:tc>
          <w:tcPr>
            <w:tcW w:w="120" w:type="dxa"/>
            <w:vAlign w:val="bottom"/>
          </w:tcPr>
          <w:p>
            <w:pPr>
              <w:jc w:val="right"/>
              <w:spacing w:after="0" w:line="140" w:lineRule="exact"/>
              <w:rPr>
                <w:sz w:val="20"/>
                <w:szCs w:val="20"/>
                <w:color w:val="auto"/>
              </w:rPr>
            </w:pPr>
            <w:r>
              <w:rPr>
                <w:rFonts w:ascii="Arial" w:cs="Arial" w:eastAsia="Arial" w:hAnsi="Arial"/>
                <w:sz w:val="14"/>
                <w:szCs w:val="14"/>
                <w:b w:val="1"/>
                <w:bCs w:val="1"/>
                <w:color w:val="auto"/>
                <w:w w:val="79"/>
              </w:rPr>
              <w:t>%</w:t>
            </w: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(1) Others include ASB, BCP Bolivia, Grupo Credito and eliminations for consolidation.</w:t>
      </w:r>
    </w:p>
    <w:p>
      <w:pPr>
        <w:spacing w:after="0" w:line="216"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QoQ drop</w:t>
      </w:r>
      <w:r>
        <w:rPr>
          <w:rFonts w:ascii="Arial" w:cs="Arial" w:eastAsia="Arial" w:hAnsi="Arial"/>
          <w:sz w:val="18"/>
          <w:szCs w:val="18"/>
          <w:color w:val="auto"/>
        </w:rPr>
        <w:t xml:space="preserve"> in administrative and general expenses and taxes was due primarily to a seasonal effect given that these expenses reach their highest point in the last quarter of every year.</w:t>
      </w:r>
    </w:p>
    <w:p>
      <w:pPr>
        <w:spacing w:after="0" w:line="168"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which excludes the seasonal effect on operating expenses, administrative and general expenses and taxes remained stable; nonetheless, some account registered significant increases.</w:t>
      </w:r>
    </w:p>
    <w:p>
      <w:pPr>
        <w:spacing w:after="0" w:line="172" w:lineRule="exact"/>
        <w:rPr>
          <w:sz w:val="20"/>
          <w:szCs w:val="20"/>
          <w:color w:val="auto"/>
        </w:rPr>
      </w:pPr>
    </w:p>
    <w:p>
      <w:pPr>
        <w:ind w:left="880" w:hanging="500"/>
        <w:spacing w:after="0" w:line="300" w:lineRule="auto"/>
        <w:tabs>
          <w:tab w:leader="none" w:pos="8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Total expenses for Programs, Systems and Systems Outsourcing increased, mainly in BCP Stand-alone, due to the higher expenses for the management of our IT infrastructure and the spending on new programs for projects related to the Transformation Strategy.</w:t>
      </w:r>
    </w:p>
    <w:p>
      <w:pPr>
        <w:spacing w:after="0" w:line="151" w:lineRule="exact"/>
        <w:rPr>
          <w:rFonts w:ascii="Arial" w:cs="Arial" w:eastAsia="Arial" w:hAnsi="Arial"/>
          <w:sz w:val="17"/>
          <w:szCs w:val="17"/>
          <w:color w:val="auto"/>
        </w:rPr>
      </w:pPr>
    </w:p>
    <w:p>
      <w:pPr>
        <w:ind w:left="880" w:hanging="500"/>
        <w:spacing w:after="0" w:line="270"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increase in Infrastructure, which was mainly attributable to the purchase and distribution of medical supplies and to an increase in expenses for the cleaning of different branches at BCP Stand-alone</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2" w:name="page43"/>
    <w:bookmarkEnd w:id="42"/>
    <w:p>
      <w:pPr>
        <w:spacing w:after="0" w:line="270" w:lineRule="auto"/>
        <w:rPr>
          <w:sz w:val="20"/>
          <w:szCs w:val="20"/>
          <w:color w:val="auto"/>
        </w:rPr>
      </w:pPr>
      <w:r>
        <w:rPr>
          <w:rFonts w:ascii="Arial" w:cs="Arial" w:eastAsia="Arial" w:hAnsi="Arial"/>
          <w:sz w:val="18"/>
          <w:szCs w:val="18"/>
          <w:color w:val="auto"/>
        </w:rPr>
        <w:t>The aforementioned was attenuated by a decrease in expenses for consultants, primarily at BCP Stand-alone, given that in 1Q19, more consultants were needed to implement a variety of projects related to the transformation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Efficiency Ratio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80" w:type="dxa"/>
            <w:vAlign w:val="bottom"/>
            <w:gridSpan w:val="6"/>
          </w:tcPr>
          <w:p>
            <w:pPr>
              <w:ind w:left="1200"/>
              <w:spacing w:after="0"/>
              <w:rPr>
                <w:sz w:val="20"/>
                <w:szCs w:val="20"/>
                <w:color w:val="auto"/>
              </w:rPr>
            </w:pPr>
            <w:r>
              <w:rPr>
                <w:rFonts w:ascii="Arial" w:cs="Arial" w:eastAsia="Arial" w:hAnsi="Arial"/>
                <w:sz w:val="18"/>
                <w:szCs w:val="18"/>
                <w:b w:val="1"/>
                <w:bCs w:val="1"/>
                <w:color w:val="auto"/>
              </w:rPr>
              <w:t xml:space="preserve">Efficiency Ratio by Subsidiary </w:t>
            </w:r>
            <w:r>
              <w:rPr>
                <w:rFonts w:ascii="Arial" w:cs="Arial" w:eastAsia="Arial" w:hAnsi="Arial"/>
                <w:sz w:val="29"/>
                <w:szCs w:val="29"/>
                <w:b w:val="1"/>
                <w:bCs w:val="1"/>
                <w:color w:val="auto"/>
                <w:vertAlign w:val="superscript"/>
              </w:rPr>
              <w:t>(1)(2)</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00"/>
        </w:trPr>
        <w:tc>
          <w:tcPr>
            <w:tcW w:w="1380" w:type="dxa"/>
            <w:vAlign w:val="bottom"/>
          </w:tcPr>
          <w:p>
            <w:pPr>
              <w:spacing w:after="0"/>
              <w:rPr>
                <w:sz w:val="24"/>
                <w:szCs w:val="2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BCP</w:t>
            </w:r>
          </w:p>
        </w:tc>
        <w:tc>
          <w:tcPr>
            <w:tcW w:w="1660" w:type="dxa"/>
            <w:vAlign w:val="bottom"/>
            <w:gridSpan w:val="2"/>
          </w:tcPr>
          <w:p>
            <w:pPr>
              <w:ind w:left="460"/>
              <w:spacing w:after="0"/>
              <w:rPr>
                <w:sz w:val="20"/>
                <w:szCs w:val="20"/>
                <w:color w:val="auto"/>
              </w:rPr>
            </w:pPr>
            <w:r>
              <w:rPr>
                <w:rFonts w:ascii="Arial" w:cs="Arial" w:eastAsia="Arial" w:hAnsi="Arial"/>
                <w:sz w:val="18"/>
                <w:szCs w:val="18"/>
                <w:b w:val="1"/>
                <w:bCs w:val="1"/>
                <w:color w:val="auto"/>
              </w:rPr>
              <w:t>BCP</w:t>
            </w: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1"/>
        </w:trPr>
        <w:tc>
          <w:tcPr>
            <w:tcW w:w="13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Stand-alone</w:t>
            </w:r>
          </w:p>
        </w:tc>
        <w:tc>
          <w:tcPr>
            <w:tcW w:w="44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Bolivia</w:t>
            </w:r>
          </w:p>
        </w:tc>
        <w:tc>
          <w:tcPr>
            <w:tcW w:w="3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Microfinance</w:t>
            </w:r>
          </w:p>
        </w:tc>
        <w:tc>
          <w:tcPr>
            <w:tcW w:w="4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Pacifico</w:t>
            </w:r>
          </w:p>
        </w:tc>
        <w:tc>
          <w:tcPr>
            <w:tcW w:w="44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Prima AFP</w:t>
            </w:r>
          </w:p>
        </w:tc>
        <w:tc>
          <w:tcPr>
            <w:tcW w:w="4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Credicorp</w:t>
            </w:r>
          </w:p>
        </w:tc>
        <w:tc>
          <w:tcPr>
            <w:tcW w:w="320" w:type="dxa"/>
            <w:vAlign w:val="bottom"/>
            <w:tcBorders>
              <w:bottom w:val="single" w:sz="8" w:color="CCEEFF"/>
            </w:tcBorders>
          </w:tcPr>
          <w:p>
            <w:pPr>
              <w:spacing w:after="0"/>
              <w:rPr>
                <w:sz w:val="20"/>
                <w:szCs w:val="20"/>
                <w:color w:val="auto"/>
              </w:rPr>
            </w:pPr>
          </w:p>
        </w:tc>
      </w:tr>
      <w:tr>
        <w:trPr>
          <w:trHeight w:val="208"/>
        </w:trPr>
        <w:tc>
          <w:tcPr>
            <w:tcW w:w="1380" w:type="dxa"/>
            <w:vAlign w:val="bottom"/>
            <w:shd w:val="clear" w:color="auto" w:fill="CCEEFF"/>
          </w:tcPr>
          <w:p>
            <w:pPr>
              <w:jc w:val="center"/>
              <w:ind w:right="11"/>
              <w:spacing w:after="0"/>
              <w:rPr>
                <w:sz w:val="20"/>
                <w:szCs w:val="20"/>
                <w:color w:val="auto"/>
              </w:rPr>
            </w:pPr>
            <w:r>
              <w:rPr>
                <w:rFonts w:ascii="Arial" w:cs="Arial" w:eastAsia="Arial" w:hAnsi="Arial"/>
                <w:sz w:val="18"/>
                <w:szCs w:val="18"/>
                <w:b w:val="1"/>
                <w:bCs w:val="1"/>
                <w:color w:val="auto"/>
                <w:w w:val="90"/>
              </w:rPr>
              <w:t>1Q19</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38.1%</w:t>
            </w:r>
          </w:p>
        </w:tc>
        <w:tc>
          <w:tcPr>
            <w:tcW w:w="16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61.8%</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w:t>
            </w:r>
          </w:p>
        </w:tc>
        <w:tc>
          <w:tcPr>
            <w:tcW w:w="1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41.6%</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w:t>
            </w:r>
          </w:p>
        </w:tc>
      </w:tr>
      <w:tr>
        <w:trPr>
          <w:trHeight w:val="213"/>
        </w:trPr>
        <w:tc>
          <w:tcPr>
            <w:tcW w:w="1380" w:type="dxa"/>
            <w:vAlign w:val="bottom"/>
          </w:tcPr>
          <w:p>
            <w:pPr>
              <w:jc w:val="center"/>
              <w:ind w:right="11"/>
              <w:spacing w:after="0"/>
              <w:rPr>
                <w:sz w:val="20"/>
                <w:szCs w:val="20"/>
                <w:color w:val="auto"/>
              </w:rPr>
            </w:pPr>
            <w:r>
              <w:rPr>
                <w:rFonts w:ascii="Arial" w:cs="Arial" w:eastAsia="Arial" w:hAnsi="Arial"/>
                <w:sz w:val="18"/>
                <w:szCs w:val="18"/>
                <w:b w:val="1"/>
                <w:bCs w:val="1"/>
                <w:color w:val="auto"/>
                <w:w w:val="90"/>
              </w:rPr>
              <w:t>4Q19</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43.8%</w:t>
            </w:r>
          </w:p>
        </w:tc>
        <w:tc>
          <w:tcPr>
            <w:tcW w:w="1660" w:type="dxa"/>
            <w:vAlign w:val="bottom"/>
            <w:gridSpan w:val="2"/>
          </w:tcPr>
          <w:p>
            <w:pPr>
              <w:ind w:left="960"/>
              <w:spacing w:after="0"/>
              <w:rPr>
                <w:sz w:val="20"/>
                <w:szCs w:val="20"/>
                <w:color w:val="auto"/>
              </w:rPr>
            </w:pPr>
            <w:r>
              <w:rPr>
                <w:rFonts w:ascii="Arial" w:cs="Arial" w:eastAsia="Arial" w:hAnsi="Arial"/>
                <w:sz w:val="18"/>
                <w:szCs w:val="18"/>
                <w:color w:val="auto"/>
              </w:rPr>
              <w:t>60.1%</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56.4%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44.7%</w:t>
            </w:r>
          </w:p>
        </w:tc>
        <w:tc>
          <w:tcPr>
            <w:tcW w:w="1600" w:type="dxa"/>
            <w:vAlign w:val="bottom"/>
            <w:gridSpan w:val="2"/>
          </w:tcPr>
          <w:p>
            <w:pPr>
              <w:ind w:left="860"/>
              <w:spacing w:after="0"/>
              <w:rPr>
                <w:sz w:val="20"/>
                <w:szCs w:val="20"/>
                <w:color w:val="auto"/>
              </w:rPr>
            </w:pPr>
            <w:r>
              <w:rPr>
                <w:rFonts w:ascii="Arial" w:cs="Arial" w:eastAsia="Arial" w:hAnsi="Arial"/>
                <w:sz w:val="18"/>
                <w:szCs w:val="18"/>
                <w:color w:val="auto"/>
              </w:rPr>
              <w:t>45.1%</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45.7%</w:t>
            </w:r>
          </w:p>
        </w:tc>
      </w:tr>
      <w:tr>
        <w:trPr>
          <w:trHeight w:val="213"/>
        </w:trPr>
        <w:tc>
          <w:tcPr>
            <w:tcW w:w="1380" w:type="dxa"/>
            <w:vAlign w:val="bottom"/>
            <w:shd w:val="clear" w:color="auto" w:fill="CCEEFF"/>
          </w:tcPr>
          <w:p>
            <w:pPr>
              <w:jc w:val="center"/>
              <w:ind w:right="11"/>
              <w:spacing w:after="0"/>
              <w:rPr>
                <w:sz w:val="20"/>
                <w:szCs w:val="20"/>
                <w:color w:val="auto"/>
              </w:rPr>
            </w:pPr>
            <w:r>
              <w:rPr>
                <w:rFonts w:ascii="Arial" w:cs="Arial" w:eastAsia="Arial" w:hAnsi="Arial"/>
                <w:sz w:val="18"/>
                <w:szCs w:val="18"/>
                <w:b w:val="1"/>
                <w:bCs w:val="1"/>
                <w:color w:val="auto"/>
                <w:w w:val="90"/>
              </w:rPr>
              <w:t>1Q20</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w:t>
            </w:r>
          </w:p>
        </w:tc>
        <w:tc>
          <w:tcPr>
            <w:tcW w:w="16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57.0%</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w:t>
            </w:r>
          </w:p>
        </w:tc>
        <w:tc>
          <w:tcPr>
            <w:tcW w:w="1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40.6%</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w:t>
            </w:r>
          </w:p>
        </w:tc>
      </w:tr>
      <w:tr>
        <w:trPr>
          <w:trHeight w:val="213"/>
        </w:trPr>
        <w:tc>
          <w:tcPr>
            <w:tcW w:w="1380" w:type="dxa"/>
            <w:vAlign w:val="bottom"/>
          </w:tcPr>
          <w:p>
            <w:pPr>
              <w:jc w:val="center"/>
              <w:ind w:right="11"/>
              <w:spacing w:after="0"/>
              <w:rPr>
                <w:sz w:val="20"/>
                <w:szCs w:val="20"/>
                <w:color w:val="auto"/>
              </w:rPr>
            </w:pPr>
            <w:r>
              <w:rPr>
                <w:rFonts w:ascii="Arial" w:cs="Arial" w:eastAsia="Arial" w:hAnsi="Arial"/>
                <w:sz w:val="18"/>
                <w:szCs w:val="18"/>
                <w:b w:val="1"/>
                <w:bCs w:val="1"/>
                <w:color w:val="auto"/>
                <w:w w:val="92"/>
              </w:rPr>
              <w:t>Var. QoQ</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-500bps</w:t>
            </w:r>
          </w:p>
        </w:tc>
        <w:tc>
          <w:tcPr>
            <w:tcW w:w="1660" w:type="dxa"/>
            <w:vAlign w:val="bottom"/>
            <w:gridSpan w:val="2"/>
          </w:tcPr>
          <w:p>
            <w:pPr>
              <w:ind w:left="960"/>
              <w:spacing w:after="0"/>
              <w:rPr>
                <w:sz w:val="20"/>
                <w:szCs w:val="20"/>
                <w:color w:val="auto"/>
              </w:rPr>
            </w:pPr>
            <w:r>
              <w:rPr>
                <w:rFonts w:ascii="Arial" w:cs="Arial" w:eastAsia="Arial" w:hAnsi="Arial"/>
                <w:sz w:val="18"/>
                <w:szCs w:val="18"/>
                <w:b w:val="1"/>
                <w:bCs w:val="1"/>
                <w:color w:val="auto"/>
                <w:w w:val="99"/>
              </w:rPr>
              <w:t>-310bps</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200bps</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-320bps</w:t>
            </w:r>
          </w:p>
        </w:tc>
        <w:tc>
          <w:tcPr>
            <w:tcW w:w="1600" w:type="dxa"/>
            <w:vAlign w:val="bottom"/>
            <w:gridSpan w:val="2"/>
          </w:tcPr>
          <w:p>
            <w:pPr>
              <w:ind w:left="860"/>
              <w:spacing w:after="0"/>
              <w:rPr>
                <w:sz w:val="20"/>
                <w:szCs w:val="20"/>
                <w:color w:val="auto"/>
              </w:rPr>
            </w:pPr>
            <w:r>
              <w:rPr>
                <w:rFonts w:ascii="Arial" w:cs="Arial" w:eastAsia="Arial" w:hAnsi="Arial"/>
                <w:sz w:val="18"/>
                <w:szCs w:val="18"/>
                <w:b w:val="1"/>
                <w:bCs w:val="1"/>
                <w:color w:val="auto"/>
              </w:rPr>
              <w:t>-450bps</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-230bps</w:t>
            </w:r>
          </w:p>
        </w:tc>
      </w:tr>
      <w:tr>
        <w:trPr>
          <w:trHeight w:val="213"/>
        </w:trPr>
        <w:tc>
          <w:tcPr>
            <w:tcW w:w="1380" w:type="dxa"/>
            <w:vAlign w:val="bottom"/>
            <w:shd w:val="clear" w:color="auto" w:fill="CCEEFF"/>
          </w:tcPr>
          <w:p>
            <w:pPr>
              <w:jc w:val="center"/>
              <w:ind w:right="11"/>
              <w:spacing w:after="0"/>
              <w:rPr>
                <w:sz w:val="20"/>
                <w:szCs w:val="20"/>
                <w:color w:val="auto"/>
              </w:rPr>
            </w:pPr>
            <w:r>
              <w:rPr>
                <w:rFonts w:ascii="Arial" w:cs="Arial" w:eastAsia="Arial" w:hAnsi="Arial"/>
                <w:sz w:val="18"/>
                <w:szCs w:val="18"/>
                <w:b w:val="1"/>
                <w:bCs w:val="1"/>
                <w:color w:val="auto"/>
                <w:w w:val="91"/>
              </w:rPr>
              <w:t>Var. YoY</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70bps</w:t>
            </w:r>
          </w:p>
        </w:tc>
        <w:tc>
          <w:tcPr>
            <w:tcW w:w="166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w w:val="99"/>
              </w:rPr>
              <w:t>-480bps</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340bps</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250bps</w:t>
            </w:r>
          </w:p>
        </w:tc>
        <w:tc>
          <w:tcPr>
            <w:tcW w:w="160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-100bps</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100bps</w:t>
            </w:r>
          </w:p>
        </w:tc>
      </w:tr>
    </w:tbl>
    <w:p>
      <w:pPr>
        <w:spacing w:after="0" w:line="199" w:lineRule="exact"/>
        <w:rPr>
          <w:sz w:val="20"/>
          <w:szCs w:val="20"/>
          <w:color w:val="auto"/>
        </w:rPr>
      </w:pPr>
    </w:p>
    <w:p>
      <w:pPr>
        <w:jc w:val="both"/>
        <w:ind w:firstLine="7"/>
        <w:spacing w:after="0" w:line="252" w:lineRule="auto"/>
        <w:tabs>
          <w:tab w:leader="none" w:pos="278"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(Salaries and employee’s benefits + Administrative, general and tax expenses + Depreciation and amortization + Acquisition cost + Association in participation) / (Net interest income + Fee income + Net gain on foreign exchange transactions + Net gain from associates + Net gain on derivatives held for trading + Result on exchange differences + Net premiums earned).</w:t>
      </w:r>
    </w:p>
    <w:p>
      <w:pPr>
        <w:spacing w:after="0" w:line="1" w:lineRule="exact"/>
        <w:rPr>
          <w:rFonts w:ascii="Arial" w:cs="Arial" w:eastAsia="Arial" w:hAnsi="Arial"/>
          <w:sz w:val="18"/>
          <w:szCs w:val="18"/>
          <w:color w:val="auto"/>
        </w:rPr>
      </w:pPr>
    </w:p>
    <w:p>
      <w:pPr>
        <w:ind w:left="260" w:hanging="253"/>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efficiency ratio differs from previously reported, please consider the data presented on this report.</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 the QoQ analysis, the improvement in the efficiency ratio was attributable to a seasonal effect on operating expenses. As such, the YoY analysis provides a clearer picture of the business’s result.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contribution of each subsidiary to the evolution of the efficiency ratio YoY.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151130</wp:posOffset>
            </wp:positionV>
            <wp:extent cx="5600065" cy="15843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0065" cy="158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firstLine="7"/>
        <w:spacing w:after="0" w:line="270" w:lineRule="auto"/>
        <w:tabs>
          <w:tab w:leader="none" w:pos="277"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Others includes: Credicorp Capital, Prima AFP, BCP Bolivia, ASB, Grupo Credito, among other subsidiaries and the eliminations for consolidation purposes.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efficiency deteriorated 100 bps, which was attributable to:</w:t>
      </w:r>
    </w:p>
    <w:p>
      <w:pPr>
        <w:spacing w:after="0" w:line="220" w:lineRule="exact"/>
        <w:rPr>
          <w:sz w:val="20"/>
          <w:szCs w:val="20"/>
          <w:color w:val="auto"/>
        </w:rPr>
      </w:pPr>
    </w:p>
    <w:p>
      <w:pPr>
        <w:jc w:val="both"/>
        <w:ind w:left="880" w:hanging="500"/>
        <w:spacing w:after="0" w:line="255"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incorporation of Bancompartir, which was included in the balance sheet since December 2019 within the Microfinance business line. This subsidiary contributed 50 bps to total deterioration given that more than 2,000 employees were added to Credicorp’s payroll after the acquisition. The aforementioned was not offset by the net interest income at Bancocompartir. Mibanco also registered slight deterioration, which was mainly attributable to on-going increases in headcount in 2019;</w:t>
      </w:r>
    </w:p>
    <w:p>
      <w:pPr>
        <w:spacing w:after="0" w:line="187" w:lineRule="exact"/>
        <w:rPr>
          <w:rFonts w:ascii="Arial" w:cs="Arial" w:eastAsia="Arial" w:hAnsi="Arial"/>
          <w:sz w:val="18"/>
          <w:szCs w:val="18"/>
          <w:color w:val="auto"/>
        </w:rPr>
      </w:pPr>
    </w:p>
    <w:p>
      <w:pPr>
        <w:jc w:val="both"/>
        <w:ind w:left="880" w:hanging="500"/>
        <w:spacing w:after="0" w:line="296" w:lineRule="auto"/>
        <w:tabs>
          <w:tab w:leader="none" w:pos="8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BCP Stand-alone registered an increase in administrative and general expenses, which was mainly attributable to payments to renew licenses for software programs and to higher marketing expenses for advertising campaigns through digital channels. Additionally, the expense for salaries and employee benefits increased due to growth in the headcount in 2019 and to a transportation bonus to help personnel reach branches during the quarantine. The aforementioned was attenuated by an increase in net interest income, in line with growth in average daily balances; and</w:t>
      </w:r>
    </w:p>
    <w:p>
      <w:pPr>
        <w:spacing w:after="0" w:line="159" w:lineRule="exact"/>
        <w:rPr>
          <w:rFonts w:ascii="Arial" w:cs="Arial" w:eastAsia="Arial" w:hAnsi="Arial"/>
          <w:sz w:val="16"/>
          <w:szCs w:val="16"/>
          <w:color w:val="auto"/>
        </w:rPr>
      </w:pPr>
    </w:p>
    <w:p>
      <w:pPr>
        <w:jc w:val="both"/>
        <w:ind w:left="880" w:hanging="500"/>
        <w:spacing w:after="0" w:line="258"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Grupo Pacifico, which was attributable to an increase in the acquisition cost in the life business due to growth in sales of D&amp;S policies through the alliance channel and in the P&amp;C business due to the reimbursement of 50% of the premiums for car insurance for some clients for the months of March and April.</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b w:val="1"/>
                <w:bCs w:val="1"/>
                <w:color w:val="auto"/>
              </w:rPr>
              <w:t>8.</w:t>
            </w:r>
          </w:p>
        </w:tc>
        <w:tc>
          <w:tcPr>
            <w:tcW w:w="4740" w:type="dxa"/>
            <w:vAlign w:val="bottom"/>
            <w:gridSpan w:val="2"/>
          </w:tcPr>
          <w:p>
            <w:pPr>
              <w:ind w:left="20"/>
              <w:spacing w:after="0"/>
              <w:rPr>
                <w:sz w:val="20"/>
                <w:szCs w:val="20"/>
                <w:color w:val="auto"/>
              </w:rPr>
            </w:pPr>
            <w:r>
              <w:rPr>
                <w:rFonts w:ascii="Arial" w:cs="Arial" w:eastAsia="Arial" w:hAnsi="Arial"/>
                <w:sz w:val="18"/>
                <w:szCs w:val="18"/>
                <w:b w:val="1"/>
                <w:bCs w:val="1"/>
                <w:color w:val="auto"/>
              </w:rPr>
              <w:t>Regulatory Capital</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8.1. Regulatory Capital – BAP</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3"/>
        </w:trPr>
        <w:tc>
          <w:tcPr>
            <w:tcW w:w="5180" w:type="dxa"/>
            <w:vAlign w:val="bottom"/>
            <w:gridSpan w:val="3"/>
          </w:tcPr>
          <w:p>
            <w:pPr>
              <w:spacing w:after="0"/>
              <w:rPr>
                <w:sz w:val="20"/>
                <w:szCs w:val="20"/>
                <w:color w:val="auto"/>
              </w:rPr>
            </w:pPr>
            <w:r>
              <w:rPr>
                <w:rFonts w:ascii="Arial" w:cs="Arial" w:eastAsia="Arial" w:hAnsi="Arial"/>
                <w:sz w:val="16"/>
                <w:szCs w:val="16"/>
                <w:b w:val="1"/>
                <w:bCs w:val="1"/>
                <w:color w:val="auto"/>
              </w:rPr>
              <w:t>Regulatory Capital and Capital Adequacy Ratios</w:t>
            </w: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As of</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 Change</w:t>
            </w: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0"/>
              </w:rPr>
              <w:t>S/ 000</w:t>
            </w:r>
          </w:p>
        </w:tc>
        <w:tc>
          <w:tcPr>
            <w:tcW w:w="4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1Q19</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4Q19</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1Q20</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8"/>
                <w:szCs w:val="18"/>
                <w:color w:val="auto"/>
              </w:rPr>
            </w:pPr>
          </w:p>
        </w:tc>
      </w:tr>
      <w:tr>
        <w:trPr>
          <w:trHeight w:val="196"/>
        </w:trPr>
        <w:tc>
          <w:tcPr>
            <w:tcW w:w="5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 Stock</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1,318,993</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1,318,993</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1,318,993</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00"/>
        </w:trPr>
        <w:tc>
          <w:tcPr>
            <w:tcW w:w="5180" w:type="dxa"/>
            <w:vAlign w:val="bottom"/>
            <w:gridSpan w:val="3"/>
          </w:tcPr>
          <w:p>
            <w:pPr>
              <w:spacing w:after="0"/>
              <w:rPr>
                <w:sz w:val="20"/>
                <w:szCs w:val="20"/>
                <w:color w:val="auto"/>
              </w:rPr>
            </w:pPr>
            <w:r>
              <w:rPr>
                <w:rFonts w:ascii="Arial" w:cs="Arial" w:eastAsia="Arial" w:hAnsi="Arial"/>
                <w:sz w:val="16"/>
                <w:szCs w:val="16"/>
                <w:color w:val="auto"/>
              </w:rPr>
              <w:t>Treasury Stocks</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(207,897)</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(207,839)</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(209,309)</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0.7%</w:t>
            </w:r>
          </w:p>
        </w:tc>
        <w:tc>
          <w:tcPr>
            <w:tcW w:w="3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0.7%</w:t>
            </w:r>
          </w:p>
        </w:tc>
      </w:tr>
      <w:tr>
        <w:trPr>
          <w:trHeight w:val="200"/>
        </w:trPr>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Capital Surplus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222,349</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226,037</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165,188</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-26.9%</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40"/>
        </w:trPr>
        <w:tc>
          <w:tcPr>
            <w:tcW w:w="5180" w:type="dxa"/>
            <w:vAlign w:val="bottom"/>
            <w:gridSpan w:val="3"/>
          </w:tcPr>
          <w:p>
            <w:pPr>
              <w:spacing w:after="0" w:line="240" w:lineRule="exact"/>
              <w:rPr>
                <w:sz w:val="20"/>
                <w:szCs w:val="20"/>
                <w:color w:val="auto"/>
              </w:rPr>
            </w:pPr>
            <w:r>
              <w:rPr>
                <w:rFonts w:ascii="Arial" w:cs="Arial" w:eastAsia="Arial" w:hAnsi="Arial"/>
                <w:sz w:val="16"/>
                <w:szCs w:val="16"/>
                <w:color w:val="auto"/>
              </w:rPr>
              <w:t xml:space="preserve">Legaland Other capital reserves </w:t>
            </w:r>
            <w:r>
              <w:rPr>
                <w:rFonts w:ascii="Arial" w:cs="Arial" w:eastAsia="Arial" w:hAnsi="Arial"/>
                <w:sz w:val="26"/>
                <w:szCs w:val="26"/>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6"/>
                <w:szCs w:val="16"/>
                <w:color w:val="auto"/>
              </w:rPr>
              <w:t>19,408,876</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19,437,645</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21,360,272</w:t>
            </w:r>
          </w:p>
        </w:tc>
        <w:tc>
          <w:tcPr>
            <w:tcW w:w="2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9.9%</w:t>
            </w:r>
          </w:p>
        </w:tc>
        <w:tc>
          <w:tcPr>
            <w:tcW w:w="3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10.1%</w:t>
            </w:r>
          </w:p>
        </w:tc>
      </w:tr>
      <w:tr>
        <w:trPr>
          <w:trHeight w:val="240"/>
        </w:trPr>
        <w:tc>
          <w:tcPr>
            <w:tcW w:w="5180" w:type="dxa"/>
            <w:vAlign w:val="bottom"/>
            <w:gridSpan w:val="3"/>
            <w:shd w:val="clear" w:color="auto" w:fill="CCEEFF"/>
          </w:tcPr>
          <w:p>
            <w:pPr>
              <w:spacing w:after="0" w:line="240" w:lineRule="exact"/>
              <w:rPr>
                <w:sz w:val="20"/>
                <w:szCs w:val="20"/>
                <w:color w:val="auto"/>
              </w:rPr>
            </w:pPr>
            <w:r>
              <w:rPr>
                <w:rFonts w:ascii="Arial" w:cs="Arial" w:eastAsia="Arial" w:hAnsi="Arial"/>
                <w:sz w:val="16"/>
                <w:szCs w:val="16"/>
                <w:color w:val="auto"/>
              </w:rPr>
              <w:t xml:space="preserve">Minority interest </w:t>
            </w:r>
            <w:r>
              <w:rPr>
                <w:rFonts w:ascii="Arial" w:cs="Arial" w:eastAsia="Arial" w:hAnsi="Arial"/>
                <w:sz w:val="26"/>
                <w:szCs w:val="26"/>
                <w:color w:val="auto"/>
                <w:vertAlign w:val="superscript"/>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357,833</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393,019</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386,326</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40"/>
        </w:trPr>
        <w:tc>
          <w:tcPr>
            <w:tcW w:w="5180" w:type="dxa"/>
            <w:vAlign w:val="bottom"/>
            <w:gridSpan w:val="3"/>
          </w:tcPr>
          <w:p>
            <w:pPr>
              <w:spacing w:after="0" w:line="240" w:lineRule="exact"/>
              <w:rPr>
                <w:sz w:val="20"/>
                <w:szCs w:val="20"/>
                <w:color w:val="auto"/>
              </w:rPr>
            </w:pPr>
            <w:r>
              <w:rPr>
                <w:rFonts w:ascii="Arial" w:cs="Arial" w:eastAsia="Arial" w:hAnsi="Arial"/>
                <w:sz w:val="16"/>
                <w:szCs w:val="16"/>
                <w:color w:val="auto"/>
              </w:rPr>
              <w:t xml:space="preserve">Loan loss reserves </w:t>
            </w:r>
            <w:r>
              <w:rPr>
                <w:rFonts w:ascii="Arial" w:cs="Arial" w:eastAsia="Arial" w:hAnsi="Arial"/>
                <w:sz w:val="26"/>
                <w:szCs w:val="26"/>
                <w:color w:val="auto"/>
                <w:vertAlign w:val="superscript"/>
              </w:rPr>
              <w:t>(3)</w:t>
            </w:r>
          </w:p>
        </w:tc>
        <w:tc>
          <w:tcPr>
            <w:tcW w:w="1000" w:type="dxa"/>
            <w:vAlign w:val="bottom"/>
          </w:tcPr>
          <w:p>
            <w:pPr>
              <w:jc w:val="right"/>
              <w:spacing w:after="0"/>
              <w:rPr>
                <w:sz w:val="20"/>
                <w:szCs w:val="20"/>
                <w:color w:val="auto"/>
              </w:rPr>
            </w:pPr>
            <w:r>
              <w:rPr>
                <w:rFonts w:ascii="Arial" w:cs="Arial" w:eastAsia="Arial" w:hAnsi="Arial"/>
                <w:sz w:val="16"/>
                <w:szCs w:val="16"/>
                <w:color w:val="auto"/>
              </w:rPr>
              <w:t>1,575,966</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1,690,510</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1,728,836</w:t>
            </w:r>
          </w:p>
        </w:tc>
        <w:tc>
          <w:tcPr>
            <w:tcW w:w="2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9.7%</w:t>
            </w:r>
          </w:p>
        </w:tc>
      </w:tr>
      <w:tr>
        <w:trPr>
          <w:trHeight w:val="200"/>
        </w:trPr>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Perpetuals ubordinated debt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580,650</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0"/>
        </w:trPr>
        <w:tc>
          <w:tcPr>
            <w:tcW w:w="5180" w:type="dxa"/>
            <w:vAlign w:val="bottom"/>
            <w:gridSpan w:val="3"/>
          </w:tcPr>
          <w:p>
            <w:pPr>
              <w:spacing w:after="0"/>
              <w:rPr>
                <w:sz w:val="20"/>
                <w:szCs w:val="20"/>
                <w:color w:val="auto"/>
              </w:rPr>
            </w:pPr>
            <w:r>
              <w:rPr>
                <w:rFonts w:ascii="Arial" w:cs="Arial" w:eastAsia="Arial" w:hAnsi="Arial"/>
                <w:sz w:val="16"/>
                <w:szCs w:val="16"/>
                <w:color w:val="auto"/>
              </w:rPr>
              <w:t>Subordinated Debt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4,777,811</w:t>
            </w:r>
          </w:p>
        </w:tc>
        <w:tc>
          <w:tcPr>
            <w:tcW w:w="1000" w:type="dxa"/>
            <w:vAlign w:val="bottom"/>
          </w:tcPr>
          <w:p>
            <w:pPr>
              <w:jc w:val="right"/>
              <w:spacing w:after="0"/>
              <w:rPr>
                <w:sz w:val="20"/>
                <w:szCs w:val="20"/>
                <w:color w:val="auto"/>
              </w:rPr>
            </w:pPr>
            <w:r>
              <w:rPr>
                <w:rFonts w:ascii="Arial" w:cs="Arial" w:eastAsia="Arial" w:hAnsi="Arial"/>
                <w:sz w:val="16"/>
                <w:szCs w:val="16"/>
                <w:color w:val="auto"/>
              </w:rPr>
              <w:t>4,409,840</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4,568,131</w:t>
            </w:r>
          </w:p>
        </w:tc>
        <w:tc>
          <w:tcPr>
            <w:tcW w:w="2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-4.4%</w:t>
            </w:r>
          </w:p>
        </w:tc>
      </w:tr>
      <w:tr>
        <w:trPr>
          <w:trHeight w:val="190"/>
        </w:trPr>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Investments in equity and subordinated debt of financial and insurance</w:t>
            </w: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0"/>
        </w:trPr>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companies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(615,275)</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(700,859)</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(630,805)</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0"/>
        </w:trPr>
        <w:tc>
          <w:tcPr>
            <w:tcW w:w="518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(602,485)</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(834,881)</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(819,338)</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36.0%</w:t>
            </w:r>
          </w:p>
        </w:tc>
      </w:tr>
      <w:tr>
        <w:trPr>
          <w:trHeight w:val="240"/>
        </w:trPr>
        <w:tc>
          <w:tcPr>
            <w:tcW w:w="5180" w:type="dxa"/>
            <w:vAlign w:val="bottom"/>
            <w:gridSpan w:val="3"/>
            <w:shd w:val="clear" w:color="auto" w:fill="CCEEFF"/>
          </w:tcPr>
          <w:p>
            <w:pPr>
              <w:spacing w:after="0" w:line="240" w:lineRule="exact"/>
              <w:rPr>
                <w:sz w:val="20"/>
                <w:szCs w:val="20"/>
                <w:color w:val="auto"/>
              </w:rPr>
            </w:pPr>
            <w:r>
              <w:rPr>
                <w:rFonts w:ascii="Arial" w:cs="Arial" w:eastAsia="Arial" w:hAnsi="Arial"/>
                <w:sz w:val="16"/>
                <w:szCs w:val="16"/>
                <w:color w:val="auto"/>
                <w:w w:val="93"/>
              </w:rPr>
              <w:t xml:space="preserve">Deduction for subordinated debt limit (50% of Tier 1 excluding deductions) </w:t>
            </w:r>
            <w:r>
              <w:rPr>
                <w:rFonts w:ascii="Arial" w:cs="Arial" w:eastAsia="Arial" w:hAnsi="Arial"/>
                <w:sz w:val="26"/>
                <w:szCs w:val="26"/>
                <w:color w:val="auto"/>
                <w:w w:val="93"/>
                <w:vertAlign w:val="superscript"/>
              </w:rPr>
              <w:t>(4)</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54"/>
        </w:trPr>
        <w:tc>
          <w:tcPr>
            <w:tcW w:w="5180" w:type="dxa"/>
            <w:vAlign w:val="bottom"/>
            <w:gridSpan w:val="3"/>
          </w:tcPr>
          <w:p>
            <w:pPr>
              <w:spacing w:after="0" w:line="253" w:lineRule="exact"/>
              <w:rPr>
                <w:sz w:val="20"/>
                <w:szCs w:val="20"/>
                <w:color w:val="auto"/>
              </w:rPr>
            </w:pPr>
            <w:r>
              <w:rPr>
                <w:rFonts w:ascii="Arial" w:cs="Arial" w:eastAsia="Arial" w:hAnsi="Arial"/>
                <w:sz w:val="16"/>
                <w:szCs w:val="16"/>
                <w:color w:val="auto"/>
              </w:rPr>
              <w:t xml:space="preserve">Deduction for Tier 1 Limit 50% of Regulatory capital </w:t>
            </w:r>
            <w:r>
              <w:rPr>
                <w:rFonts w:ascii="Arial" w:cs="Arial" w:eastAsia="Arial" w:hAnsi="Arial"/>
                <w:sz w:val="26"/>
                <w:szCs w:val="26"/>
                <w:color w:val="auto"/>
                <w:vertAlign w:val="superscript"/>
              </w:rPr>
              <w:t>(4)</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93"/>
        </w:trPr>
        <w:tc>
          <w:tcPr>
            <w:tcW w:w="51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Total Regulatory Capital (A)</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28,816,810</w:t>
            </w: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25,732,465</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27,868,293</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w:t>
            </w:r>
          </w:p>
        </w:tc>
        <w:tc>
          <w:tcPr>
            <w:tcW w:w="2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8"/>
              </w:rPr>
              <w:t>%</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r>
      <w:tr>
        <w:trPr>
          <w:trHeight w:val="220"/>
        </w:trPr>
        <w:tc>
          <w:tcPr>
            <w:tcW w:w="5180" w:type="dxa"/>
            <w:vAlign w:val="bottom"/>
            <w:gridSpan w:val="3"/>
          </w:tcPr>
          <w:p>
            <w:pPr>
              <w:spacing w:after="0" w:line="220" w:lineRule="exact"/>
              <w:rPr>
                <w:sz w:val="20"/>
                <w:szCs w:val="20"/>
                <w:color w:val="auto"/>
              </w:rPr>
            </w:pPr>
            <w:r>
              <w:rPr>
                <w:rFonts w:ascii="Arial" w:cs="Arial" w:eastAsia="Arial" w:hAnsi="Arial"/>
                <w:sz w:val="16"/>
                <w:szCs w:val="16"/>
                <w:color w:val="auto"/>
              </w:rPr>
              <w:t xml:space="preserve">Tier 1 </w:t>
            </w:r>
            <w:r>
              <w:rPr>
                <w:rFonts w:ascii="Arial" w:cs="Arial" w:eastAsia="Arial" w:hAnsi="Arial"/>
                <w:sz w:val="25"/>
                <w:szCs w:val="25"/>
                <w:color w:val="auto"/>
                <w:vertAlign w:val="superscript"/>
              </w:rPr>
              <w:t>(5)</w:t>
            </w:r>
          </w:p>
        </w:tc>
        <w:tc>
          <w:tcPr>
            <w:tcW w:w="1000" w:type="dxa"/>
            <w:vAlign w:val="bottom"/>
          </w:tcPr>
          <w:p>
            <w:pPr>
              <w:jc w:val="right"/>
              <w:spacing w:after="0"/>
              <w:rPr>
                <w:sz w:val="20"/>
                <w:szCs w:val="20"/>
                <w:color w:val="auto"/>
              </w:rPr>
            </w:pPr>
            <w:r>
              <w:rPr>
                <w:rFonts w:ascii="Arial" w:cs="Arial" w:eastAsia="Arial" w:hAnsi="Arial"/>
                <w:sz w:val="16"/>
                <w:szCs w:val="16"/>
                <w:color w:val="auto"/>
              </w:rPr>
              <w:t>14,827,121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14,010,215</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15,271,385</w:t>
            </w:r>
          </w:p>
        </w:tc>
        <w:tc>
          <w:tcPr>
            <w:tcW w:w="2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9.08%</w:t>
            </w:r>
          </w:p>
        </w:tc>
        <w:tc>
          <w:tcPr>
            <w:tcW w:w="3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3.0%</w:t>
            </w:r>
          </w:p>
        </w:tc>
      </w:tr>
      <w:tr>
        <w:trPr>
          <w:trHeight w:val="240"/>
        </w:trPr>
        <w:tc>
          <w:tcPr>
            <w:tcW w:w="5180" w:type="dxa"/>
            <w:vAlign w:val="bottom"/>
            <w:gridSpan w:val="3"/>
            <w:shd w:val="clear" w:color="auto" w:fill="CCEEFF"/>
          </w:tcPr>
          <w:p>
            <w:pPr>
              <w:spacing w:after="0" w:line="240" w:lineRule="exact"/>
              <w:rPr>
                <w:sz w:val="20"/>
                <w:szCs w:val="20"/>
                <w:color w:val="auto"/>
              </w:rPr>
            </w:pPr>
            <w:r>
              <w:rPr>
                <w:rFonts w:ascii="Arial" w:cs="Arial" w:eastAsia="Arial" w:hAnsi="Arial"/>
                <w:sz w:val="16"/>
                <w:szCs w:val="16"/>
                <w:color w:val="auto"/>
              </w:rPr>
              <w:t xml:space="preserve">Tier 2 </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 Tier </w:t>
            </w:r>
            <w:r>
              <w:rPr>
                <w:rFonts w:ascii="Arial" w:cs="Arial" w:eastAsia="Arial" w:hAnsi="Arial"/>
                <w:sz w:val="26"/>
                <w:szCs w:val="26"/>
                <w:color w:val="auto"/>
                <w:vertAlign w:val="superscript"/>
              </w:rPr>
              <w:t>(7)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11,989,689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11,722,249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12,596,929</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w:t>
            </w: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40"/>
        </w:trPr>
        <w:tc>
          <w:tcPr>
            <w:tcW w:w="5180" w:type="dxa"/>
            <w:vAlign w:val="bottom"/>
            <w:gridSpan w:val="3"/>
          </w:tcPr>
          <w:p>
            <w:pPr>
              <w:spacing w:after="0" w:line="240" w:lineRule="exact"/>
              <w:rPr>
                <w:sz w:val="20"/>
                <w:szCs w:val="20"/>
                <w:color w:val="auto"/>
              </w:rPr>
            </w:pPr>
            <w:r>
              <w:rPr>
                <w:rFonts w:ascii="Arial" w:cs="Arial" w:eastAsia="Arial" w:hAnsi="Arial"/>
                <w:sz w:val="16"/>
                <w:szCs w:val="16"/>
                <w:color w:val="auto"/>
                <w:w w:val="99"/>
              </w:rPr>
              <w:t xml:space="preserve">Financial Consolidated Group (FCG) Regulatory Capital Requirement </w:t>
            </w:r>
            <w:r>
              <w:rPr>
                <w:rFonts w:ascii="Arial" w:cs="Arial" w:eastAsia="Arial" w:hAnsi="Arial"/>
                <w:sz w:val="26"/>
                <w:szCs w:val="26"/>
                <w:color w:val="auto"/>
                <w:w w:val="99"/>
                <w:vertAlign w:val="superscript"/>
              </w:rPr>
              <w:t>(8)</w:t>
            </w:r>
          </w:p>
        </w:tc>
        <w:tc>
          <w:tcPr>
            <w:tcW w:w="1000" w:type="dxa"/>
            <w:vAlign w:val="bottom"/>
          </w:tcPr>
          <w:p>
            <w:pPr>
              <w:jc w:val="right"/>
              <w:spacing w:after="0"/>
              <w:rPr>
                <w:sz w:val="20"/>
                <w:szCs w:val="20"/>
                <w:color w:val="auto"/>
              </w:rPr>
            </w:pPr>
            <w:r>
              <w:rPr>
                <w:rFonts w:ascii="Arial" w:cs="Arial" w:eastAsia="Arial" w:hAnsi="Arial"/>
                <w:sz w:val="16"/>
                <w:szCs w:val="16"/>
                <w:color w:val="auto"/>
              </w:rPr>
              <w:t>19,595,889</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20,750,935</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19,925,877</w:t>
            </w:r>
          </w:p>
        </w:tc>
        <w:tc>
          <w:tcPr>
            <w:tcW w:w="2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-4.0%</w:t>
            </w:r>
          </w:p>
        </w:tc>
        <w:tc>
          <w:tcPr>
            <w:tcW w:w="3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40"/>
        </w:trPr>
        <w:tc>
          <w:tcPr>
            <w:tcW w:w="5180" w:type="dxa"/>
            <w:vAlign w:val="bottom"/>
            <w:gridSpan w:val="3"/>
            <w:shd w:val="clear" w:color="auto" w:fill="CCEEFF"/>
          </w:tcPr>
          <w:p>
            <w:pPr>
              <w:spacing w:after="0" w:line="240" w:lineRule="exact"/>
              <w:rPr>
                <w:sz w:val="20"/>
                <w:szCs w:val="20"/>
                <w:color w:val="auto"/>
              </w:rPr>
            </w:pPr>
            <w:r>
              <w:rPr>
                <w:rFonts w:ascii="Arial" w:cs="Arial" w:eastAsia="Arial" w:hAnsi="Arial"/>
                <w:sz w:val="16"/>
                <w:szCs w:val="16"/>
                <w:color w:val="auto"/>
              </w:rPr>
              <w:t xml:space="preserve">Insurance Consoldated Group (CG) Captal Requirements </w:t>
            </w:r>
            <w:r>
              <w:rPr>
                <w:rFonts w:ascii="Arial" w:cs="Arial" w:eastAsia="Arial" w:hAnsi="Arial"/>
                <w:sz w:val="26"/>
                <w:szCs w:val="26"/>
                <w:color w:val="auto"/>
                <w:vertAlign w:val="superscript"/>
              </w:rPr>
              <w:t>(9)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1,019,984</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1,199,850</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1243,035</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w:t>
            </w: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00"/>
        </w:trPr>
        <w:tc>
          <w:tcPr>
            <w:tcW w:w="5180" w:type="dxa"/>
            <w:vAlign w:val="bottom"/>
            <w:gridSpan w:val="3"/>
          </w:tcPr>
          <w:p>
            <w:pPr>
              <w:spacing w:after="0"/>
              <w:rPr>
                <w:sz w:val="20"/>
                <w:szCs w:val="20"/>
                <w:color w:val="auto"/>
              </w:rPr>
            </w:pPr>
            <w:r>
              <w:rPr>
                <w:rFonts w:ascii="Arial" w:cs="Arial" w:eastAsia="Arial" w:hAnsi="Arial"/>
                <w:sz w:val="16"/>
                <w:szCs w:val="16"/>
                <w:color w:val="auto"/>
              </w:rPr>
              <w:t>FCG Capital Requirements rebted to operations with ICG</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(216,360)</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(329,262)</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(503,013)</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52.8%</w:t>
            </w:r>
          </w:p>
        </w:tc>
        <w:tc>
          <w:tcPr>
            <w:tcW w:w="3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132.5%</w:t>
            </w:r>
          </w:p>
        </w:tc>
      </w:tr>
      <w:tr>
        <w:trPr>
          <w:trHeight w:val="213"/>
        </w:trPr>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CG Capital Requirements related to operations with FCG</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93"/>
        </w:trPr>
        <w:tc>
          <w:tcPr>
            <w:tcW w:w="518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b w:val="1"/>
                <w:bCs w:val="1"/>
                <w:color w:val="auto"/>
              </w:rPr>
              <w:t>Total Regulatory Capital Requirements (B)</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20,399,513</w:t>
            </w:r>
          </w:p>
        </w:tc>
        <w:tc>
          <w:tcPr>
            <w:tcW w:w="20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21,621,522</w:t>
            </w:r>
          </w:p>
        </w:tc>
        <w:tc>
          <w:tcPr>
            <w:tcW w:w="22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20,665,899</w:t>
            </w:r>
          </w:p>
        </w:tc>
        <w:tc>
          <w:tcPr>
            <w:tcW w:w="22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w:t>
            </w:r>
          </w:p>
        </w:tc>
        <w:tc>
          <w:tcPr>
            <w:tcW w:w="2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w w:val="98"/>
              </w:rPr>
              <w:t>%</w:t>
            </w:r>
          </w:p>
        </w:tc>
        <w:tc>
          <w:tcPr>
            <w:tcW w:w="3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98"/>
              </w:rPr>
              <w:t>%</w:t>
            </w:r>
          </w:p>
        </w:tc>
      </w:tr>
      <w:tr>
        <w:trPr>
          <w:trHeight w:val="193"/>
        </w:trPr>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Regulatory Capital Ratio (A) / (B)</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w:t>
            </w:r>
          </w:p>
        </w:tc>
        <w:tc>
          <w:tcPr>
            <w:tcW w:w="2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w:t>
            </w:r>
          </w:p>
        </w:tc>
        <w:tc>
          <w:tcPr>
            <w:tcW w:w="2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5180" w:type="dxa"/>
            <w:vAlign w:val="bottom"/>
            <w:gridSpan w:val="3"/>
          </w:tcPr>
          <w:p>
            <w:pPr>
              <w:spacing w:after="0" w:line="233" w:lineRule="exact"/>
              <w:rPr>
                <w:sz w:val="20"/>
                <w:szCs w:val="20"/>
                <w:color w:val="auto"/>
              </w:rPr>
            </w:pPr>
            <w:r>
              <w:rPr>
                <w:rFonts w:ascii="Arial" w:cs="Arial" w:eastAsia="Arial" w:hAnsi="Arial"/>
                <w:sz w:val="16"/>
                <w:szCs w:val="16"/>
                <w:b w:val="1"/>
                <w:bCs w:val="1"/>
                <w:color w:val="auto"/>
              </w:rPr>
              <w:t xml:space="preserve">Required Regulatory Capital Ratio </w:t>
            </w:r>
            <w:r>
              <w:rPr>
                <w:rFonts w:ascii="Arial" w:cs="Arial" w:eastAsia="Arial" w:hAnsi="Arial"/>
                <w:sz w:val="26"/>
                <w:szCs w:val="26"/>
                <w:b w:val="1"/>
                <w:bCs w:val="1"/>
                <w:color w:val="auto"/>
                <w:vertAlign w:val="superscript"/>
              </w:rPr>
              <w:t>(10)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9" w:lineRule="exact"/>
        <w:rPr>
          <w:sz w:val="20"/>
          <w:szCs w:val="20"/>
          <w:color w:val="auto"/>
        </w:rPr>
      </w:pPr>
    </w:p>
    <w:p>
      <w:pPr>
        <w:ind w:left="260" w:hanging="253"/>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Legal and other capital reserves include restricted capital reserves (S/ 14,745 million) and optional capital reserves (S/ 6,615 million).</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Minority interest includes Tier I (S/ 386 million)</w:t>
      </w:r>
    </w:p>
    <w:p>
      <w:pPr>
        <w:spacing w:after="0" w:line="6" w:lineRule="exact"/>
        <w:rPr>
          <w:rFonts w:ascii="Arial" w:cs="Arial" w:eastAsia="Arial" w:hAnsi="Arial"/>
          <w:sz w:val="18"/>
          <w:szCs w:val="18"/>
          <w:color w:val="auto"/>
        </w:rPr>
      </w:pPr>
    </w:p>
    <w:p>
      <w:pPr>
        <w:ind w:firstLine="7"/>
        <w:spacing w:after="0" w:line="247" w:lineRule="auto"/>
        <w:tabs>
          <w:tab w:leader="none" w:pos="2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 to 1.25% of total risk-weighted assets of Banco de Credito del Perú, Solucion Empresa Administradora Hipotecaria, Mibanco and Atlantic Security Bank.</w:t>
      </w:r>
    </w:p>
    <w:p>
      <w:pPr>
        <w:ind w:left="260" w:hanging="253"/>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Tier II + Tier III cannot be more than 50% of total regulatory capital.</w:t>
      </w:r>
    </w:p>
    <w:p>
      <w:pPr>
        <w:spacing w:after="0" w:line="6" w:lineRule="exact"/>
        <w:rPr>
          <w:rFonts w:ascii="Arial" w:cs="Arial" w:eastAsia="Arial" w:hAnsi="Arial"/>
          <w:sz w:val="18"/>
          <w:szCs w:val="18"/>
          <w:color w:val="auto"/>
        </w:rPr>
      </w:pPr>
    </w:p>
    <w:p>
      <w:pPr>
        <w:ind w:firstLine="7"/>
        <w:spacing w:after="0" w:line="247" w:lineRule="auto"/>
        <w:tabs>
          <w:tab w:leader="none" w:pos="27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 + perpetual subordinated debt.</w:t>
      </w:r>
    </w:p>
    <w:p>
      <w:pPr>
        <w:ind w:firstLine="7"/>
        <w:spacing w:after="0" w:line="247" w:lineRule="auto"/>
        <w:tabs>
          <w:tab w:leader="none" w:pos="27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Tier II = subordinated debt + Tier II minority interest tier + loan loss reserves - (0.5 x investment in equity and subordinated debt of financial and insurance companies).</w:t>
      </w:r>
    </w:p>
    <w:p>
      <w:pPr>
        <w:ind w:left="260" w:hanging="253"/>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regulatory capital requirements of the financial consolidated group.</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regulatory capital requirements of the insurance consolidated group.</w:t>
      </w:r>
    </w:p>
    <w:p>
      <w:pPr>
        <w:spacing w:after="0" w:line="6" w:lineRule="exact"/>
        <w:rPr>
          <w:rFonts w:ascii="Arial" w:cs="Arial" w:eastAsia="Arial" w:hAnsi="Arial"/>
          <w:sz w:val="18"/>
          <w:szCs w:val="18"/>
          <w:color w:val="auto"/>
        </w:rPr>
      </w:pPr>
    </w:p>
    <w:p>
      <w:pPr>
        <w:ind w:left="340" w:hanging="333"/>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regulatory capital at Credicorp increased 8.3% QoQ and 3.9% YoY. This was driven by an increase in legal and other capital reserves; and loan loss reserves. Both of which reflect preventive measures to absorb the potential effects of variations in expectations for economic growth in Peru due to the COVID-19 pandemic. Credicorp’s regulatory capital requirement fell -4.4% QoQ but increased +1.3% YoY, which was in line with the equity requirements set for companies in the financial sector.</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Credicorp’s regulatory capital ratio remained at a comfortable level at the end of 4Q19 and represented 1.35 times the capital required by the regulator in Peru at the end of 4Q19.</w:t>
      </w:r>
    </w:p>
    <w:p>
      <w:pPr>
        <w:spacing w:after="0" w:line="38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8.2. Regulatory Capital – BCP Stand-alone based on Peru GAAP</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00" w:type="dxa"/>
            <w:vAlign w:val="bottom"/>
            <w:gridSpan w:val="2"/>
          </w:tcPr>
          <w:p>
            <w:pPr>
              <w:spacing w:after="0"/>
              <w:rPr>
                <w:sz w:val="20"/>
                <w:szCs w:val="20"/>
                <w:color w:val="auto"/>
              </w:rPr>
            </w:pPr>
            <w:r>
              <w:rPr>
                <w:rFonts w:ascii="Arial" w:cs="Arial" w:eastAsia="Arial" w:hAnsi="Arial"/>
                <w:sz w:val="16"/>
                <w:szCs w:val="16"/>
                <w:b w:val="1"/>
                <w:bCs w:val="1"/>
                <w:color w:val="auto"/>
              </w:rPr>
              <w:t>Regulatory Capital and Capital Adequacy Ratios</w:t>
            </w: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6"/>
                <w:szCs w:val="16"/>
                <w:b w:val="1"/>
                <w:bCs w:val="1"/>
                <w:color w:val="auto"/>
              </w:rPr>
              <w:t>As of</w:t>
            </w:r>
          </w:p>
        </w:tc>
        <w:tc>
          <w:tcPr>
            <w:tcW w:w="10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w w:val="99"/>
              </w:rPr>
              <w:t>% change</w:t>
            </w:r>
          </w:p>
        </w:tc>
        <w:tc>
          <w:tcPr>
            <w:tcW w:w="7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1Q19</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4Q19</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1Q20</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8"/>
                <w:szCs w:val="18"/>
                <w:color w:val="auto"/>
              </w:rPr>
            </w:pPr>
          </w:p>
        </w:tc>
      </w:tr>
      <w:tr>
        <w:trPr>
          <w:trHeight w:val="196"/>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Capital Stock</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10,217,387</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10,217,387</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10,217,387</w:t>
            </w: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00"/>
        </w:trPr>
        <w:tc>
          <w:tcPr>
            <w:tcW w:w="5100" w:type="dxa"/>
            <w:vAlign w:val="bottom"/>
            <w:gridSpan w:val="2"/>
          </w:tcPr>
          <w:p>
            <w:pPr>
              <w:spacing w:after="0"/>
              <w:rPr>
                <w:sz w:val="20"/>
                <w:szCs w:val="20"/>
                <w:color w:val="auto"/>
              </w:rPr>
            </w:pPr>
            <w:r>
              <w:rPr>
                <w:rFonts w:ascii="Arial" w:cs="Arial" w:eastAsia="Arial" w:hAnsi="Arial"/>
                <w:sz w:val="16"/>
                <w:szCs w:val="16"/>
                <w:color w:val="auto"/>
              </w:rPr>
              <w:t>Legal and Other capital reserves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4,695,118</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4,695,118</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4,695,118</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0"/>
        </w:trPr>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Accumulated earnings with capitalization agreement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850,000</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850,000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n.a.</w:t>
            </w:r>
          </w:p>
        </w:tc>
      </w:tr>
      <w:tr>
        <w:trPr>
          <w:trHeight w:val="240"/>
        </w:trPr>
        <w:tc>
          <w:tcPr>
            <w:tcW w:w="5100" w:type="dxa"/>
            <w:vAlign w:val="bottom"/>
            <w:gridSpan w:val="2"/>
          </w:tcPr>
          <w:p>
            <w:pPr>
              <w:spacing w:after="0" w:line="240" w:lineRule="exact"/>
              <w:rPr>
                <w:sz w:val="20"/>
                <w:szCs w:val="20"/>
                <w:color w:val="auto"/>
              </w:rPr>
            </w:pPr>
            <w:r>
              <w:rPr>
                <w:rFonts w:ascii="Arial" w:cs="Arial" w:eastAsia="Arial" w:hAnsi="Arial"/>
                <w:sz w:val="16"/>
                <w:szCs w:val="16"/>
                <w:color w:val="auto"/>
              </w:rPr>
              <w:t xml:space="preserve">Loan loss reserves </w:t>
            </w:r>
            <w:r>
              <w:rPr>
                <w:rFonts w:ascii="Arial" w:cs="Arial" w:eastAsia="Arial" w:hAnsi="Arial"/>
                <w:sz w:val="26"/>
                <w:szCs w:val="26"/>
                <w:color w:val="auto"/>
                <w:vertAlign w:val="superscript"/>
              </w:rPr>
              <w:t>(1)</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1,284,021</w:t>
            </w:r>
          </w:p>
        </w:tc>
        <w:tc>
          <w:tcPr>
            <w:tcW w:w="1000" w:type="dxa"/>
            <w:vAlign w:val="bottom"/>
          </w:tcPr>
          <w:p>
            <w:pPr>
              <w:jc w:val="right"/>
              <w:spacing w:after="0"/>
              <w:rPr>
                <w:sz w:val="20"/>
                <w:szCs w:val="20"/>
                <w:color w:val="auto"/>
              </w:rPr>
            </w:pPr>
            <w:r>
              <w:rPr>
                <w:rFonts w:ascii="Arial" w:cs="Arial" w:eastAsia="Arial" w:hAnsi="Arial"/>
                <w:sz w:val="16"/>
                <w:szCs w:val="16"/>
                <w:color w:val="auto"/>
              </w:rPr>
              <w:t>1,367,259</w:t>
            </w:r>
          </w:p>
        </w:tc>
        <w:tc>
          <w:tcPr>
            <w:tcW w:w="2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1,383,834</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7.8%</w:t>
            </w:r>
          </w:p>
        </w:tc>
      </w:tr>
      <w:tr>
        <w:trPr>
          <w:trHeight w:val="200"/>
        </w:trPr>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Perpetual subordinated debt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580,650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4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n.a.</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n.a.</w:t>
            </w:r>
          </w:p>
        </w:tc>
      </w:tr>
      <w:tr>
        <w:trPr>
          <w:trHeight w:val="200"/>
        </w:trPr>
        <w:tc>
          <w:tcPr>
            <w:tcW w:w="5100" w:type="dxa"/>
            <w:vAlign w:val="bottom"/>
            <w:gridSpan w:val="2"/>
          </w:tcPr>
          <w:p>
            <w:pPr>
              <w:spacing w:after="0"/>
              <w:rPr>
                <w:sz w:val="20"/>
                <w:szCs w:val="20"/>
                <w:color w:val="auto"/>
              </w:rPr>
            </w:pPr>
            <w:r>
              <w:rPr>
                <w:rFonts w:ascii="Arial" w:cs="Arial" w:eastAsia="Arial" w:hAnsi="Arial"/>
                <w:sz w:val="16"/>
                <w:szCs w:val="16"/>
                <w:color w:val="auto"/>
              </w:rPr>
              <w:t>Subordinated Debt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4,236,505</w:t>
            </w:r>
          </w:p>
        </w:tc>
        <w:tc>
          <w:tcPr>
            <w:tcW w:w="1000" w:type="dxa"/>
            <w:vAlign w:val="bottom"/>
          </w:tcPr>
          <w:p>
            <w:pPr>
              <w:jc w:val="right"/>
              <w:spacing w:after="0"/>
              <w:rPr>
                <w:sz w:val="20"/>
                <w:szCs w:val="20"/>
                <w:color w:val="auto"/>
              </w:rPr>
            </w:pPr>
            <w:r>
              <w:rPr>
                <w:rFonts w:ascii="Arial" w:cs="Arial" w:eastAsia="Arial" w:hAnsi="Arial"/>
                <w:sz w:val="16"/>
                <w:szCs w:val="16"/>
                <w:color w:val="auto"/>
              </w:rPr>
              <w:t>3,980,904</w:t>
            </w:r>
          </w:p>
        </w:tc>
        <w:tc>
          <w:tcPr>
            <w:tcW w:w="2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4,128,099</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00"/>
        </w:trPr>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3"/>
              </w:rPr>
              <w:t>Investment in subsidiaries and others, net of unrealized profit and net income</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(1,722,979)</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(1,580,583)</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(1,937,102)</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22.6%</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00"/>
        </w:trPr>
        <w:tc>
          <w:tcPr>
            <w:tcW w:w="5100" w:type="dxa"/>
            <w:vAlign w:val="bottom"/>
            <w:gridSpan w:val="2"/>
          </w:tcPr>
          <w:p>
            <w:pPr>
              <w:ind w:left="320"/>
              <w:spacing w:after="0"/>
              <w:rPr>
                <w:sz w:val="20"/>
                <w:szCs w:val="20"/>
                <w:color w:val="auto"/>
              </w:rPr>
            </w:pPr>
            <w:r>
              <w:rPr>
                <w:rFonts w:ascii="Arial" w:cs="Arial" w:eastAsia="Arial" w:hAnsi="Arial"/>
                <w:sz w:val="16"/>
                <w:szCs w:val="16"/>
                <w:color w:val="auto"/>
              </w:rPr>
              <w:t>Investment in subsidiaries and others</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(1,812,955)</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(1,965,037)</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(2,008,802)</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10.8%</w:t>
            </w:r>
          </w:p>
        </w:tc>
      </w:tr>
      <w:tr>
        <w:trPr>
          <w:trHeight w:val="200"/>
        </w:trPr>
        <w:tc>
          <w:tcPr>
            <w:tcW w:w="51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Unrealized profit and net income in subsidiaries</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89,976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384,454</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71,700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-81.4%</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00"/>
        </w:trPr>
        <w:tc>
          <w:tcPr>
            <w:tcW w:w="510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(122,083)</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(122,083)</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(122,083)</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Regulatory Capital</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19,168,618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19,408,002</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19,215,253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r>
      <w:tr>
        <w:trPr>
          <w:trHeight w:val="193"/>
        </w:trPr>
        <w:tc>
          <w:tcPr>
            <w:tcW w:w="51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Off-balance sheet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84,074,345</w:t>
            </w:r>
          </w:p>
        </w:tc>
        <w:tc>
          <w:tcPr>
            <w:tcW w:w="2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86,273,789</w:t>
            </w:r>
          </w:p>
        </w:tc>
        <w:tc>
          <w:tcPr>
            <w:tcW w:w="2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88,755,362</w:t>
            </w:r>
          </w:p>
        </w:tc>
        <w:tc>
          <w:tcPr>
            <w:tcW w:w="2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w w:val="98"/>
              </w:rPr>
              <w:t>%</w:t>
            </w:r>
          </w:p>
        </w:tc>
      </w:tr>
      <w:tr>
        <w:trPr>
          <w:trHeight w:val="220"/>
        </w:trPr>
        <w:tc>
          <w:tcPr>
            <w:tcW w:w="5100" w:type="dxa"/>
            <w:vAlign w:val="bottom"/>
            <w:gridSpan w:val="2"/>
            <w:shd w:val="clear" w:color="auto" w:fill="CCEEFF"/>
          </w:tcPr>
          <w:p>
            <w:pPr>
              <w:spacing w:after="0" w:line="220" w:lineRule="exact"/>
              <w:rPr>
                <w:sz w:val="20"/>
                <w:szCs w:val="20"/>
                <w:color w:val="auto"/>
              </w:rPr>
            </w:pPr>
            <w:r>
              <w:rPr>
                <w:rFonts w:ascii="Arial" w:cs="Arial" w:eastAsia="Arial" w:hAnsi="Arial"/>
                <w:sz w:val="16"/>
                <w:szCs w:val="16"/>
                <w:color w:val="auto"/>
              </w:rPr>
              <w:t xml:space="preserve">Tier 1 </w:t>
            </w:r>
            <w:r>
              <w:rPr>
                <w:rFonts w:ascii="Arial" w:cs="Arial" w:eastAsia="Arial" w:hAnsi="Arial"/>
                <w:sz w:val="25"/>
                <w:szCs w:val="25"/>
                <w:color w:val="auto"/>
                <w:vertAlign w:val="superscript"/>
              </w:rPr>
              <w:t>(2)</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14,509,582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14,850,131</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14,671,871</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40"/>
        </w:trPr>
        <w:tc>
          <w:tcPr>
            <w:tcW w:w="5100" w:type="dxa"/>
            <w:vAlign w:val="bottom"/>
            <w:gridSpan w:val="2"/>
          </w:tcPr>
          <w:p>
            <w:pPr>
              <w:spacing w:after="0" w:line="240" w:lineRule="exact"/>
              <w:rPr>
                <w:sz w:val="20"/>
                <w:szCs w:val="20"/>
                <w:color w:val="auto"/>
              </w:rPr>
            </w:pPr>
            <w:r>
              <w:rPr>
                <w:rFonts w:ascii="Arial" w:cs="Arial" w:eastAsia="Arial" w:hAnsi="Arial"/>
                <w:sz w:val="16"/>
                <w:szCs w:val="16"/>
                <w:color w:val="auto"/>
              </w:rPr>
              <w:t xml:space="preserve">Tier 2 </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 Tier 3 </w:t>
            </w:r>
            <w:r>
              <w:rPr>
                <w:rFonts w:ascii="Arial" w:cs="Arial" w:eastAsia="Arial" w:hAnsi="Arial"/>
                <w:sz w:val="26"/>
                <w:szCs w:val="26"/>
                <w:color w:val="auto"/>
                <w:vertAlign w:val="superscript"/>
              </w:rPr>
              <w:t>(4)</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4,659,036</w:t>
            </w:r>
          </w:p>
        </w:tc>
        <w:tc>
          <w:tcPr>
            <w:tcW w:w="1000" w:type="dxa"/>
            <w:vAlign w:val="bottom"/>
          </w:tcPr>
          <w:p>
            <w:pPr>
              <w:jc w:val="right"/>
              <w:spacing w:after="0"/>
              <w:rPr>
                <w:sz w:val="20"/>
                <w:szCs w:val="20"/>
                <w:color w:val="auto"/>
              </w:rPr>
            </w:pPr>
            <w:r>
              <w:rPr>
                <w:rFonts w:ascii="Arial" w:cs="Arial" w:eastAsia="Arial" w:hAnsi="Arial"/>
                <w:sz w:val="16"/>
                <w:szCs w:val="16"/>
                <w:color w:val="auto"/>
              </w:rPr>
              <w:t>4,557,871</w:t>
            </w:r>
          </w:p>
        </w:tc>
        <w:tc>
          <w:tcPr>
            <w:tcW w:w="2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4,543,382</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Equity Tier 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13,742,713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15,842,022</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16,146,020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193"/>
        </w:trPr>
        <w:tc>
          <w:tcPr>
            <w:tcW w:w="51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Total risk-weighted assets - SBS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123,718,427</w:t>
            </w:r>
          </w:p>
        </w:tc>
        <w:tc>
          <w:tcPr>
            <w:tcW w:w="2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134,128,850</w:t>
            </w:r>
          </w:p>
        </w:tc>
        <w:tc>
          <w:tcPr>
            <w:tcW w:w="2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142,084,684</w:t>
            </w:r>
          </w:p>
        </w:tc>
        <w:tc>
          <w:tcPr>
            <w:tcW w:w="2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2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w:t>
            </w:r>
          </w:p>
        </w:tc>
        <w:tc>
          <w:tcPr>
            <w:tcW w:w="1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w w:val="98"/>
              </w:rPr>
              <w:t>%</w:t>
            </w:r>
          </w:p>
        </w:tc>
      </w:tr>
      <w:tr>
        <w:trPr>
          <w:trHeight w:val="193"/>
        </w:trPr>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Credit risk-weighted assets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112,023,537</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122,233,929</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129,331,389</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w:t>
            </w:r>
          </w:p>
        </w:tc>
        <w:tc>
          <w:tcPr>
            <w:tcW w:w="2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40"/>
        </w:trPr>
        <w:tc>
          <w:tcPr>
            <w:tcW w:w="5100" w:type="dxa"/>
            <w:vAlign w:val="bottom"/>
            <w:gridSpan w:val="2"/>
          </w:tcPr>
          <w:p>
            <w:pPr>
              <w:spacing w:after="0" w:line="240" w:lineRule="exact"/>
              <w:rPr>
                <w:sz w:val="20"/>
                <w:szCs w:val="20"/>
                <w:color w:val="auto"/>
              </w:rPr>
            </w:pPr>
            <w:r>
              <w:rPr>
                <w:rFonts w:ascii="Arial" w:cs="Arial" w:eastAsia="Arial" w:hAnsi="Arial"/>
                <w:sz w:val="16"/>
                <w:szCs w:val="16"/>
                <w:color w:val="auto"/>
              </w:rPr>
              <w:t xml:space="preserve">Market risk-weighted assets </w:t>
            </w:r>
            <w:r>
              <w:rPr>
                <w:rFonts w:ascii="Arial" w:cs="Arial" w:eastAsia="Arial" w:hAnsi="Arial"/>
                <w:sz w:val="26"/>
                <w:szCs w:val="26"/>
                <w:color w:val="auto"/>
                <w:vertAlign w:val="superscript"/>
              </w:rPr>
              <w:t>(5)</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2,528,029</w:t>
            </w:r>
          </w:p>
        </w:tc>
        <w:tc>
          <w:tcPr>
            <w:tcW w:w="1000" w:type="dxa"/>
            <w:vAlign w:val="bottom"/>
          </w:tcPr>
          <w:p>
            <w:pPr>
              <w:jc w:val="right"/>
              <w:spacing w:after="0"/>
              <w:rPr>
                <w:sz w:val="20"/>
                <w:szCs w:val="20"/>
                <w:color w:val="auto"/>
              </w:rPr>
            </w:pPr>
            <w:r>
              <w:rPr>
                <w:rFonts w:ascii="Arial" w:cs="Arial" w:eastAsia="Arial" w:hAnsi="Arial"/>
                <w:sz w:val="16"/>
                <w:szCs w:val="16"/>
                <w:color w:val="auto"/>
              </w:rPr>
              <w:t>2,263,835</w:t>
            </w:r>
          </w:p>
        </w:tc>
        <w:tc>
          <w:tcPr>
            <w:tcW w:w="2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3,074,766</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35.8%</w:t>
            </w:r>
          </w:p>
        </w:tc>
        <w:tc>
          <w:tcPr>
            <w:tcW w:w="2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21.6%</w:t>
            </w:r>
          </w:p>
        </w:tc>
      </w:tr>
      <w:tr>
        <w:trPr>
          <w:trHeight w:val="213"/>
        </w:trPr>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Operational risk-weighted assets</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9,166,861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9,631,086</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9,678,529</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193"/>
        </w:trPr>
        <w:tc>
          <w:tcPr>
            <w:tcW w:w="51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Adjusted Risk-Weighted Assets - Basel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120,622,867</w:t>
            </w:r>
          </w:p>
        </w:tc>
        <w:tc>
          <w:tcPr>
            <w:tcW w:w="2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128,238,694</w:t>
            </w:r>
          </w:p>
        </w:tc>
        <w:tc>
          <w:tcPr>
            <w:tcW w:w="2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135,790,140</w:t>
            </w:r>
          </w:p>
        </w:tc>
        <w:tc>
          <w:tcPr>
            <w:tcW w:w="2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2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w:t>
            </w:r>
          </w:p>
        </w:tc>
        <w:tc>
          <w:tcPr>
            <w:tcW w:w="1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w w:val="98"/>
              </w:rPr>
              <w:t>%</w:t>
            </w:r>
          </w:p>
        </w:tc>
      </w:tr>
      <w:tr>
        <w:trPr>
          <w:trHeight w:val="193"/>
        </w:trPr>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risk-weighted assets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123,718,427</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134,128,850</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142,084,684</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w:t>
            </w:r>
          </w:p>
        </w:tc>
        <w:tc>
          <w:tcPr>
            <w:tcW w:w="2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0"/>
        </w:trPr>
        <w:tc>
          <w:tcPr>
            <w:tcW w:w="5100" w:type="dxa"/>
            <w:vAlign w:val="bottom"/>
            <w:gridSpan w:val="2"/>
          </w:tcPr>
          <w:p>
            <w:pPr>
              <w:ind w:left="160"/>
              <w:spacing w:after="0"/>
              <w:rPr>
                <w:sz w:val="20"/>
                <w:szCs w:val="20"/>
                <w:color w:val="auto"/>
              </w:rPr>
            </w:pPr>
            <w:r>
              <w:rPr>
                <w:rFonts w:ascii="Arial" w:cs="Arial" w:eastAsia="Arial" w:hAnsi="Arial"/>
                <w:sz w:val="16"/>
                <w:szCs w:val="16"/>
                <w:color w:val="auto"/>
              </w:rPr>
              <w:t>(-) RWA Intangible assets, excluding goodwill.</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3,491,859</w:t>
            </w:r>
          </w:p>
        </w:tc>
        <w:tc>
          <w:tcPr>
            <w:tcW w:w="1000" w:type="dxa"/>
            <w:vAlign w:val="bottom"/>
          </w:tcPr>
          <w:p>
            <w:pPr>
              <w:jc w:val="right"/>
              <w:spacing w:after="0"/>
              <w:rPr>
                <w:sz w:val="20"/>
                <w:szCs w:val="20"/>
                <w:color w:val="auto"/>
              </w:rPr>
            </w:pPr>
            <w:r>
              <w:rPr>
                <w:rFonts w:ascii="Arial" w:cs="Arial" w:eastAsia="Arial" w:hAnsi="Arial"/>
                <w:sz w:val="16"/>
                <w:szCs w:val="16"/>
                <w:color w:val="auto"/>
              </w:rPr>
              <w:t>6,330,168</w:t>
            </w:r>
          </w:p>
        </w:tc>
        <w:tc>
          <w:tcPr>
            <w:tcW w:w="2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6,802,121</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94.8%</w:t>
            </w:r>
          </w:p>
        </w:tc>
      </w:tr>
      <w:tr>
        <w:trPr>
          <w:trHeight w:val="200"/>
        </w:trPr>
        <w:tc>
          <w:tcPr>
            <w:tcW w:w="51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RWA Deferred tax assets generated as a result of temporary</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396 299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440 012</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507 578</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15.4%</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00"/>
        </w:trPr>
        <w:tc>
          <w:tcPr>
            <w:tcW w:w="5100" w:type="dxa"/>
            <w:vAlign w:val="bottom"/>
            <w:gridSpan w:val="2"/>
          </w:tcPr>
          <w:p>
            <w:pPr>
              <w:spacing w:after="0"/>
              <w:rPr>
                <w:sz w:val="20"/>
                <w:szCs w:val="20"/>
                <w:color w:val="auto"/>
              </w:rPr>
            </w:pPr>
            <w:r>
              <w:rPr>
                <w:rFonts w:ascii="Arial" w:cs="Arial" w:eastAsia="Arial" w:hAnsi="Arial"/>
                <w:sz w:val="16"/>
                <w:szCs w:val="16"/>
                <w:color w:val="auto"/>
              </w:rPr>
              <w:t>differences in income tax, in excess of 10% of CET1</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51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RWA Deferred tax assets generated as a result of past losses</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93"/>
        </w:trPr>
        <w:tc>
          <w:tcPr>
            <w:tcW w:w="51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Total capital requirement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15,765,636</w:t>
            </w:r>
          </w:p>
        </w:tc>
        <w:tc>
          <w:tcPr>
            <w:tcW w:w="2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16,982,136</w:t>
            </w:r>
          </w:p>
        </w:tc>
        <w:tc>
          <w:tcPr>
            <w:tcW w:w="2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16,346,724</w:t>
            </w:r>
          </w:p>
        </w:tc>
        <w:tc>
          <w:tcPr>
            <w:tcW w:w="2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2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1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w w:val="98"/>
              </w:rPr>
              <w:t>%</w:t>
            </w:r>
          </w:p>
        </w:tc>
      </w:tr>
      <w:tr>
        <w:trPr>
          <w:trHeight w:val="193"/>
        </w:trPr>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Credit risk capital requirement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11,202,354</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12,223,393</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12,933,139</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w:t>
            </w:r>
          </w:p>
        </w:tc>
        <w:tc>
          <w:tcPr>
            <w:tcW w:w="2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40"/>
        </w:trPr>
        <w:tc>
          <w:tcPr>
            <w:tcW w:w="5100" w:type="dxa"/>
            <w:vAlign w:val="bottom"/>
            <w:gridSpan w:val="2"/>
          </w:tcPr>
          <w:p>
            <w:pPr>
              <w:spacing w:after="0" w:line="240" w:lineRule="exact"/>
              <w:rPr>
                <w:sz w:val="20"/>
                <w:szCs w:val="20"/>
                <w:color w:val="auto"/>
              </w:rPr>
            </w:pPr>
            <w:r>
              <w:rPr>
                <w:rFonts w:ascii="Arial" w:cs="Arial" w:eastAsia="Arial" w:hAnsi="Arial"/>
                <w:sz w:val="16"/>
                <w:szCs w:val="16"/>
                <w:color w:val="auto"/>
              </w:rPr>
              <w:t xml:space="preserve">Market risk-weighted assets </w:t>
            </w:r>
            <w:r>
              <w:rPr>
                <w:rFonts w:ascii="Arial" w:cs="Arial" w:eastAsia="Arial" w:hAnsi="Arial"/>
                <w:sz w:val="26"/>
                <w:szCs w:val="26"/>
                <w:color w:val="auto"/>
                <w:vertAlign w:val="superscript"/>
              </w:rPr>
              <w:t>(5)</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252,803</w:t>
            </w:r>
          </w:p>
        </w:tc>
        <w:tc>
          <w:tcPr>
            <w:tcW w:w="1000" w:type="dxa"/>
            <w:vAlign w:val="bottom"/>
          </w:tcPr>
          <w:p>
            <w:pPr>
              <w:jc w:val="right"/>
              <w:spacing w:after="0"/>
              <w:rPr>
                <w:sz w:val="20"/>
                <w:szCs w:val="20"/>
                <w:color w:val="auto"/>
              </w:rPr>
            </w:pPr>
            <w:r>
              <w:rPr>
                <w:rFonts w:ascii="Arial" w:cs="Arial" w:eastAsia="Arial" w:hAnsi="Arial"/>
                <w:sz w:val="16"/>
                <w:szCs w:val="16"/>
                <w:color w:val="auto"/>
              </w:rPr>
              <w:t>226,384</w:t>
            </w:r>
          </w:p>
        </w:tc>
        <w:tc>
          <w:tcPr>
            <w:tcW w:w="2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307,477</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35.8%</w:t>
            </w:r>
          </w:p>
        </w:tc>
        <w:tc>
          <w:tcPr>
            <w:tcW w:w="2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21.6%</w:t>
            </w:r>
          </w:p>
        </w:tc>
      </w:tr>
      <w:tr>
        <w:trPr>
          <w:trHeight w:val="200"/>
        </w:trPr>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Operational risk capital requirement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916,686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963,109</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967,853</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0.5%</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1"/>
        </w:trPr>
        <w:tc>
          <w:tcPr>
            <w:tcW w:w="5100" w:type="dxa"/>
            <w:vAlign w:val="bottom"/>
            <w:gridSpan w:val="2"/>
          </w:tcPr>
          <w:p>
            <w:pPr>
              <w:spacing w:after="0"/>
              <w:rPr>
                <w:sz w:val="20"/>
                <w:szCs w:val="20"/>
                <w:color w:val="auto"/>
              </w:rPr>
            </w:pPr>
            <w:r>
              <w:rPr>
                <w:rFonts w:ascii="Arial" w:cs="Arial" w:eastAsia="Arial" w:hAnsi="Arial"/>
                <w:sz w:val="16"/>
                <w:szCs w:val="16"/>
                <w:color w:val="auto"/>
              </w:rPr>
              <w:t>Additional capital requirements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3,393,794</w:t>
            </w:r>
          </w:p>
        </w:tc>
        <w:tc>
          <w:tcPr>
            <w:tcW w:w="1000" w:type="dxa"/>
            <w:vAlign w:val="bottom"/>
          </w:tcPr>
          <w:p>
            <w:pPr>
              <w:jc w:val="right"/>
              <w:spacing w:after="0"/>
              <w:rPr>
                <w:sz w:val="20"/>
                <w:szCs w:val="20"/>
                <w:color w:val="auto"/>
              </w:rPr>
            </w:pPr>
            <w:r>
              <w:rPr>
                <w:rFonts w:ascii="Arial" w:cs="Arial" w:eastAsia="Arial" w:hAnsi="Arial"/>
                <w:sz w:val="16"/>
                <w:szCs w:val="16"/>
                <w:color w:val="auto"/>
              </w:rPr>
              <w:t>3,569,251</w:t>
            </w:r>
          </w:p>
        </w:tc>
        <w:tc>
          <w:tcPr>
            <w:tcW w:w="2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2,138,255</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-40.1%</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-37.0%</w:t>
            </w:r>
          </w:p>
        </w:tc>
      </w:tr>
      <w:tr>
        <w:trPr>
          <w:trHeight w:val="196"/>
        </w:trPr>
        <w:tc>
          <w:tcPr>
            <w:tcW w:w="5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Capital ratios</w:t>
            </w: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40"/>
        </w:trPr>
        <w:tc>
          <w:tcPr>
            <w:tcW w:w="5100" w:type="dxa"/>
            <w:vAlign w:val="bottom"/>
            <w:gridSpan w:val="2"/>
          </w:tcPr>
          <w:p>
            <w:pPr>
              <w:spacing w:after="0" w:line="240" w:lineRule="exact"/>
              <w:rPr>
                <w:sz w:val="20"/>
                <w:szCs w:val="20"/>
                <w:color w:val="auto"/>
              </w:rPr>
            </w:pPr>
            <w:r>
              <w:rPr>
                <w:rFonts w:ascii="Arial" w:cs="Arial" w:eastAsia="Arial" w:hAnsi="Arial"/>
                <w:sz w:val="16"/>
                <w:szCs w:val="16"/>
                <w:color w:val="auto"/>
              </w:rPr>
              <w:t xml:space="preserve">Tier 1 ratio </w:t>
            </w:r>
            <w:r>
              <w:rPr>
                <w:rFonts w:ascii="Arial" w:cs="Arial" w:eastAsia="Arial" w:hAnsi="Arial"/>
                <w:sz w:val="26"/>
                <w:szCs w:val="26"/>
                <w:color w:val="auto"/>
                <w:vertAlign w:val="superscript"/>
              </w:rPr>
              <w:t>(6)</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11.73%</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11.07%</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10.33%</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0"/>
        </w:trPr>
        <w:tc>
          <w:tcPr>
            <w:tcW w:w="5100" w:type="dxa"/>
            <w:vAlign w:val="bottom"/>
            <w:gridSpan w:val="2"/>
            <w:shd w:val="clear" w:color="auto" w:fill="CCEEFF"/>
          </w:tcPr>
          <w:p>
            <w:pPr>
              <w:spacing w:after="0" w:line="240" w:lineRule="exact"/>
              <w:rPr>
                <w:sz w:val="20"/>
                <w:szCs w:val="20"/>
                <w:color w:val="auto"/>
              </w:rPr>
            </w:pPr>
            <w:r>
              <w:rPr>
                <w:rFonts w:ascii="Arial" w:cs="Arial" w:eastAsia="Arial" w:hAnsi="Arial"/>
                <w:sz w:val="16"/>
                <w:szCs w:val="16"/>
                <w:color w:val="auto"/>
              </w:rPr>
              <w:t xml:space="preserve">Common Equity Tier 1 ratio </w:t>
            </w:r>
            <w:r>
              <w:rPr>
                <w:rFonts w:ascii="Arial" w:cs="Arial" w:eastAsia="Arial" w:hAnsi="Arial"/>
                <w:sz w:val="26"/>
                <w:szCs w:val="26"/>
                <w:color w:val="auto"/>
                <w:vertAlign w:val="superscript"/>
              </w:rPr>
              <w:t>(7)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11.89%</w:t>
            </w: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40"/>
        </w:trPr>
        <w:tc>
          <w:tcPr>
            <w:tcW w:w="5100" w:type="dxa"/>
            <w:vAlign w:val="bottom"/>
            <w:gridSpan w:val="2"/>
          </w:tcPr>
          <w:p>
            <w:pPr>
              <w:spacing w:after="0" w:line="240" w:lineRule="exact"/>
              <w:rPr>
                <w:sz w:val="20"/>
                <w:szCs w:val="20"/>
                <w:color w:val="auto"/>
              </w:rPr>
            </w:pPr>
            <w:r>
              <w:rPr>
                <w:rFonts w:ascii="Arial" w:cs="Arial" w:eastAsia="Arial" w:hAnsi="Arial"/>
                <w:sz w:val="16"/>
                <w:szCs w:val="16"/>
                <w:color w:val="auto"/>
              </w:rPr>
              <w:t xml:space="preserve">BIS ratio </w:t>
            </w:r>
            <w:r>
              <w:rPr>
                <w:rFonts w:ascii="Arial" w:cs="Arial" w:eastAsia="Arial" w:hAnsi="Arial"/>
                <w:sz w:val="26"/>
                <w:szCs w:val="26"/>
                <w:color w:val="auto"/>
                <w:vertAlign w:val="superscript"/>
              </w:rPr>
              <w:t>(8)</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15.49%</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14.47%</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13.52%</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4"/>
        </w:trPr>
        <w:tc>
          <w:tcPr>
            <w:tcW w:w="5100" w:type="dxa"/>
            <w:vAlign w:val="bottom"/>
            <w:gridSpan w:val="2"/>
            <w:shd w:val="clear" w:color="auto" w:fill="CCEEFF"/>
          </w:tcPr>
          <w:p>
            <w:pPr>
              <w:spacing w:after="0" w:line="253" w:lineRule="exact"/>
              <w:rPr>
                <w:sz w:val="20"/>
                <w:szCs w:val="20"/>
                <w:color w:val="auto"/>
              </w:rPr>
            </w:pPr>
            <w:r>
              <w:rPr>
                <w:rFonts w:ascii="Arial" w:cs="Arial" w:eastAsia="Arial" w:hAnsi="Arial"/>
                <w:sz w:val="16"/>
                <w:szCs w:val="16"/>
                <w:color w:val="auto"/>
              </w:rPr>
              <w:t xml:space="preserve">Risk-weighted assets / Regulatory capital </w:t>
            </w:r>
            <w:r>
              <w:rPr>
                <w:rFonts w:ascii="Arial" w:cs="Arial" w:eastAsia="Arial" w:hAnsi="Arial"/>
                <w:sz w:val="26"/>
                <w:szCs w:val="26"/>
                <w:color w:val="auto"/>
                <w:vertAlign w:val="superscript"/>
              </w:rPr>
              <w:t>(9)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24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24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bl>
    <w:p>
      <w:pPr>
        <w:spacing w:after="0" w:line="199" w:lineRule="exact"/>
        <w:rPr>
          <w:sz w:val="20"/>
          <w:szCs w:val="20"/>
          <w:color w:val="auto"/>
        </w:rPr>
      </w:pPr>
    </w:p>
    <w:p>
      <w:pPr>
        <w:ind w:left="260" w:hanging="253"/>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19" w:lineRule="exact"/>
        <w:rPr>
          <w:rFonts w:ascii="Arial" w:cs="Arial" w:eastAsia="Arial" w:hAnsi="Arial"/>
          <w:sz w:val="18"/>
          <w:szCs w:val="18"/>
          <w:color w:val="auto"/>
        </w:rPr>
      </w:pPr>
    </w:p>
    <w:p>
      <w:pPr>
        <w:jc w:val="both"/>
        <w:ind w:right="20" w:firstLine="7"/>
        <w:spacing w:after="0" w:line="262" w:lineRule="auto"/>
        <w:tabs>
          <w:tab w:leader="none" w:pos="263" w:val="left"/>
        </w:tabs>
        <w:numPr>
          <w:ilvl w:val="0"/>
          <w:numId w:val="70"/>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3"/>
        <w:spacing w:after="0"/>
        <w:tabs>
          <w:tab w:leader="none" w:pos="2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Tier 2 = Subordinated debt + Loan loss reserves + (0.5 x Unrealized profit and net income in subsidiaries) - (0.5 x Investment in subsidiaries).</w:t>
      </w:r>
    </w:p>
    <w:p>
      <w:pPr>
        <w:spacing w:after="0" w:line="18" w:lineRule="exact"/>
        <w:rPr>
          <w:rFonts w:ascii="Arial" w:cs="Arial" w:eastAsia="Arial" w:hAnsi="Arial"/>
          <w:sz w:val="17"/>
          <w:szCs w:val="17"/>
          <w:color w:val="auto"/>
        </w:rPr>
      </w:pPr>
    </w:p>
    <w:p>
      <w:pPr>
        <w:ind w:left="260" w:hanging="253"/>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Tier 1 / Total Risk-weighted assets</w:t>
      </w:r>
    </w:p>
    <w:p>
      <w:pPr>
        <w:spacing w:after="0" w:line="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"(7) Common Equity Tier I = Capital + Reserves – 100% of applicable deductions (investment in subsidiaries, goodwill, intangibles and net deferred taxes that rely on future profitability) + retained earnings + unrealized gains.</w:t>
      </w:r>
    </w:p>
    <w:p>
      <w:pPr>
        <w:spacing w:after="0" w:line="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60" w:hanging="253"/>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6" w:lineRule="exact"/>
        <w:rPr>
          <w:rFonts w:ascii="Arial" w:cs="Arial" w:eastAsia="Arial" w:hAnsi="Arial"/>
          <w:sz w:val="18"/>
          <w:szCs w:val="18"/>
          <w:color w:val="auto"/>
        </w:rPr>
      </w:pPr>
    </w:p>
    <w:p>
      <w:pPr>
        <w:ind w:firstLine="7"/>
        <w:spacing w:after="0" w:line="255" w:lineRule="auto"/>
        <w:tabs>
          <w:tab w:leader="none" w:pos="27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Since July 2012, Risk-weighted assets = Credit risk-weighted assets * 1.00 + Capital requirement to cover market risk * 10 + Capital requirement to cover operational risk * 10 * 1.00 (since July 2014).</w:t>
      </w:r>
    </w:p>
    <w:p>
      <w:pPr>
        <w:spacing w:after="0" w:line="200" w:lineRule="exact"/>
        <w:rPr>
          <w:sz w:val="20"/>
          <w:szCs w:val="20"/>
          <w:color w:val="auto"/>
        </w:rPr>
      </w:pPr>
    </w:p>
    <w:p>
      <w:pPr>
        <w:spacing w:after="0" w:line="20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jc w:val="both"/>
        <w:spacing w:after="0" w:line="270" w:lineRule="auto"/>
        <w:rPr>
          <w:sz w:val="20"/>
          <w:szCs w:val="20"/>
          <w:color w:val="auto"/>
        </w:rPr>
      </w:pPr>
      <w:r>
        <w:rPr>
          <w:rFonts w:ascii="Arial" w:cs="Arial" w:eastAsia="Arial" w:hAnsi="Arial"/>
          <w:sz w:val="18"/>
          <w:szCs w:val="18"/>
          <w:color w:val="auto"/>
        </w:rPr>
        <w:t>At the end of 1Q20, the BIS and Tier 1 ratios at BCP Stand-alone were situated at 13.52% and 10.33% respectively. This was attributable to an increase of 5.9% QoQ in RWAs.</w:t>
      </w:r>
    </w:p>
    <w:p>
      <w:pPr>
        <w:spacing w:after="0" w:line="175"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Total regulatory capital fell 1% QoQ, which was attributable to a decrease in unrealized gains and earnings at the subsidiary level. Total RWAs increased due to growth in Credit RWAs (+5.8% QoQ) in line with the 5.4% growth QoQ in quarter- end loan balances.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YoY evolution shows a drop in the BIS Ration and in the Tier 1 ratio with regard to the levels reported in 1Q19. This was attributable to the fact that the growth posted for RWAs outpaced the expansion registered for regulatory and TIER 1 capital.</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YoY evolution of total RWAs mainly reflects growth of 15.5% in Credit RWAS and to a lesser extent, an expansion in market risk and operational RWAs. This growth primarily reflects the effect of 12.0% growth YoY in quarter-end loan balances.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 – BCP Stand-alone</w:t>
      </w:r>
    </w:p>
    <w:p>
      <w:pPr>
        <w:spacing w:after="0" w:line="220" w:lineRule="exact"/>
        <w:rPr>
          <w:sz w:val="20"/>
          <w:szCs w:val="20"/>
          <w:color w:val="auto"/>
        </w:rPr>
      </w:pPr>
    </w:p>
    <w:p>
      <w:pPr>
        <w:ind w:left="2140"/>
        <w:spacing w:after="0"/>
        <w:tabs>
          <w:tab w:leader="none" w:pos="7860" w:val="left"/>
        </w:tabs>
        <w:rPr>
          <w:sz w:val="20"/>
          <w:szCs w:val="20"/>
          <w:color w:val="auto"/>
        </w:rPr>
      </w:pPr>
      <w:r>
        <w:rPr>
          <w:rFonts w:ascii="Arial" w:cs="Arial" w:eastAsia="Arial" w:hAnsi="Arial"/>
          <w:sz w:val="18"/>
          <w:szCs w:val="18"/>
          <w:b w:val="1"/>
          <w:bCs w:val="1"/>
          <w:color w:val="auto"/>
        </w:rPr>
        <w:t>December 2019</w:t>
      </w:r>
      <w:r>
        <w:rPr>
          <w:sz w:val="20"/>
          <w:szCs w:val="20"/>
          <w:color w:val="auto"/>
        </w:rPr>
        <w:tab/>
      </w:r>
      <w:r>
        <w:rPr>
          <w:rFonts w:ascii="Arial" w:cs="Arial" w:eastAsia="Arial" w:hAnsi="Arial"/>
          <w:sz w:val="16"/>
          <w:szCs w:val="16"/>
          <w:b w:val="1"/>
          <w:bCs w:val="1"/>
          <w:color w:val="auto"/>
        </w:rPr>
        <w:t>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151130</wp:posOffset>
            </wp:positionV>
            <wp:extent cx="6541135" cy="15506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41135" cy="155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(1) Includes investments in BCP Bolivia and other subsidiaries</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Finally, the Tier 1 Common Equity (CET1) ratio, which is considered the most rigorous indicator with which to measure capitalization levels, reported a drop of -46 bps QoQ and situated at 11.89% at the end of 1Q20. This was mainly attributable to +5.9% QoQ growth in adjusted RWAs. In the YoY analysis, the CET1 ratio increased 50 bps in a context in which the Tier 1 Common Equity rose 17.5% while adjusted RWAs increased 12.6%.</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6" w:name="page47"/>
    <w:bookmarkEnd w:id="46"/>
    <w:p>
      <w:pPr>
        <w:ind w:left="460" w:hanging="453"/>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channels</w:t>
      </w:r>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Distribution channels at BCP Stand-alone, Mibanco and BCP Bolivia totaled 10,806 points of contact at the end of March 2020, which represented a drop of 194 points QoQ due to a decrease in Agentes BCP. YoY, however, the total expanded +356 YoY, which was mainly driven by growth in cost-efficient channels at BCP Bolivia, bolstered by more Agentes, and, to a lesser extent, by expansion of these channels at BCP Stand-alone.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Points of Contact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4"/>
              </w:rPr>
              <w:t>As of</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rPr>
              <w:t>change (units)</w:t>
            </w:r>
          </w:p>
        </w:tc>
      </w:tr>
      <w:tr>
        <w:trPr>
          <w:trHeight w:val="207"/>
        </w:trPr>
        <w:tc>
          <w:tcPr>
            <w:tcW w:w="4140" w:type="dxa"/>
            <w:vAlign w:val="bottom"/>
          </w:tcPr>
          <w:p>
            <w:pPr>
              <w:spacing w:after="0"/>
              <w:rPr>
                <w:sz w:val="18"/>
                <w:szCs w:val="18"/>
                <w:color w:val="auto"/>
              </w:rPr>
            </w:pPr>
          </w:p>
        </w:tc>
        <w:tc>
          <w:tcPr>
            <w:tcW w:w="100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Mar 19</w:t>
            </w:r>
          </w:p>
        </w:tc>
        <w:tc>
          <w:tcPr>
            <w:tcW w:w="100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8"/>
              </w:rPr>
              <w:t>Dic 19</w:t>
            </w:r>
          </w:p>
        </w:tc>
        <w:tc>
          <w:tcPr>
            <w:tcW w:w="8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Mar 20</w:t>
            </w:r>
          </w:p>
        </w:tc>
        <w:tc>
          <w:tcPr>
            <w:tcW w:w="180" w:type="dxa"/>
            <w:vAlign w:val="bottom"/>
          </w:tcPr>
          <w:p>
            <w:pPr>
              <w:spacing w:after="0"/>
              <w:rPr>
                <w:sz w:val="18"/>
                <w:szCs w:val="18"/>
                <w:color w:val="auto"/>
              </w:rPr>
            </w:pPr>
          </w:p>
        </w:tc>
        <w:tc>
          <w:tcPr>
            <w:tcW w:w="980" w:type="dxa"/>
            <w:vAlign w:val="bottom"/>
            <w:tcBorders>
              <w:top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TaT</w:t>
            </w:r>
          </w:p>
        </w:tc>
        <w:tc>
          <w:tcPr>
            <w:tcW w:w="78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AaA</w:t>
            </w:r>
          </w:p>
        </w:tc>
        <w:tc>
          <w:tcPr>
            <w:tcW w:w="80" w:type="dxa"/>
            <w:vAlign w:val="bottom"/>
          </w:tcPr>
          <w:p>
            <w:pPr>
              <w:spacing w:after="0"/>
              <w:rPr>
                <w:sz w:val="18"/>
                <w:szCs w:val="18"/>
                <w:color w:val="auto"/>
              </w:rPr>
            </w:pPr>
          </w:p>
        </w:tc>
      </w:tr>
      <w:tr>
        <w:trPr>
          <w:trHeight w:val="196"/>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BCP Stand-alone</w:t>
            </w: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0"/>
        </w:trPr>
        <w:tc>
          <w:tcPr>
            <w:tcW w:w="4140" w:type="dxa"/>
            <w:vAlign w:val="bottom"/>
          </w:tcPr>
          <w:p>
            <w:pPr>
              <w:spacing w:after="0"/>
              <w:rPr>
                <w:sz w:val="20"/>
                <w:szCs w:val="20"/>
                <w:color w:val="auto"/>
              </w:rPr>
            </w:pPr>
            <w:r>
              <w:rPr>
                <w:rFonts w:ascii="Arial" w:cs="Arial" w:eastAsia="Arial" w:hAnsi="Arial"/>
                <w:sz w:val="16"/>
                <w:szCs w:val="16"/>
                <w:color w:val="auto"/>
              </w:rPr>
              <w:t>Branches</w:t>
            </w:r>
          </w:p>
        </w:tc>
        <w:tc>
          <w:tcPr>
            <w:tcW w:w="820" w:type="dxa"/>
            <w:vAlign w:val="bottom"/>
          </w:tcPr>
          <w:p>
            <w:pPr>
              <w:jc w:val="right"/>
              <w:spacing w:after="0"/>
              <w:rPr>
                <w:sz w:val="20"/>
                <w:szCs w:val="20"/>
                <w:color w:val="auto"/>
              </w:rPr>
            </w:pPr>
            <w:r>
              <w:rPr>
                <w:rFonts w:ascii="Arial" w:cs="Arial" w:eastAsia="Arial" w:hAnsi="Arial"/>
                <w:sz w:val="16"/>
                <w:szCs w:val="16"/>
                <w:color w:val="auto"/>
              </w:rPr>
              <w:t>405</w:t>
            </w: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404</w:t>
            </w:r>
          </w:p>
        </w:tc>
        <w:tc>
          <w:tcPr>
            <w:tcW w:w="820" w:type="dxa"/>
            <w:vAlign w:val="bottom"/>
          </w:tcPr>
          <w:p>
            <w:pPr>
              <w:jc w:val="right"/>
              <w:spacing w:after="0"/>
              <w:rPr>
                <w:sz w:val="20"/>
                <w:szCs w:val="20"/>
                <w:color w:val="auto"/>
              </w:rPr>
            </w:pPr>
            <w:r>
              <w:rPr>
                <w:rFonts w:ascii="Arial" w:cs="Arial" w:eastAsia="Arial" w:hAnsi="Arial"/>
                <w:sz w:val="16"/>
                <w:szCs w:val="16"/>
                <w:color w:val="auto"/>
              </w:rPr>
              <w:t>404</w:t>
            </w:r>
          </w:p>
        </w:tc>
        <w:tc>
          <w:tcPr>
            <w:tcW w:w="1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r>
      <w:tr>
        <w:trPr>
          <w:trHeight w:val="200"/>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ATMs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2,285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7"/>
                <w:szCs w:val="17"/>
                <w:color w:val="auto"/>
              </w:rPr>
            </w:pPr>
          </w:p>
        </w:tc>
      </w:tr>
      <w:tr>
        <w:trPr>
          <w:trHeight w:val="211"/>
        </w:trPr>
        <w:tc>
          <w:tcPr>
            <w:tcW w:w="4140" w:type="dxa"/>
            <w:vAlign w:val="bottom"/>
          </w:tcPr>
          <w:p>
            <w:pPr>
              <w:spacing w:after="0"/>
              <w:rPr>
                <w:sz w:val="20"/>
                <w:szCs w:val="20"/>
                <w:color w:val="auto"/>
              </w:rPr>
            </w:pPr>
            <w:r>
              <w:rPr>
                <w:rFonts w:ascii="Arial" w:cs="Arial" w:eastAsia="Arial" w:hAnsi="Arial"/>
                <w:sz w:val="16"/>
                <w:szCs w:val="16"/>
                <w:color w:val="auto"/>
              </w:rPr>
              <w:t>Agentes BCP</w:t>
            </w:r>
          </w:p>
        </w:tc>
        <w:tc>
          <w:tcPr>
            <w:tcW w:w="820" w:type="dxa"/>
            <w:vAlign w:val="bottom"/>
          </w:tcPr>
          <w:p>
            <w:pPr>
              <w:jc w:val="right"/>
              <w:spacing w:after="0"/>
              <w:rPr>
                <w:sz w:val="20"/>
                <w:szCs w:val="20"/>
                <w:color w:val="auto"/>
              </w:rPr>
            </w:pPr>
            <w:r>
              <w:rPr>
                <w:rFonts w:ascii="Arial" w:cs="Arial" w:eastAsia="Arial" w:hAnsi="Arial"/>
                <w:sz w:val="16"/>
                <w:szCs w:val="16"/>
                <w:color w:val="auto"/>
              </w:rPr>
              <w:t>6,759</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7,187</w:t>
            </w:r>
          </w:p>
        </w:tc>
        <w:tc>
          <w:tcPr>
            <w:tcW w:w="820" w:type="dxa"/>
            <w:vAlign w:val="bottom"/>
          </w:tcPr>
          <w:p>
            <w:pPr>
              <w:jc w:val="right"/>
              <w:spacing w:after="0"/>
              <w:rPr>
                <w:sz w:val="20"/>
                <w:szCs w:val="20"/>
                <w:color w:val="auto"/>
              </w:rPr>
            </w:pPr>
            <w:r>
              <w:rPr>
                <w:rFonts w:ascii="Arial" w:cs="Arial" w:eastAsia="Arial" w:hAnsi="Arial"/>
                <w:sz w:val="16"/>
                <w:szCs w:val="16"/>
                <w:color w:val="auto"/>
              </w:rPr>
              <w:t>6,869</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-318</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110</w:t>
            </w:r>
          </w:p>
        </w:tc>
      </w:tr>
      <w:tr>
        <w:trPr>
          <w:trHeight w:val="196"/>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BCP Stand-alone</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9,408</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9,876</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9,564</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-312</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156</w:t>
            </w:r>
          </w:p>
        </w:tc>
        <w:tc>
          <w:tcPr>
            <w:tcW w:w="80" w:type="dxa"/>
            <w:vAlign w:val="bottom"/>
            <w:tcBorders>
              <w:top w:val="single" w:sz="8" w:color="CCEEFF"/>
            </w:tcBorders>
            <w:shd w:val="clear" w:color="auto" w:fill="CCEEFF"/>
          </w:tcPr>
          <w:p>
            <w:pPr>
              <w:spacing w:after="0"/>
              <w:rPr>
                <w:sz w:val="17"/>
                <w:szCs w:val="17"/>
                <w:color w:val="auto"/>
              </w:rPr>
            </w:pPr>
          </w:p>
        </w:tc>
      </w:tr>
      <w:tr>
        <w:trPr>
          <w:trHeight w:val="234"/>
        </w:trPr>
        <w:tc>
          <w:tcPr>
            <w:tcW w:w="4140" w:type="dxa"/>
            <w:vAlign w:val="bottom"/>
          </w:tcPr>
          <w:p>
            <w:pPr>
              <w:spacing w:after="0" w:line="233" w:lineRule="exact"/>
              <w:rPr>
                <w:sz w:val="20"/>
                <w:szCs w:val="20"/>
                <w:color w:val="auto"/>
              </w:rPr>
            </w:pPr>
            <w:r>
              <w:rPr>
                <w:rFonts w:ascii="Arial" w:cs="Arial" w:eastAsia="Arial" w:hAnsi="Arial"/>
                <w:sz w:val="16"/>
                <w:szCs w:val="16"/>
                <w:b w:val="1"/>
                <w:bCs w:val="1"/>
                <w:color w:val="auto"/>
              </w:rPr>
              <w:t xml:space="preserve">Total Mibanco's Network </w:t>
            </w:r>
            <w:r>
              <w:rPr>
                <w:rFonts w:ascii="Arial" w:cs="Arial" w:eastAsia="Arial" w:hAnsi="Arial"/>
                <w:sz w:val="26"/>
                <w:szCs w:val="26"/>
                <w:b w:val="1"/>
                <w:bCs w:val="1"/>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324</w:t>
            </w:r>
          </w:p>
        </w:tc>
        <w:tc>
          <w:tcPr>
            <w:tcW w:w="1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323</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325</w:t>
            </w: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20"/>
                <w:szCs w:val="20"/>
                <w:color w:val="auto"/>
              </w:rPr>
            </w:pPr>
          </w:p>
        </w:tc>
      </w:tr>
      <w:tr>
        <w:trPr>
          <w:trHeight w:val="193"/>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BCP Bolivia</w:t>
            </w: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0"/>
        </w:trPr>
        <w:tc>
          <w:tcPr>
            <w:tcW w:w="4140" w:type="dxa"/>
            <w:vAlign w:val="bottom"/>
          </w:tcPr>
          <w:p>
            <w:pPr>
              <w:spacing w:after="0"/>
              <w:rPr>
                <w:sz w:val="20"/>
                <w:szCs w:val="20"/>
                <w:color w:val="auto"/>
              </w:rPr>
            </w:pPr>
            <w:r>
              <w:rPr>
                <w:rFonts w:ascii="Arial" w:cs="Arial" w:eastAsia="Arial" w:hAnsi="Arial"/>
                <w:sz w:val="16"/>
                <w:szCs w:val="16"/>
                <w:color w:val="auto"/>
              </w:rPr>
              <w:t>Branches</w:t>
            </w:r>
          </w:p>
        </w:tc>
        <w:tc>
          <w:tcPr>
            <w:tcW w:w="820" w:type="dxa"/>
            <w:vAlign w:val="bottom"/>
          </w:tcPr>
          <w:p>
            <w:pPr>
              <w:jc w:val="right"/>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54</w:t>
            </w:r>
          </w:p>
        </w:tc>
        <w:tc>
          <w:tcPr>
            <w:tcW w:w="820" w:type="dxa"/>
            <w:vAlign w:val="bottom"/>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r>
      <w:tr>
        <w:trPr>
          <w:trHeight w:val="200"/>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ATMs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7"/>
                <w:szCs w:val="17"/>
                <w:color w:val="auto"/>
              </w:rPr>
            </w:pPr>
          </w:p>
        </w:tc>
      </w:tr>
      <w:tr>
        <w:trPr>
          <w:trHeight w:val="211"/>
        </w:trPr>
        <w:tc>
          <w:tcPr>
            <w:tcW w:w="4140" w:type="dxa"/>
            <w:vAlign w:val="bottom"/>
          </w:tcPr>
          <w:p>
            <w:pPr>
              <w:spacing w:after="0"/>
              <w:rPr>
                <w:sz w:val="20"/>
                <w:szCs w:val="20"/>
                <w:color w:val="auto"/>
              </w:rPr>
            </w:pPr>
            <w:r>
              <w:rPr>
                <w:rFonts w:ascii="Arial" w:cs="Arial" w:eastAsia="Arial" w:hAnsi="Arial"/>
                <w:sz w:val="16"/>
                <w:szCs w:val="16"/>
                <w:color w:val="auto"/>
              </w:rPr>
              <w:t>Agentes BCP Bolivia</w:t>
            </w:r>
          </w:p>
        </w:tc>
        <w:tc>
          <w:tcPr>
            <w:tcW w:w="820" w:type="dxa"/>
            <w:vAlign w:val="bottom"/>
          </w:tcPr>
          <w:p>
            <w:pPr>
              <w:jc w:val="right"/>
              <w:spacing w:after="0"/>
              <w:rPr>
                <w:sz w:val="20"/>
                <w:szCs w:val="20"/>
                <w:color w:val="auto"/>
              </w:rPr>
            </w:pPr>
            <w:r>
              <w:rPr>
                <w:rFonts w:ascii="Arial" w:cs="Arial" w:eastAsia="Arial" w:hAnsi="Arial"/>
                <w:sz w:val="16"/>
                <w:szCs w:val="16"/>
                <w:color w:val="auto"/>
              </w:rPr>
              <w:t>363</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446</w:t>
            </w:r>
          </w:p>
        </w:tc>
        <w:tc>
          <w:tcPr>
            <w:tcW w:w="820" w:type="dxa"/>
            <w:vAlign w:val="bottom"/>
          </w:tcPr>
          <w:p>
            <w:pPr>
              <w:jc w:val="right"/>
              <w:spacing w:after="0"/>
              <w:rPr>
                <w:sz w:val="20"/>
                <w:szCs w:val="20"/>
                <w:color w:val="auto"/>
              </w:rPr>
            </w:pPr>
            <w:r>
              <w:rPr>
                <w:rFonts w:ascii="Arial" w:cs="Arial" w:eastAsia="Arial" w:hAnsi="Arial"/>
                <w:sz w:val="16"/>
                <w:szCs w:val="16"/>
                <w:color w:val="auto"/>
              </w:rPr>
              <w:t>555</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109</w:t>
            </w:r>
          </w:p>
        </w:tc>
        <w:tc>
          <w:tcPr>
            <w:tcW w:w="780" w:type="dxa"/>
            <w:vAlign w:val="bottom"/>
          </w:tcPr>
          <w:p>
            <w:pPr>
              <w:jc w:val="right"/>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18"/>
                <w:szCs w:val="18"/>
                <w:color w:val="auto"/>
              </w:rPr>
            </w:pPr>
          </w:p>
        </w:tc>
      </w:tr>
      <w:tr>
        <w:trPr>
          <w:trHeight w:val="196"/>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Bolivia's Network</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718</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801</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917</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w:t>
            </w: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4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1"/>
        </w:trPr>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points of contact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10,450</w:t>
            </w:r>
          </w:p>
        </w:tc>
        <w:tc>
          <w:tcPr>
            <w:tcW w:w="1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11,000</w:t>
            </w:r>
          </w:p>
        </w:tc>
        <w:tc>
          <w:tcPr>
            <w:tcW w:w="1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10,806</w:t>
            </w:r>
          </w:p>
        </w:tc>
        <w:tc>
          <w:tcPr>
            <w:tcW w:w="1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356</w:t>
            </w:r>
          </w:p>
        </w:tc>
        <w:tc>
          <w:tcPr>
            <w:tcW w:w="80" w:type="dxa"/>
            <w:vAlign w:val="bottom"/>
            <w:shd w:val="clear" w:color="auto" w:fill="CCEEFF"/>
          </w:tcPr>
          <w:p>
            <w:pPr>
              <w:spacing w:after="0"/>
              <w:rPr>
                <w:sz w:val="18"/>
                <w:szCs w:val="18"/>
                <w:color w:val="auto"/>
              </w:rPr>
            </w:pPr>
          </w:p>
        </w:tc>
      </w:tr>
    </w:tbl>
    <w:p>
      <w:pPr>
        <w:spacing w:after="0" w:line="199" w:lineRule="exact"/>
        <w:rPr>
          <w:sz w:val="20"/>
          <w:szCs w:val="20"/>
          <w:color w:val="auto"/>
        </w:rPr>
      </w:pPr>
    </w:p>
    <w:p>
      <w:pPr>
        <w:ind w:firstLine="7"/>
        <w:spacing w:after="0" w:line="270" w:lineRule="auto"/>
        <w:tabs>
          <w:tab w:leader="none" w:pos="2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Mibanco does not have Agents or ATMs because it uses the BCP network. Mibanco branches include Banco de la Nacion branches, which in Mar 19, Dec 19 and Mar 20 were 35.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 Universal Banking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9.1.1. Points of contact by geographic area – BCP Stand-alone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4"/>
              </w:rPr>
              <w:t>As of</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rPr>
              <w:t>change (units)</w:t>
            </w:r>
          </w:p>
        </w:tc>
      </w:tr>
      <w:tr>
        <w:trPr>
          <w:trHeight w:val="207"/>
        </w:trPr>
        <w:tc>
          <w:tcPr>
            <w:tcW w:w="4140" w:type="dxa"/>
            <w:vAlign w:val="bottom"/>
          </w:tcPr>
          <w:p>
            <w:pPr>
              <w:spacing w:after="0"/>
              <w:rPr>
                <w:sz w:val="18"/>
                <w:szCs w:val="18"/>
                <w:color w:val="auto"/>
              </w:rPr>
            </w:pPr>
          </w:p>
        </w:tc>
        <w:tc>
          <w:tcPr>
            <w:tcW w:w="100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Mar 19</w:t>
            </w:r>
          </w:p>
        </w:tc>
        <w:tc>
          <w:tcPr>
            <w:tcW w:w="100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9"/>
              </w:rPr>
              <w:t>Dec 19</w:t>
            </w:r>
          </w:p>
        </w:tc>
        <w:tc>
          <w:tcPr>
            <w:tcW w:w="8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Mar 20</w:t>
            </w:r>
          </w:p>
        </w:tc>
        <w:tc>
          <w:tcPr>
            <w:tcW w:w="180" w:type="dxa"/>
            <w:vAlign w:val="bottom"/>
          </w:tcPr>
          <w:p>
            <w:pPr>
              <w:spacing w:after="0"/>
              <w:rPr>
                <w:sz w:val="18"/>
                <w:szCs w:val="18"/>
                <w:color w:val="auto"/>
              </w:rPr>
            </w:pPr>
          </w:p>
        </w:tc>
        <w:tc>
          <w:tcPr>
            <w:tcW w:w="98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QoQ</w:t>
            </w:r>
          </w:p>
        </w:tc>
        <w:tc>
          <w:tcPr>
            <w:tcW w:w="78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YoY</w:t>
            </w:r>
          </w:p>
        </w:tc>
        <w:tc>
          <w:tcPr>
            <w:tcW w:w="80" w:type="dxa"/>
            <w:vAlign w:val="bottom"/>
          </w:tcPr>
          <w:p>
            <w:pPr>
              <w:spacing w:after="0"/>
              <w:rPr>
                <w:sz w:val="18"/>
                <w:szCs w:val="18"/>
                <w:color w:val="auto"/>
              </w:rPr>
            </w:pPr>
          </w:p>
        </w:tc>
      </w:tr>
      <w:tr>
        <w:trPr>
          <w:trHeight w:val="196"/>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Lima</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7"/>
                <w:szCs w:val="17"/>
                <w:color w:val="auto"/>
              </w:rPr>
            </w:pPr>
          </w:p>
        </w:tc>
      </w:tr>
      <w:tr>
        <w:trPr>
          <w:trHeight w:val="211"/>
        </w:trPr>
        <w:tc>
          <w:tcPr>
            <w:tcW w:w="4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Provinces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80" w:type="dxa"/>
            <w:vAlign w:val="bottom"/>
            <w:tcBorders>
              <w:bottom w:val="single" w:sz="8" w:color="CCEEFF"/>
            </w:tcBorders>
          </w:tcPr>
          <w:p>
            <w:pPr>
              <w:spacing w:after="0"/>
              <w:rPr>
                <w:sz w:val="18"/>
                <w:szCs w:val="18"/>
                <w:color w:val="auto"/>
              </w:rPr>
            </w:pPr>
          </w:p>
        </w:tc>
      </w:tr>
      <w:tr>
        <w:trPr>
          <w:trHeight w:val="236"/>
        </w:trPr>
        <w:tc>
          <w:tcPr>
            <w:tcW w:w="4140" w:type="dxa"/>
            <w:vAlign w:val="bottom"/>
            <w:shd w:val="clear" w:color="auto" w:fill="CCEEFF"/>
          </w:tcPr>
          <w:p>
            <w:pPr>
              <w:spacing w:after="0" w:line="236" w:lineRule="exact"/>
              <w:rPr>
                <w:sz w:val="20"/>
                <w:szCs w:val="20"/>
                <w:color w:val="auto"/>
              </w:rPr>
            </w:pPr>
            <w:r>
              <w:rPr>
                <w:rFonts w:ascii="Arial" w:cs="Arial" w:eastAsia="Arial" w:hAnsi="Arial"/>
                <w:sz w:val="16"/>
                <w:szCs w:val="16"/>
                <w:b w:val="1"/>
                <w:bCs w:val="1"/>
                <w:color w:val="auto"/>
              </w:rPr>
              <w:t>Total Branches</w:t>
            </w:r>
            <w:r>
              <w:rPr>
                <w:rFonts w:ascii="Arial" w:cs="Arial" w:eastAsia="Arial" w:hAnsi="Arial"/>
                <w:sz w:val="26"/>
                <w:szCs w:val="26"/>
                <w:b w:val="1"/>
                <w:bCs w:val="1"/>
                <w:color w:val="auto"/>
                <w:vertAlign w:val="superscript"/>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405</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404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404</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r>
      <w:tr>
        <w:trPr>
          <w:trHeight w:val="193"/>
        </w:trPr>
        <w:tc>
          <w:tcPr>
            <w:tcW w:w="4140" w:type="dxa"/>
            <w:vAlign w:val="bottom"/>
          </w:tcPr>
          <w:p>
            <w:pPr>
              <w:spacing w:after="0"/>
              <w:rPr>
                <w:sz w:val="20"/>
                <w:szCs w:val="20"/>
                <w:color w:val="auto"/>
              </w:rPr>
            </w:pPr>
            <w:r>
              <w:rPr>
                <w:rFonts w:ascii="Arial" w:cs="Arial" w:eastAsia="Arial" w:hAnsi="Arial"/>
                <w:sz w:val="16"/>
                <w:szCs w:val="16"/>
                <w:color w:val="auto"/>
              </w:rPr>
              <w:t>Lima</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1,490</w:t>
            </w:r>
          </w:p>
        </w:tc>
        <w:tc>
          <w:tcPr>
            <w:tcW w:w="18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1,533</w:t>
            </w:r>
          </w:p>
        </w:tc>
        <w:tc>
          <w:tcPr>
            <w:tcW w:w="18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1,536</w:t>
            </w:r>
          </w:p>
        </w:tc>
        <w:tc>
          <w:tcPr>
            <w:tcW w:w="18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6"/>
                <w:szCs w:val="16"/>
                <w:color w:val="auto"/>
              </w:rPr>
            </w:pPr>
          </w:p>
        </w:tc>
      </w:tr>
      <w:tr>
        <w:trPr>
          <w:trHeight w:val="213"/>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Provinces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752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r>
      <w:tr>
        <w:trPr>
          <w:trHeight w:val="193"/>
        </w:trPr>
        <w:tc>
          <w:tcPr>
            <w:tcW w:w="41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ATM's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2,244</w:t>
            </w:r>
          </w:p>
        </w:tc>
        <w:tc>
          <w:tcPr>
            <w:tcW w:w="18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2,285</w:t>
            </w:r>
          </w:p>
        </w:tc>
        <w:tc>
          <w:tcPr>
            <w:tcW w:w="18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2,291</w:t>
            </w:r>
          </w:p>
        </w:tc>
        <w:tc>
          <w:tcPr>
            <w:tcW w:w="18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80" w:type="dxa"/>
            <w:vAlign w:val="bottom"/>
            <w:tcBorders>
              <w:bottom w:val="single" w:sz="8" w:color="CCEEFF"/>
            </w:tcBorders>
          </w:tcPr>
          <w:p>
            <w:pPr>
              <w:spacing w:after="0"/>
              <w:rPr>
                <w:sz w:val="16"/>
                <w:szCs w:val="16"/>
                <w:color w:val="auto"/>
              </w:rPr>
            </w:pPr>
          </w:p>
        </w:tc>
      </w:tr>
      <w:tr>
        <w:trPr>
          <w:trHeight w:val="193"/>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Lima</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6"/>
                <w:szCs w:val="16"/>
                <w:color w:val="auto"/>
              </w:rPr>
            </w:pPr>
          </w:p>
        </w:tc>
      </w:tr>
      <w:tr>
        <w:trPr>
          <w:trHeight w:val="211"/>
        </w:trPr>
        <w:tc>
          <w:tcPr>
            <w:tcW w:w="4140" w:type="dxa"/>
            <w:vAlign w:val="bottom"/>
          </w:tcPr>
          <w:p>
            <w:pPr>
              <w:spacing w:after="0"/>
              <w:rPr>
                <w:sz w:val="20"/>
                <w:szCs w:val="20"/>
                <w:color w:val="auto"/>
              </w:rPr>
            </w:pPr>
            <w:r>
              <w:rPr>
                <w:rFonts w:ascii="Arial" w:cs="Arial" w:eastAsia="Arial" w:hAnsi="Arial"/>
                <w:sz w:val="16"/>
                <w:szCs w:val="16"/>
                <w:color w:val="auto"/>
              </w:rPr>
              <w:t>Provinces</w:t>
            </w:r>
          </w:p>
        </w:tc>
        <w:tc>
          <w:tcPr>
            <w:tcW w:w="820" w:type="dxa"/>
            <w:vAlign w:val="bottom"/>
          </w:tcPr>
          <w:p>
            <w:pPr>
              <w:jc w:val="right"/>
              <w:spacing w:after="0"/>
              <w:rPr>
                <w:sz w:val="20"/>
                <w:szCs w:val="20"/>
                <w:color w:val="auto"/>
              </w:rPr>
            </w:pPr>
            <w:r>
              <w:rPr>
                <w:rFonts w:ascii="Arial" w:cs="Arial" w:eastAsia="Arial" w:hAnsi="Arial"/>
                <w:sz w:val="16"/>
                <w:szCs w:val="16"/>
                <w:color w:val="auto"/>
              </w:rPr>
              <w:t>3,299</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3,606</w:t>
            </w:r>
          </w:p>
        </w:tc>
        <w:tc>
          <w:tcPr>
            <w:tcW w:w="820" w:type="dxa"/>
            <w:vAlign w:val="bottom"/>
          </w:tcPr>
          <w:p>
            <w:pPr>
              <w:jc w:val="right"/>
              <w:spacing w:after="0"/>
              <w:rPr>
                <w:sz w:val="20"/>
                <w:szCs w:val="20"/>
                <w:color w:val="auto"/>
              </w:rPr>
            </w:pPr>
            <w:r>
              <w:rPr>
                <w:rFonts w:ascii="Arial" w:cs="Arial" w:eastAsia="Arial" w:hAnsi="Arial"/>
                <w:sz w:val="16"/>
                <w:szCs w:val="16"/>
                <w:color w:val="auto"/>
              </w:rPr>
              <w:t>3,451</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-155</w:t>
            </w:r>
          </w:p>
        </w:tc>
        <w:tc>
          <w:tcPr>
            <w:tcW w:w="780" w:type="dxa"/>
            <w:vAlign w:val="bottom"/>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18"/>
                <w:szCs w:val="18"/>
                <w:color w:val="auto"/>
              </w:rPr>
            </w:pPr>
          </w:p>
        </w:tc>
      </w:tr>
      <w:tr>
        <w:trPr>
          <w:trHeight w:val="196"/>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Agentes BCP</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6,759</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7,187</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6,869</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tcBorders>
              <w:top w:val="single" w:sz="8" w:color="CCEEFF"/>
            </w:tcBorders>
            <w:shd w:val="clear" w:color="auto" w:fill="CCEEFF"/>
          </w:tcPr>
          <w:p>
            <w:pPr>
              <w:spacing w:after="0"/>
              <w:rPr>
                <w:sz w:val="17"/>
                <w:szCs w:val="17"/>
                <w:color w:val="auto"/>
              </w:rPr>
            </w:pPr>
          </w:p>
        </w:tc>
      </w:tr>
      <w:tr>
        <w:trPr>
          <w:trHeight w:val="193"/>
        </w:trPr>
        <w:tc>
          <w:tcPr>
            <w:tcW w:w="4140" w:type="dxa"/>
            <w:vAlign w:val="bottom"/>
          </w:tcPr>
          <w:p>
            <w:pPr>
              <w:spacing w:after="0"/>
              <w:rPr>
                <w:sz w:val="20"/>
                <w:szCs w:val="20"/>
                <w:color w:val="auto"/>
              </w:rPr>
            </w:pPr>
            <w:r>
              <w:rPr>
                <w:rFonts w:ascii="Arial" w:cs="Arial" w:eastAsia="Arial" w:hAnsi="Arial"/>
                <w:sz w:val="16"/>
                <w:szCs w:val="16"/>
                <w:b w:val="1"/>
                <w:bCs w:val="1"/>
                <w:color w:val="auto"/>
              </w:rPr>
              <w:t>Total points of contact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9,408</w:t>
            </w:r>
          </w:p>
        </w:tc>
        <w:tc>
          <w:tcPr>
            <w:tcW w:w="1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9,876</w:t>
            </w:r>
          </w:p>
        </w:tc>
        <w:tc>
          <w:tcPr>
            <w:tcW w:w="1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9,564</w:t>
            </w:r>
          </w:p>
        </w:tc>
        <w:tc>
          <w:tcPr>
            <w:tcW w:w="1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-312</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w:t>
            </w:r>
          </w:p>
        </w:tc>
        <w:tc>
          <w:tcPr>
            <w:tcW w:w="80" w:type="dxa"/>
            <w:vAlign w:val="bottom"/>
          </w:tcPr>
          <w:p>
            <w:pPr>
              <w:spacing w:after="0"/>
              <w:rPr>
                <w:sz w:val="16"/>
                <w:szCs w:val="16"/>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from previously reported, consider the amounts presented in this report.</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BCP Stand-alone registered a drop of 312 points of contact QoQ to situate at a total of 9,564 points at the end of March 2020. The decline was due primarily to a decrease in the number of Agentes BCP, which fell 318 points (-163 points in Lima and -155 in the provinces). Our service channels are evaluated on a regular basis to determine if they should remain open or be relocated. Decisions on these matters are executed in the first quarter of the year. In 2020, the plan was to relocate a large number of agents. As such, non-performing channels were closed at the beginning to the first quarter. Nevertheless, the advent of COVID-19 and the ensuing sanitary emergency paralyzed the movements of most of the population affected plans to relocate Agentes, which will commence when the state of emergency is lifted.</w:t>
      </w:r>
    </w:p>
    <w:p>
      <w:pPr>
        <w:spacing w:after="0" w:line="190"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Additionally, the number of branches remain stable QoQ and ATMs increased by +6. Growth at the branch level was seen in areas that required more coverage to meet the needs of BCP’s clients. Expansion in ATMs was due to openings of neutral points in Lima and provinces.</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jc w:val="both"/>
        <w:spacing w:after="0" w:line="274" w:lineRule="auto"/>
        <w:rPr>
          <w:sz w:val="20"/>
          <w:szCs w:val="20"/>
          <w:color w:val="auto"/>
        </w:rPr>
      </w:pPr>
      <w:r>
        <w:rPr>
          <w:rFonts w:ascii="Arial" w:cs="Arial" w:eastAsia="Arial" w:hAnsi="Arial"/>
          <w:sz w:val="17"/>
          <w:szCs w:val="17"/>
          <w:color w:val="auto"/>
        </w:rPr>
        <w:t>In the YoY analysis, BCP Stand-alone’s total points of contact increased +156 units. This was driven primarily by growth in Agentes BCP in the provinces (+152) and by an increase in ATMs (+47) after neutral points were installed in Lima and new modules were set up at our branches in Lima and Callao in 2019. The aforementioned reflects the bank’s strategy to be closer to our clients and to the population that has yet to access the financial system by providing cost-efficient channels and ensuring better coverage in the locations where we already have a presence.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9.1.2. Transactions per channel – BCP Stand-alone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per channel – BCP Stand-alone</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Monthly average in each quarter</w:t>
            </w: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93"/>
        </w:trPr>
        <w:tc>
          <w:tcPr>
            <w:tcW w:w="7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ind w:left="60"/>
              <w:spacing w:after="0" w:line="193" w:lineRule="exact"/>
              <w:rPr>
                <w:sz w:val="20"/>
                <w:szCs w:val="20"/>
                <w:color w:val="auto"/>
              </w:rPr>
            </w:pPr>
            <w:r>
              <w:rPr>
                <w:rFonts w:ascii="Arial" w:cs="Arial" w:eastAsia="Arial" w:hAnsi="Arial"/>
                <w:sz w:val="14"/>
                <w:szCs w:val="14"/>
                <w:b w:val="1"/>
                <w:bCs w:val="1"/>
                <w:color w:val="auto"/>
                <w:w w:val="92"/>
              </w:rPr>
              <w:t xml:space="preserve">N° of Transactions per channel </w:t>
            </w:r>
            <w:r>
              <w:rPr>
                <w:rFonts w:ascii="Arial" w:cs="Arial" w:eastAsia="Arial" w:hAnsi="Arial"/>
                <w:sz w:val="22"/>
                <w:szCs w:val="22"/>
                <w:b w:val="1"/>
                <w:bCs w:val="1"/>
                <w:color w:val="auto"/>
                <w:w w:val="92"/>
                <w:vertAlign w:val="superscript"/>
              </w:rPr>
              <w:t>(1)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1Q19</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4Q19</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1Q20</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gridSpan w:val="2"/>
          </w:tcPr>
          <w:p>
            <w:pPr>
              <w:spacing w:after="0"/>
              <w:rPr>
                <w:sz w:val="16"/>
                <w:szCs w:val="16"/>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6"/>
                <w:szCs w:val="16"/>
                <w:color w:val="auto"/>
              </w:rPr>
            </w:pPr>
          </w:p>
        </w:tc>
      </w:tr>
      <w:tr>
        <w:trPr>
          <w:trHeight w:val="193"/>
        </w:trPr>
        <w:tc>
          <w:tcPr>
            <w:tcW w:w="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Traditional</w:t>
            </w:r>
          </w:p>
        </w:tc>
        <w:tc>
          <w:tcPr>
            <w:tcW w:w="258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Teller</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7,836,871</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w:t>
            </w: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7,715,870</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6,699,584</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-14.5%</w:t>
            </w:r>
          </w:p>
        </w:tc>
      </w:tr>
      <w:tr>
        <w:trPr>
          <w:trHeight w:val="213"/>
        </w:trPr>
        <w:tc>
          <w:tcPr>
            <w:tcW w:w="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channels</w:t>
            </w:r>
          </w:p>
        </w:tc>
        <w:tc>
          <w:tcPr>
            <w:tcW w:w="258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Telephone banking</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4,947,564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w:t>
            </w: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5,056,869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4,354,138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-12.0%</w:t>
            </w:r>
          </w:p>
        </w:tc>
      </w:tr>
      <w:tr>
        <w:trPr>
          <w:trHeight w:val="124"/>
        </w:trPr>
        <w:tc>
          <w:tcPr>
            <w:tcW w:w="7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5"/>
        </w:trPr>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efficient</w:t>
            </w:r>
          </w:p>
        </w:tc>
        <w:tc>
          <w:tcPr>
            <w:tcW w:w="2580" w:type="dxa"/>
            <w:vAlign w:val="bottom"/>
            <w:gridSpan w:val="4"/>
          </w:tcPr>
          <w:p>
            <w:pPr>
              <w:ind w:left="180"/>
              <w:spacing w:after="0"/>
              <w:rPr>
                <w:sz w:val="20"/>
                <w:szCs w:val="20"/>
                <w:color w:val="auto"/>
              </w:rPr>
            </w:pPr>
            <w:r>
              <w:rPr>
                <w:rFonts w:ascii="Arial" w:cs="Arial" w:eastAsia="Arial" w:hAnsi="Arial"/>
                <w:sz w:val="14"/>
                <w:szCs w:val="14"/>
                <w:color w:val="auto"/>
              </w:rPr>
              <w:t>Agentes BCP</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24,802,140</w:t>
            </w:r>
          </w:p>
        </w:tc>
        <w:tc>
          <w:tcPr>
            <w:tcW w:w="1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14.0%</w:t>
            </w:r>
          </w:p>
        </w:tc>
        <w:tc>
          <w:tcPr>
            <w:tcW w:w="1140" w:type="dxa"/>
            <w:vAlign w:val="bottom"/>
            <w:gridSpan w:val="4"/>
          </w:tcPr>
          <w:p>
            <w:pPr>
              <w:jc w:val="right"/>
              <w:ind w:right="200"/>
              <w:spacing w:after="0"/>
              <w:rPr>
                <w:sz w:val="20"/>
                <w:szCs w:val="20"/>
                <w:color w:val="auto"/>
              </w:rPr>
            </w:pPr>
            <w:r>
              <w:rPr>
                <w:rFonts w:ascii="Arial" w:cs="Arial" w:eastAsia="Arial" w:hAnsi="Arial"/>
                <w:sz w:val="14"/>
                <w:szCs w:val="14"/>
                <w:color w:val="auto"/>
              </w:rPr>
              <w:t>32,534,245</w:t>
            </w:r>
          </w:p>
        </w:tc>
        <w:tc>
          <w:tcPr>
            <w:tcW w:w="12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28,285,371</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14.0%</w:t>
            </w:r>
          </w:p>
        </w:tc>
      </w:tr>
      <w:tr>
        <w:trPr>
          <w:trHeight w:val="198"/>
        </w:trPr>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channels</w:t>
            </w:r>
          </w:p>
        </w:tc>
        <w:tc>
          <w:tcPr>
            <w:tcW w:w="2580" w:type="dxa"/>
            <w:vAlign w:val="bottom"/>
            <w:gridSpan w:val="4"/>
          </w:tcPr>
          <w:p>
            <w:pPr>
              <w:ind w:left="180"/>
              <w:spacing w:after="0"/>
              <w:rPr>
                <w:sz w:val="20"/>
                <w:szCs w:val="20"/>
                <w:color w:val="auto"/>
              </w:rPr>
            </w:pPr>
            <w:r>
              <w:rPr>
                <w:rFonts w:ascii="Arial" w:cs="Arial" w:eastAsia="Arial" w:hAnsi="Arial"/>
                <w:sz w:val="14"/>
                <w:szCs w:val="14"/>
                <w:color w:val="auto"/>
              </w:rPr>
              <w:t>ATMs</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24,405,732</w:t>
            </w: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13.8%</w:t>
            </w:r>
          </w:p>
        </w:tc>
        <w:tc>
          <w:tcPr>
            <w:tcW w:w="1140" w:type="dxa"/>
            <w:vAlign w:val="bottom"/>
            <w:gridSpan w:val="4"/>
          </w:tcPr>
          <w:p>
            <w:pPr>
              <w:jc w:val="right"/>
              <w:ind w:right="200"/>
              <w:spacing w:after="0"/>
              <w:rPr>
                <w:sz w:val="20"/>
                <w:szCs w:val="20"/>
                <w:color w:val="auto"/>
              </w:rPr>
            </w:pPr>
            <w:r>
              <w:rPr>
                <w:rFonts w:ascii="Arial" w:cs="Arial" w:eastAsia="Arial" w:hAnsi="Arial"/>
                <w:sz w:val="14"/>
                <w:szCs w:val="14"/>
                <w:color w:val="auto"/>
              </w:rPr>
              <w:t>25,678,078</w:t>
            </w:r>
          </w:p>
        </w:tc>
        <w:tc>
          <w:tcPr>
            <w:tcW w:w="1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21,110,659</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-13.5%</w:t>
            </w:r>
          </w:p>
        </w:tc>
      </w:tr>
      <w:tr>
        <w:trPr>
          <w:trHeight w:val="213"/>
        </w:trPr>
        <w:tc>
          <w:tcPr>
            <w:tcW w:w="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Digital</w:t>
            </w:r>
          </w:p>
        </w:tc>
        <w:tc>
          <w:tcPr>
            <w:tcW w:w="258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Mobile banking</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68,528,959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38.6%</w:t>
            </w: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120,275,484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9"/>
              </w:rPr>
              <w:t>114,479,895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67.1%</w:t>
            </w:r>
          </w:p>
        </w:tc>
      </w:tr>
      <w:tr>
        <w:trPr>
          <w:trHeight w:val="213"/>
        </w:trPr>
        <w:tc>
          <w:tcPr>
            <w:tcW w:w="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channels</w:t>
            </w:r>
          </w:p>
        </w:tc>
        <w:tc>
          <w:tcPr>
            <w:tcW w:w="18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Internet banking Via BCP</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16,185,835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9.1%</w:t>
            </w: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23,757,780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22,449,556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38.7%</w:t>
            </w:r>
          </w:p>
        </w:tc>
      </w:tr>
      <w:tr>
        <w:trPr>
          <w:trHeight w:val="213"/>
        </w:trPr>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Balance inquiries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1,295,030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0.7%</w:t>
            </w: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1,238,521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991,474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-23.4%</w:t>
            </w:r>
          </w:p>
        </w:tc>
      </w:tr>
      <w:tr>
        <w:trPr>
          <w:trHeight w:val="229"/>
        </w:trPr>
        <w:tc>
          <w:tcPr>
            <w:tcW w:w="700" w:type="dxa"/>
            <w:vAlign w:val="bottom"/>
          </w:tcPr>
          <w:p>
            <w:pPr>
              <w:spacing w:after="0"/>
              <w:rPr>
                <w:sz w:val="19"/>
                <w:szCs w:val="19"/>
                <w:color w:val="auto"/>
              </w:rPr>
            </w:pPr>
          </w:p>
        </w:tc>
        <w:tc>
          <w:tcPr>
            <w:tcW w:w="2580" w:type="dxa"/>
            <w:vAlign w:val="bottom"/>
            <w:gridSpan w:val="4"/>
          </w:tcPr>
          <w:p>
            <w:pPr>
              <w:ind w:left="180"/>
              <w:spacing w:after="0"/>
              <w:rPr>
                <w:sz w:val="20"/>
                <w:szCs w:val="20"/>
                <w:color w:val="auto"/>
              </w:rPr>
            </w:pPr>
            <w:r>
              <w:rPr>
                <w:rFonts w:ascii="Arial" w:cs="Arial" w:eastAsia="Arial" w:hAnsi="Arial"/>
                <w:sz w:val="14"/>
                <w:szCs w:val="14"/>
                <w:color w:val="auto"/>
              </w:rPr>
              <w:t>Telecrédito</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11,318,983</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6.4%</w:t>
            </w:r>
          </w:p>
        </w:tc>
        <w:tc>
          <w:tcPr>
            <w:tcW w:w="1140" w:type="dxa"/>
            <w:vAlign w:val="bottom"/>
            <w:gridSpan w:val="4"/>
          </w:tcPr>
          <w:p>
            <w:pPr>
              <w:jc w:val="right"/>
              <w:ind w:right="200"/>
              <w:spacing w:after="0"/>
              <w:rPr>
                <w:sz w:val="20"/>
                <w:szCs w:val="20"/>
                <w:color w:val="auto"/>
              </w:rPr>
            </w:pPr>
            <w:r>
              <w:rPr>
                <w:rFonts w:ascii="Arial" w:cs="Arial" w:eastAsia="Arial" w:hAnsi="Arial"/>
                <w:sz w:val="14"/>
                <w:szCs w:val="14"/>
                <w:color w:val="auto"/>
              </w:rPr>
              <w:t>13,208,492</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13,571,633</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19.9%</w:t>
            </w:r>
          </w:p>
        </w:tc>
      </w:tr>
      <w:tr>
        <w:trPr>
          <w:trHeight w:val="213"/>
        </w:trPr>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Others</w:t>
            </w:r>
          </w:p>
        </w:tc>
        <w:tc>
          <w:tcPr>
            <w:tcW w:w="2580" w:type="dxa"/>
            <w:vAlign w:val="bottom"/>
            <w:gridSpan w:val="4"/>
          </w:tcPr>
          <w:p>
            <w:pPr>
              <w:ind w:left="180"/>
              <w:spacing w:after="0"/>
              <w:rPr>
                <w:sz w:val="20"/>
                <w:szCs w:val="20"/>
                <w:color w:val="auto"/>
              </w:rPr>
            </w:pPr>
            <w:r>
              <w:rPr>
                <w:rFonts w:ascii="Arial" w:cs="Arial" w:eastAsia="Arial" w:hAnsi="Arial"/>
                <w:sz w:val="14"/>
                <w:szCs w:val="14"/>
                <w:color w:val="auto"/>
              </w:rPr>
              <w:t>Direct debit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717,284</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0.4%</w:t>
            </w:r>
          </w:p>
        </w:tc>
        <w:tc>
          <w:tcPr>
            <w:tcW w:w="1140" w:type="dxa"/>
            <w:vAlign w:val="bottom"/>
            <w:gridSpan w:val="4"/>
          </w:tcPr>
          <w:p>
            <w:pPr>
              <w:jc w:val="right"/>
              <w:ind w:right="200"/>
              <w:spacing w:after="0"/>
              <w:rPr>
                <w:sz w:val="20"/>
                <w:szCs w:val="20"/>
                <w:color w:val="auto"/>
              </w:rPr>
            </w:pPr>
            <w:r>
              <w:rPr>
                <w:rFonts w:ascii="Arial" w:cs="Arial" w:eastAsia="Arial" w:hAnsi="Arial"/>
                <w:sz w:val="14"/>
                <w:szCs w:val="14"/>
                <w:color w:val="auto"/>
              </w:rPr>
              <w:t>920,143</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1,028,329</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43.4%</w:t>
            </w:r>
          </w:p>
        </w:tc>
      </w:tr>
      <w:tr>
        <w:trPr>
          <w:trHeight w:val="213"/>
        </w:trPr>
        <w:tc>
          <w:tcPr>
            <w:tcW w:w="700" w:type="dxa"/>
            <w:vAlign w:val="bottom"/>
          </w:tcPr>
          <w:p>
            <w:pPr>
              <w:spacing w:after="0"/>
              <w:rPr>
                <w:sz w:val="18"/>
                <w:szCs w:val="18"/>
                <w:color w:val="auto"/>
              </w:rPr>
            </w:pPr>
          </w:p>
        </w:tc>
        <w:tc>
          <w:tcPr>
            <w:tcW w:w="2580" w:type="dxa"/>
            <w:vAlign w:val="bottom"/>
            <w:gridSpan w:val="4"/>
          </w:tcPr>
          <w:p>
            <w:pPr>
              <w:ind w:left="180"/>
              <w:spacing w:after="0"/>
              <w:rPr>
                <w:sz w:val="20"/>
                <w:szCs w:val="20"/>
                <w:color w:val="auto"/>
              </w:rPr>
            </w:pPr>
            <w:r>
              <w:rPr>
                <w:rFonts w:ascii="Arial" w:cs="Arial" w:eastAsia="Arial" w:hAnsi="Arial"/>
                <w:sz w:val="14"/>
                <w:szCs w:val="14"/>
                <w:color w:val="auto"/>
              </w:rPr>
              <w:t>Points of sale P.O.S.</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17,205,460</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9.7%</w:t>
            </w:r>
          </w:p>
        </w:tc>
        <w:tc>
          <w:tcPr>
            <w:tcW w:w="1140" w:type="dxa"/>
            <w:vAlign w:val="bottom"/>
            <w:gridSpan w:val="4"/>
          </w:tcPr>
          <w:p>
            <w:pPr>
              <w:jc w:val="right"/>
              <w:ind w:right="200"/>
              <w:spacing w:after="0"/>
              <w:rPr>
                <w:sz w:val="20"/>
                <w:szCs w:val="20"/>
                <w:color w:val="auto"/>
              </w:rPr>
            </w:pPr>
            <w:r>
              <w:rPr>
                <w:rFonts w:ascii="Arial" w:cs="Arial" w:eastAsia="Arial" w:hAnsi="Arial"/>
                <w:sz w:val="14"/>
                <w:szCs w:val="14"/>
                <w:color w:val="auto"/>
              </w:rPr>
              <w:t>19,251,035</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18,389,832</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6.9%</w:t>
            </w:r>
          </w:p>
        </w:tc>
      </w:tr>
      <w:tr>
        <w:trPr>
          <w:trHeight w:val="198"/>
        </w:trPr>
        <w:tc>
          <w:tcPr>
            <w:tcW w:w="700" w:type="dxa"/>
            <w:vAlign w:val="bottom"/>
          </w:tcPr>
          <w:p>
            <w:pPr>
              <w:spacing w:after="0"/>
              <w:rPr>
                <w:sz w:val="17"/>
                <w:szCs w:val="17"/>
                <w:color w:val="auto"/>
              </w:rPr>
            </w:pPr>
          </w:p>
        </w:tc>
        <w:tc>
          <w:tcPr>
            <w:tcW w:w="2580" w:type="dxa"/>
            <w:vAlign w:val="bottom"/>
            <w:gridSpan w:val="4"/>
          </w:tcPr>
          <w:p>
            <w:pPr>
              <w:ind w:left="180"/>
              <w:spacing w:after="0"/>
              <w:rPr>
                <w:sz w:val="20"/>
                <w:szCs w:val="20"/>
                <w:color w:val="auto"/>
              </w:rPr>
            </w:pPr>
            <w:r>
              <w:rPr>
                <w:rFonts w:ascii="Arial" w:cs="Arial" w:eastAsia="Arial" w:hAnsi="Arial"/>
                <w:sz w:val="14"/>
                <w:szCs w:val="14"/>
                <w:color w:val="auto"/>
              </w:rPr>
              <w:t>Other ATMs network</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212,155</w:t>
            </w: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c>
          <w:tcPr>
            <w:tcW w:w="1140" w:type="dxa"/>
            <w:vAlign w:val="bottom"/>
            <w:gridSpan w:val="4"/>
          </w:tcPr>
          <w:p>
            <w:pPr>
              <w:jc w:val="right"/>
              <w:ind w:right="200"/>
              <w:spacing w:after="0"/>
              <w:rPr>
                <w:sz w:val="20"/>
                <w:szCs w:val="20"/>
                <w:color w:val="auto"/>
              </w:rPr>
            </w:pPr>
            <w:r>
              <w:rPr>
                <w:rFonts w:ascii="Arial" w:cs="Arial" w:eastAsia="Arial" w:hAnsi="Arial"/>
                <w:sz w:val="14"/>
                <w:szCs w:val="14"/>
                <w:color w:val="auto"/>
              </w:rPr>
              <w:t>290,695</w:t>
            </w:r>
          </w:p>
        </w:tc>
        <w:tc>
          <w:tcPr>
            <w:tcW w:w="1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256,084</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20.7%</w:t>
            </w:r>
          </w:p>
        </w:tc>
      </w:tr>
      <w:tr>
        <w:trPr>
          <w:trHeight w:val="20"/>
        </w:trPr>
        <w:tc>
          <w:tcPr>
            <w:tcW w:w="700" w:type="dxa"/>
            <w:vAlign w:val="bottom"/>
            <w:shd w:val="clear" w:color="auto" w:fill="CCEEFF"/>
          </w:tcPr>
          <w:p>
            <w:pPr>
              <w:spacing w:after="0" w:line="20" w:lineRule="exact"/>
              <w:rPr>
                <w:sz w:val="1"/>
                <w:szCs w:val="1"/>
                <w:color w:val="auto"/>
              </w:rPr>
            </w:pPr>
          </w:p>
        </w:tc>
        <w:tc>
          <w:tcPr>
            <w:tcW w:w="238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3"/>
        </w:trPr>
        <w:tc>
          <w:tcPr>
            <w:tcW w:w="700" w:type="dxa"/>
            <w:vAlign w:val="bottom"/>
            <w:shd w:val="clear" w:color="auto" w:fill="CCEEFF"/>
          </w:tcPr>
          <w:p>
            <w:pPr>
              <w:spacing w:after="0"/>
              <w:rPr>
                <w:sz w:val="16"/>
                <w:szCs w:val="16"/>
                <w:color w:val="auto"/>
              </w:rPr>
            </w:pPr>
          </w:p>
        </w:tc>
        <w:tc>
          <w:tcPr>
            <w:tcW w:w="2580" w:type="dxa"/>
            <w:vAlign w:val="bottom"/>
            <w:gridSpan w:val="4"/>
            <w:shd w:val="clear" w:color="auto" w:fill="CCEEFF"/>
          </w:tcPr>
          <w:p>
            <w:pPr>
              <w:ind w:left="180"/>
              <w:spacing w:after="0"/>
              <w:rPr>
                <w:sz w:val="20"/>
                <w:szCs w:val="20"/>
                <w:color w:val="auto"/>
              </w:rPr>
            </w:pPr>
            <w:r>
              <w:rPr>
                <w:rFonts w:ascii="Arial" w:cs="Arial" w:eastAsia="Arial" w:hAnsi="Arial"/>
                <w:sz w:val="14"/>
                <w:szCs w:val="14"/>
                <w:b w:val="1"/>
                <w:bCs w:val="1"/>
                <w:color w:val="auto"/>
              </w:rPr>
              <w:t>Total transactions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w w:val="89"/>
              </w:rPr>
              <w:t>177,456,012</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249,927,212</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100.0%</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89"/>
              </w:rPr>
              <w:t>231,616,556</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100.0%</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-7.3%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30.5%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(1) Figures include monetary and non-monetary transactions.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current context, which has been marked by stringent restrictions on movements and economic activities since mid-March to stem contagion from COVID-19, the average number of transactions fell -7.3% QoQ. The majority of this decline was concentrated in March, when the Peruvian government instituted a State of Emergency and called for obligatory social isolation. In contrast, the level of transactions grew +30.5% YoY with regard to the figure registered at the same time last year.</w:t>
      </w:r>
    </w:p>
    <w:p>
      <w:pPr>
        <w:spacing w:after="0" w:line="188"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In the QoQ analysis, the drop in transactions was seen across channels with the exception of Telecredito (+2.7) and Direct debit (+11.8%). It is important to note that in 1Q20, the largest drop in volume was registered in Mobile Banking (-4.8%) and ATMs (-17.8%) due to the COVID-19 crisis.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In the YoY analysis, the monthly average of translations increased. This was mainly driven by an increase in volume through the following channels:</w:t>
      </w:r>
    </w:p>
    <w:p>
      <w:pPr>
        <w:spacing w:after="0" w:line="231" w:lineRule="exact"/>
        <w:rPr>
          <w:sz w:val="20"/>
          <w:szCs w:val="20"/>
          <w:color w:val="auto"/>
        </w:rPr>
      </w:pPr>
    </w:p>
    <w:p>
      <w:pPr>
        <w:ind w:left="960" w:right="20" w:hanging="633"/>
        <w:spacing w:after="0" w:line="270"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Mobile Banking (+67.1% YoY), which continued to post an uptick in its share of total transactions after operating improvements were rolled out for the “Mobile Banking BCP” application and our clients on-going shift to digital channels.</w:t>
      </w:r>
    </w:p>
    <w:p>
      <w:pPr>
        <w:spacing w:after="0" w:line="174" w:lineRule="exact"/>
        <w:rPr>
          <w:rFonts w:ascii="Arial" w:cs="Arial" w:eastAsia="Arial" w:hAnsi="Arial"/>
          <w:sz w:val="18"/>
          <w:szCs w:val="18"/>
          <w:color w:val="auto"/>
        </w:rPr>
      </w:pPr>
    </w:p>
    <w:p>
      <w:pPr>
        <w:ind w:left="960" w:hanging="633"/>
        <w:spacing w:after="0" w:line="270"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Internet Banking Vía BCP (+38.7% YoY), driven by the effort to remodel our web page that allow our clients to conduct transactions and find information with greater ease and speed.</w:t>
      </w:r>
    </w:p>
    <w:p>
      <w:pPr>
        <w:spacing w:after="0" w:line="174" w:lineRule="exact"/>
        <w:rPr>
          <w:rFonts w:ascii="Arial" w:cs="Arial" w:eastAsia="Arial" w:hAnsi="Arial"/>
          <w:sz w:val="18"/>
          <w:szCs w:val="18"/>
          <w:color w:val="auto"/>
        </w:rPr>
      </w:pPr>
    </w:p>
    <w:p>
      <w:pPr>
        <w:ind w:left="960" w:hanging="633"/>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Agentes BCP (+14.0% YoY), which registered in increase in locations.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Transactions through traditional channels continued to fall YoY: (i) ATMs (-13.5%), (ii) Tellers (-14.5%), iii) Telephone Banking (-12.0%) and v) Balance Inquiry Modules (-23.4%). The aforementioned was given that i) digital channels such as mobile and internet banking offer similar functions and ii) on-going efforts are in play to implement other digital platforms in branches, which will allow clients to consult information, open savings accounts and pick up debit cards.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Growth in banking transactions in the region will continue to be directed mainly through digital channels. The current scenario of social distancing and public health measures will drive even more demand for these services. Growth in the volume of transactions will be seen primarily through Mobile Banking and Internet Banking, which will blend well with our objective to possess an efficient and profitable network of customer service channels. Lastly, it is important to note that the interbank payment application Yape hit the 2.5 million user mark in 1Q20 and has become a useful instrument for both individuals and businesses to conduct efficient transactions without generating costs.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9.1.3. Points of Contact – BCP Bolivia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As of</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ind w:left="620"/>
              <w:spacing w:after="0"/>
              <w:rPr>
                <w:sz w:val="20"/>
                <w:szCs w:val="20"/>
                <w:color w:val="auto"/>
              </w:rPr>
            </w:pPr>
            <w:r>
              <w:rPr>
                <w:rFonts w:ascii="Arial" w:cs="Arial" w:eastAsia="Arial" w:hAnsi="Arial"/>
                <w:sz w:val="16"/>
                <w:szCs w:val="16"/>
                <w:b w:val="1"/>
                <w:bCs w:val="1"/>
                <w:color w:val="auto"/>
              </w:rPr>
              <w:t>change (units)</w:t>
            </w:r>
          </w:p>
        </w:tc>
      </w:tr>
      <w:tr>
        <w:trPr>
          <w:trHeight w:val="199"/>
        </w:trPr>
        <w:tc>
          <w:tcPr>
            <w:tcW w:w="5180" w:type="dxa"/>
            <w:vAlign w:val="bottom"/>
          </w:tcPr>
          <w:p>
            <w:pPr>
              <w:spacing w:after="0"/>
              <w:rPr>
                <w:sz w:val="17"/>
                <w:szCs w:val="17"/>
                <w:color w:val="auto"/>
              </w:rPr>
            </w:pPr>
          </w:p>
        </w:tc>
        <w:tc>
          <w:tcPr>
            <w:tcW w:w="780" w:type="dxa"/>
            <w:vAlign w:val="bottom"/>
            <w:tcBorders>
              <w:top w:val="single" w:sz="8" w:color="auto"/>
            </w:tcBorders>
          </w:tcPr>
          <w:p>
            <w:pPr>
              <w:ind w:left="260"/>
              <w:spacing w:after="0"/>
              <w:rPr>
                <w:sz w:val="20"/>
                <w:szCs w:val="20"/>
                <w:color w:val="auto"/>
              </w:rPr>
            </w:pPr>
            <w:r>
              <w:rPr>
                <w:rFonts w:ascii="Arial" w:cs="Arial" w:eastAsia="Arial" w:hAnsi="Arial"/>
                <w:sz w:val="16"/>
                <w:szCs w:val="16"/>
                <w:b w:val="1"/>
                <w:bCs w:val="1"/>
                <w:color w:val="auto"/>
                <w:w w:val="98"/>
              </w:rPr>
              <w:t>Mar 19</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Dec 19</w:t>
            </w:r>
          </w:p>
        </w:tc>
        <w:tc>
          <w:tcPr>
            <w:tcW w:w="100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Mar 20</w:t>
            </w:r>
          </w:p>
        </w:tc>
        <w:tc>
          <w:tcPr>
            <w:tcW w:w="220" w:type="dxa"/>
            <w:vAlign w:val="bottom"/>
          </w:tcPr>
          <w:p>
            <w:pPr>
              <w:spacing w:after="0"/>
              <w:rPr>
                <w:sz w:val="17"/>
                <w:szCs w:val="17"/>
                <w:color w:val="auto"/>
              </w:rPr>
            </w:pPr>
          </w:p>
        </w:tc>
        <w:tc>
          <w:tcPr>
            <w:tcW w:w="122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6"/>
                <w:szCs w:val="16"/>
                <w:b w:val="1"/>
                <w:bCs w:val="1"/>
                <w:color w:val="auto"/>
              </w:rPr>
              <w:t>QoQ</w:t>
            </w:r>
          </w:p>
        </w:tc>
        <w:tc>
          <w:tcPr>
            <w:tcW w:w="1000" w:type="dxa"/>
            <w:vAlign w:val="bottom"/>
            <w:tcBorders>
              <w:top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YoY</w:t>
            </w:r>
          </w:p>
        </w:tc>
        <w:tc>
          <w:tcPr>
            <w:tcW w:w="100" w:type="dxa"/>
            <w:vAlign w:val="bottom"/>
            <w:gridSpan w:val="2"/>
          </w:tcPr>
          <w:p>
            <w:pPr>
              <w:spacing w:after="0"/>
              <w:rPr>
                <w:sz w:val="17"/>
                <w:szCs w:val="17"/>
                <w:color w:val="auto"/>
              </w:rPr>
            </w:pPr>
          </w:p>
        </w:tc>
      </w:tr>
      <w:tr>
        <w:trPr>
          <w:trHeight w:val="193"/>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Branches</w:t>
            </w:r>
          </w:p>
        </w:tc>
        <w:tc>
          <w:tcPr>
            <w:tcW w:w="7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0"/>
        </w:trPr>
        <w:tc>
          <w:tcPr>
            <w:tcW w:w="5960" w:type="dxa"/>
            <w:vAlign w:val="bottom"/>
            <w:gridSpan w:val="2"/>
          </w:tcPr>
          <w:p>
            <w:pPr>
              <w:spacing w:after="0"/>
              <w:rPr>
                <w:sz w:val="20"/>
                <w:szCs w:val="20"/>
                <w:color w:val="auto"/>
              </w:rPr>
            </w:pPr>
            <w:r>
              <w:rPr>
                <w:rFonts w:ascii="Arial" w:cs="Arial" w:eastAsia="Arial" w:hAnsi="Arial"/>
                <w:sz w:val="16"/>
                <w:szCs w:val="16"/>
                <w:color w:val="auto"/>
              </w:rPr>
              <w:t>ATMs</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299</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307</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r>
      <w:tr>
        <w:trPr>
          <w:trHeight w:val="213"/>
        </w:trPr>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Agentes BCP Bolivia</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109</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192</w:t>
            </w:r>
          </w:p>
        </w:tc>
        <w:tc>
          <w:tcPr>
            <w:tcW w:w="80" w:type="dxa"/>
            <w:vAlign w:val="bottom"/>
            <w:shd w:val="clear" w:color="auto" w:fill="CCEEFF"/>
          </w:tcPr>
          <w:p>
            <w:pPr>
              <w:spacing w:after="0"/>
              <w:rPr>
                <w:sz w:val="18"/>
                <w:szCs w:val="18"/>
                <w:color w:val="auto"/>
              </w:rPr>
            </w:pPr>
          </w:p>
        </w:tc>
      </w:tr>
      <w:tr>
        <w:trPr>
          <w:trHeight w:val="204"/>
        </w:trPr>
        <w:tc>
          <w:tcPr>
            <w:tcW w:w="5180" w:type="dxa"/>
            <w:vAlign w:val="bottom"/>
          </w:tcPr>
          <w:p>
            <w:pPr>
              <w:spacing w:after="0"/>
              <w:rPr>
                <w:sz w:val="20"/>
                <w:szCs w:val="20"/>
                <w:color w:val="auto"/>
              </w:rPr>
            </w:pPr>
            <w:r>
              <w:rPr>
                <w:rFonts w:ascii="Arial" w:cs="Arial" w:eastAsia="Arial" w:hAnsi="Arial"/>
                <w:sz w:val="16"/>
                <w:szCs w:val="16"/>
                <w:b w:val="1"/>
                <w:bCs w:val="1"/>
                <w:color w:val="auto"/>
              </w:rPr>
              <w:t>Total Bolivia's Network</w:t>
            </w:r>
          </w:p>
        </w:tc>
        <w:tc>
          <w:tcPr>
            <w:tcW w:w="7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718</w:t>
            </w:r>
          </w:p>
        </w:tc>
        <w:tc>
          <w:tcPr>
            <w:tcW w:w="2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801</w:t>
            </w:r>
          </w:p>
        </w:tc>
        <w:tc>
          <w:tcPr>
            <w:tcW w:w="2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917</w:t>
            </w:r>
          </w:p>
        </w:tc>
        <w:tc>
          <w:tcPr>
            <w:tcW w:w="2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w:t>
            </w:r>
          </w:p>
        </w:tc>
        <w:tc>
          <w:tcPr>
            <w:tcW w:w="2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9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At BCP Bolivia, points of contact growth by 116 QoQ after an increase in Agentes BCP Bolivia (+109) were deployed in line with our strategy to growth points of contacts through cost-efficient channels.</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YoY evolution experienced a similar trend, where the total number of points of contact in BCP Bolivia increased +199 YoY. This was primarily attributable to growth in the number of Agentes BCP Bolivia (+192) and, to a lesser extent, to expansion in the number of ATMs (+8). The number of branches, nonetheless, fell by 1 YoY. One more time, the increases in the number of Agentes and ATMs was attributable to the bank’s strategy to bet on cost-efficient channels to reach more clients and also reflects, although to a lesser extent, a move to offset the effect of branch closings.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Microfinance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9.2.1. Points of Contact – Mibanco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As of</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ind w:left="620"/>
              <w:spacing w:after="0"/>
              <w:rPr>
                <w:sz w:val="20"/>
                <w:szCs w:val="20"/>
                <w:color w:val="auto"/>
              </w:rPr>
            </w:pPr>
            <w:r>
              <w:rPr>
                <w:rFonts w:ascii="Arial" w:cs="Arial" w:eastAsia="Arial" w:hAnsi="Arial"/>
                <w:sz w:val="16"/>
                <w:szCs w:val="16"/>
                <w:b w:val="1"/>
                <w:bCs w:val="1"/>
                <w:color w:val="auto"/>
              </w:rPr>
              <w:t>change (units)</w:t>
            </w:r>
          </w:p>
        </w:tc>
      </w:tr>
      <w:tr>
        <w:trPr>
          <w:trHeight w:val="199"/>
        </w:trPr>
        <w:tc>
          <w:tcPr>
            <w:tcW w:w="518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w w:val="98"/>
              </w:rPr>
              <w:t>Mar 19</w:t>
            </w:r>
          </w:p>
        </w:tc>
        <w:tc>
          <w:tcPr>
            <w:tcW w:w="2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Dec 19</w:t>
            </w:r>
          </w:p>
        </w:tc>
        <w:tc>
          <w:tcPr>
            <w:tcW w:w="220" w:type="dxa"/>
            <w:vAlign w:val="bottom"/>
            <w:tcBorders>
              <w:top w:val="single" w:sz="8" w:color="auto"/>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Mar 20</w:t>
            </w:r>
          </w:p>
        </w:tc>
        <w:tc>
          <w:tcPr>
            <w:tcW w:w="22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b w:val="1"/>
                <w:bCs w:val="1"/>
                <w:color w:val="auto"/>
              </w:rPr>
              <w:t>QoQ</w:t>
            </w:r>
          </w:p>
        </w:tc>
        <w:tc>
          <w:tcPr>
            <w:tcW w:w="220" w:type="dxa"/>
            <w:vAlign w:val="bottom"/>
            <w:tcBorders>
              <w:top w:val="single" w:sz="8" w:color="auto"/>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YoY</w:t>
            </w:r>
          </w:p>
        </w:tc>
        <w:tc>
          <w:tcPr>
            <w:tcW w:w="100" w:type="dxa"/>
            <w:vAlign w:val="bottom"/>
            <w:tcBorders>
              <w:bottom w:val="single" w:sz="8" w:color="CCEEFF"/>
            </w:tcBorders>
          </w:tcPr>
          <w:p>
            <w:pPr>
              <w:spacing w:after="0"/>
              <w:rPr>
                <w:sz w:val="17"/>
                <w:szCs w:val="17"/>
                <w:color w:val="auto"/>
              </w:rPr>
            </w:pPr>
          </w:p>
        </w:tc>
      </w:tr>
      <w:tr>
        <w:trPr>
          <w:trHeight w:val="220"/>
        </w:trPr>
        <w:tc>
          <w:tcPr>
            <w:tcW w:w="5180" w:type="dxa"/>
            <w:vAlign w:val="bottom"/>
            <w:shd w:val="clear" w:color="auto" w:fill="CCEEFF"/>
          </w:tcPr>
          <w:p>
            <w:pPr>
              <w:spacing w:after="0" w:line="220" w:lineRule="exact"/>
              <w:rPr>
                <w:sz w:val="20"/>
                <w:szCs w:val="20"/>
                <w:color w:val="auto"/>
              </w:rPr>
            </w:pPr>
            <w:r>
              <w:rPr>
                <w:rFonts w:ascii="Arial" w:cs="Arial" w:eastAsia="Arial" w:hAnsi="Arial"/>
                <w:sz w:val="16"/>
                <w:szCs w:val="16"/>
                <w:b w:val="1"/>
                <w:bCs w:val="1"/>
                <w:color w:val="auto"/>
              </w:rPr>
              <w:t xml:space="preserve">Total Mibanco's Network </w:t>
            </w:r>
            <w:r>
              <w:rPr>
                <w:rFonts w:ascii="Arial" w:cs="Arial" w:eastAsia="Arial" w:hAnsi="Arial"/>
                <w:sz w:val="25"/>
                <w:szCs w:val="25"/>
                <w:b w:val="1"/>
                <w:bCs w:val="1"/>
                <w:color w:val="auto"/>
                <w:vertAlign w:val="superscript"/>
              </w:rPr>
              <w:t>(1)</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324</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323</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325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w:t>
            </w:r>
          </w:p>
        </w:tc>
      </w:tr>
    </w:tbl>
    <w:p>
      <w:pPr>
        <w:spacing w:after="0" w:line="199" w:lineRule="exact"/>
        <w:rPr>
          <w:sz w:val="20"/>
          <w:szCs w:val="20"/>
          <w:color w:val="auto"/>
        </w:rPr>
      </w:pPr>
    </w:p>
    <w:p>
      <w:pPr>
        <w:ind w:left="260" w:hanging="253"/>
        <w:spacing w:after="0"/>
        <w:tabs>
          <w:tab w:leader="none" w:pos="2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Mibanco does not have Agents or ATMs because it uses the BCP network. Mibanco branches include Banco de la Nacion branches, which in Mar 19, Dic</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 and Mar 20 were 35.</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Mibanco, the points of contact increased by 2 QoQ. In the YoY analysis, we see a +1 increase in branches. It is important to note that Mibanco has an agreement with the Banco de la Nacion to use the latter’s branches at the national level to reduce operating costs. At the end of 1Q20, these branches represented 11% (35 branches) of the 325 operated by Mibanco.</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10. Economic Perspectives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Peru Economic Forecasts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5140" w:type="dxa"/>
            <w:vAlign w:val="bottom"/>
            <w:gridSpan w:val="2"/>
          </w:tcPr>
          <w:p>
            <w:pPr>
              <w:ind w:left="2360"/>
              <w:spacing w:after="0"/>
              <w:rPr>
                <w:sz w:val="20"/>
                <w:szCs w:val="20"/>
                <w:color w:val="auto"/>
              </w:rPr>
            </w:pPr>
            <w:r>
              <w:rPr>
                <w:rFonts w:ascii="Arial" w:cs="Arial" w:eastAsia="Arial" w:hAnsi="Arial"/>
                <w:sz w:val="16"/>
                <w:szCs w:val="16"/>
                <w:b w:val="1"/>
                <w:bCs w:val="1"/>
                <w:color w:val="auto"/>
              </w:rPr>
              <w:t>Peru</w:t>
            </w:r>
          </w:p>
        </w:tc>
        <w:tc>
          <w:tcPr>
            <w:tcW w:w="1000" w:type="dxa"/>
            <w:vAlign w:val="bottom"/>
          </w:tcPr>
          <w:p>
            <w:pPr>
              <w:jc w:val="right"/>
              <w:ind w:right="260"/>
              <w:spacing w:after="0"/>
              <w:rPr>
                <w:sz w:val="20"/>
                <w:szCs w:val="20"/>
                <w:color w:val="auto"/>
              </w:rPr>
            </w:pPr>
            <w:r>
              <w:rPr>
                <w:rFonts w:ascii="Arial" w:cs="Arial" w:eastAsia="Arial" w:hAnsi="Arial"/>
                <w:sz w:val="16"/>
                <w:szCs w:val="16"/>
                <w:b w:val="1"/>
                <w:bCs w:val="1"/>
                <w:color w:val="auto"/>
              </w:rPr>
              <w:t>2016</w:t>
            </w:r>
          </w:p>
        </w:tc>
        <w:tc>
          <w:tcPr>
            <w:tcW w:w="240" w:type="dxa"/>
            <w:vAlign w:val="bottom"/>
          </w:tcPr>
          <w:p>
            <w:pPr>
              <w:spacing w:after="0"/>
              <w:rPr>
                <w:sz w:val="24"/>
                <w:szCs w:val="24"/>
                <w:color w:val="auto"/>
              </w:rPr>
            </w:pPr>
          </w:p>
        </w:tc>
        <w:tc>
          <w:tcPr>
            <w:tcW w:w="1000" w:type="dxa"/>
            <w:vAlign w:val="bottom"/>
          </w:tcPr>
          <w:p>
            <w:pPr>
              <w:jc w:val="right"/>
              <w:ind w:right="260"/>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24"/>
                <w:szCs w:val="24"/>
                <w:color w:val="auto"/>
              </w:rPr>
            </w:pPr>
          </w:p>
        </w:tc>
        <w:tc>
          <w:tcPr>
            <w:tcW w:w="1000" w:type="dxa"/>
            <w:vAlign w:val="bottom"/>
          </w:tcPr>
          <w:p>
            <w:pPr>
              <w:jc w:val="right"/>
              <w:ind w:right="260"/>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24"/>
                <w:szCs w:val="24"/>
                <w:color w:val="auto"/>
              </w:rPr>
            </w:pPr>
          </w:p>
        </w:tc>
        <w:tc>
          <w:tcPr>
            <w:tcW w:w="1000" w:type="dxa"/>
            <w:vAlign w:val="bottom"/>
          </w:tcPr>
          <w:p>
            <w:pPr>
              <w:jc w:val="right"/>
              <w:ind w:right="160"/>
              <w:spacing w:after="0"/>
              <w:rPr>
                <w:sz w:val="20"/>
                <w:szCs w:val="20"/>
                <w:color w:val="auto"/>
              </w:rPr>
            </w:pPr>
            <w:r>
              <w:rPr>
                <w:rFonts w:ascii="Arial" w:cs="Arial" w:eastAsia="Arial" w:hAnsi="Arial"/>
                <w:sz w:val="16"/>
                <w:szCs w:val="16"/>
                <w:b w:val="1"/>
                <w:bCs w:val="1"/>
                <w:color w:val="auto"/>
              </w:rPr>
              <w:t xml:space="preserve">2019 </w:t>
            </w:r>
            <w:r>
              <w:rPr>
                <w:rFonts w:ascii="Arial" w:cs="Arial" w:eastAsia="Arial" w:hAnsi="Arial"/>
                <w:sz w:val="26"/>
                <w:szCs w:val="26"/>
                <w:b w:val="1"/>
                <w:bCs w:val="1"/>
                <w:color w:val="auto"/>
                <w:vertAlign w:val="superscript"/>
              </w:rPr>
              <w:t>(3)</w:t>
            </w:r>
          </w:p>
        </w:tc>
        <w:tc>
          <w:tcPr>
            <w:tcW w:w="240" w:type="dxa"/>
            <w:vAlign w:val="bottom"/>
          </w:tcPr>
          <w:p>
            <w:pPr>
              <w:spacing w:after="0"/>
              <w:rPr>
                <w:sz w:val="24"/>
                <w:szCs w:val="24"/>
                <w:color w:val="auto"/>
              </w:rPr>
            </w:pPr>
          </w:p>
        </w:tc>
        <w:tc>
          <w:tcPr>
            <w:tcW w:w="1000" w:type="dxa"/>
            <w:vAlign w:val="bottom"/>
          </w:tcPr>
          <w:p>
            <w:pPr>
              <w:jc w:val="right"/>
              <w:ind w:right="160"/>
              <w:spacing w:after="0"/>
              <w:rPr>
                <w:sz w:val="20"/>
                <w:szCs w:val="20"/>
                <w:color w:val="auto"/>
              </w:rPr>
            </w:pPr>
            <w:r>
              <w:rPr>
                <w:rFonts w:ascii="Arial" w:cs="Arial" w:eastAsia="Arial" w:hAnsi="Arial"/>
                <w:sz w:val="16"/>
                <w:szCs w:val="16"/>
                <w:b w:val="1"/>
                <w:bCs w:val="1"/>
                <w:color w:val="auto"/>
              </w:rPr>
              <w:t xml:space="preserve">2020 </w:t>
            </w:r>
            <w:r>
              <w:rPr>
                <w:rFonts w:ascii="Arial" w:cs="Arial" w:eastAsia="Arial" w:hAnsi="Arial"/>
                <w:sz w:val="26"/>
                <w:szCs w:val="26"/>
                <w:b w:val="1"/>
                <w:bCs w:val="1"/>
                <w:color w:val="auto"/>
                <w:vertAlign w:val="superscript"/>
              </w:rPr>
              <w:t>(3)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GDP (US$ Millions)</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194,653</w:t>
            </w: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214,397</w:t>
            </w: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225,364</w:t>
            </w: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230,413</w:t>
            </w: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40" w:type="dxa"/>
            <w:vAlign w:val="bottom"/>
            <w:gridSpan w:val="2"/>
          </w:tcPr>
          <w:p>
            <w:pPr>
              <w:spacing w:after="0"/>
              <w:rPr>
                <w:sz w:val="20"/>
                <w:szCs w:val="20"/>
                <w:color w:val="auto"/>
              </w:rPr>
            </w:pPr>
            <w:r>
              <w:rPr>
                <w:rFonts w:ascii="Arial" w:cs="Arial" w:eastAsia="Arial" w:hAnsi="Arial"/>
                <w:sz w:val="16"/>
                <w:szCs w:val="16"/>
                <w:color w:val="auto"/>
              </w:rPr>
              <w:t>Real GDP (% change)</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4.0</w:t>
            </w: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2.2</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-7 - -13</w:t>
            </w:r>
          </w:p>
        </w:tc>
        <w:tc>
          <w:tcPr>
            <w:tcW w:w="0" w:type="dxa"/>
            <w:vAlign w:val="bottom"/>
          </w:tcPr>
          <w:p>
            <w:pPr>
              <w:spacing w:after="0"/>
              <w:rPr>
                <w:sz w:val="1"/>
                <w:szCs w:val="1"/>
                <w:color w:val="auto"/>
              </w:rPr>
            </w:pPr>
          </w:p>
        </w:tc>
      </w:tr>
      <w:tr>
        <w:trPr>
          <w:trHeight w:val="200"/>
        </w:trPr>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GDP per capita (US$)</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6,179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6,742</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6,999</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7,090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40" w:type="dxa"/>
            <w:vAlign w:val="bottom"/>
            <w:gridSpan w:val="2"/>
          </w:tcPr>
          <w:p>
            <w:pPr>
              <w:spacing w:after="0"/>
              <w:rPr>
                <w:sz w:val="20"/>
                <w:szCs w:val="20"/>
                <w:color w:val="auto"/>
              </w:rPr>
            </w:pPr>
            <w:r>
              <w:rPr>
                <w:rFonts w:ascii="Arial" w:cs="Arial" w:eastAsia="Arial" w:hAnsi="Arial"/>
                <w:sz w:val="16"/>
                <w:szCs w:val="16"/>
                <w:color w:val="auto"/>
              </w:rPr>
              <w:t>Domestic demand (% change)</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2.3</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-8 - -13</w:t>
            </w:r>
          </w:p>
        </w:tc>
        <w:tc>
          <w:tcPr>
            <w:tcW w:w="0" w:type="dxa"/>
            <w:vAlign w:val="bottom"/>
          </w:tcPr>
          <w:p>
            <w:pPr>
              <w:spacing w:after="0"/>
              <w:rPr>
                <w:sz w:val="1"/>
                <w:szCs w:val="1"/>
                <w:color w:val="auto"/>
              </w:rPr>
            </w:pPr>
          </w:p>
        </w:tc>
      </w:tr>
      <w:tr>
        <w:trPr>
          <w:trHeight w:val="200"/>
        </w:trPr>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fixed investment (as % GDP)</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21.2</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-19 - -20</w:t>
            </w:r>
          </w:p>
        </w:tc>
        <w:tc>
          <w:tcPr>
            <w:tcW w:w="0" w:type="dxa"/>
            <w:vAlign w:val="bottom"/>
          </w:tcPr>
          <w:p>
            <w:pPr>
              <w:spacing w:after="0"/>
              <w:rPr>
                <w:sz w:val="1"/>
                <w:szCs w:val="1"/>
                <w:color w:val="auto"/>
              </w:rPr>
            </w:pPr>
          </w:p>
        </w:tc>
      </w:tr>
      <w:tr>
        <w:trPr>
          <w:trHeight w:val="200"/>
        </w:trPr>
        <w:tc>
          <w:tcPr>
            <w:tcW w:w="5140" w:type="dxa"/>
            <w:vAlign w:val="bottom"/>
            <w:gridSpan w:val="2"/>
          </w:tcPr>
          <w:p>
            <w:pPr>
              <w:spacing w:after="0"/>
              <w:rPr>
                <w:sz w:val="20"/>
                <w:szCs w:val="20"/>
                <w:color w:val="auto"/>
              </w:rPr>
            </w:pPr>
            <w:r>
              <w:rPr>
                <w:rFonts w:ascii="Arial" w:cs="Arial" w:eastAsia="Arial" w:hAnsi="Arial"/>
                <w:sz w:val="16"/>
                <w:szCs w:val="16"/>
                <w:color w:val="auto"/>
              </w:rPr>
              <w:t>Public Debt (as % GDP)</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23.9</w:t>
            </w:r>
          </w:p>
        </w:tc>
        <w:tc>
          <w:tcPr>
            <w:tcW w:w="1000" w:type="dxa"/>
            <w:vAlign w:val="bottom"/>
          </w:tcPr>
          <w:p>
            <w:pPr>
              <w:jc w:val="right"/>
              <w:spacing w:after="0"/>
              <w:rPr>
                <w:sz w:val="20"/>
                <w:szCs w:val="20"/>
                <w:color w:val="auto"/>
              </w:rPr>
            </w:pPr>
            <w:r>
              <w:rPr>
                <w:rFonts w:ascii="Arial" w:cs="Arial" w:eastAsia="Arial" w:hAnsi="Arial"/>
                <w:sz w:val="16"/>
                <w:szCs w:val="16"/>
                <w:color w:val="auto"/>
              </w:rPr>
              <w:t>24.9</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w:t>
            </w:r>
          </w:p>
        </w:tc>
        <w:tc>
          <w:tcPr>
            <w:tcW w:w="2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26.8</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34.3 - 38.5</w:t>
            </w:r>
          </w:p>
        </w:tc>
        <w:tc>
          <w:tcPr>
            <w:tcW w:w="0" w:type="dxa"/>
            <w:vAlign w:val="bottom"/>
          </w:tcPr>
          <w:p>
            <w:pPr>
              <w:spacing w:after="0"/>
              <w:rPr>
                <w:sz w:val="1"/>
                <w:szCs w:val="1"/>
                <w:color w:val="auto"/>
              </w:rPr>
            </w:pPr>
          </w:p>
        </w:tc>
      </w:tr>
      <w:tr>
        <w:trPr>
          <w:trHeight w:val="254"/>
        </w:trPr>
        <w:tc>
          <w:tcPr>
            <w:tcW w:w="5140" w:type="dxa"/>
            <w:vAlign w:val="bottom"/>
            <w:gridSpan w:val="2"/>
            <w:shd w:val="clear" w:color="auto" w:fill="CCEEFF"/>
          </w:tcPr>
          <w:p>
            <w:pPr>
              <w:spacing w:after="0" w:line="253" w:lineRule="exact"/>
              <w:rPr>
                <w:sz w:val="20"/>
                <w:szCs w:val="20"/>
                <w:color w:val="auto"/>
              </w:rPr>
            </w:pPr>
            <w:r>
              <w:rPr>
                <w:rFonts w:ascii="Arial" w:cs="Arial" w:eastAsia="Arial" w:hAnsi="Arial"/>
                <w:sz w:val="16"/>
                <w:szCs w:val="16"/>
                <w:color w:val="auto"/>
              </w:rPr>
              <w:t>System loan growth (% change)</w:t>
            </w:r>
            <w:r>
              <w:rPr>
                <w:rFonts w:ascii="Arial" w:cs="Arial" w:eastAsia="Arial" w:hAnsi="Arial"/>
                <w:sz w:val="26"/>
                <w:szCs w:val="26"/>
                <w:color w:val="auto"/>
                <w:vertAlign w:val="superscript"/>
              </w:rPr>
              <w:t>(1)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6.2</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line="253" w:lineRule="exact"/>
              <w:rPr>
                <w:sz w:val="20"/>
                <w:szCs w:val="20"/>
                <w:color w:val="auto"/>
              </w:rPr>
            </w:pPr>
            <w:r>
              <w:rPr>
                <w:rFonts w:ascii="Arial" w:cs="Arial" w:eastAsia="Arial" w:hAnsi="Arial"/>
                <w:sz w:val="16"/>
                <w:szCs w:val="16"/>
                <w:color w:val="auto"/>
              </w:rPr>
              <w:t>Inflation</w:t>
            </w:r>
            <w:r>
              <w:rPr>
                <w:rFonts w:ascii="Arial" w:cs="Arial" w:eastAsia="Arial" w:hAnsi="Arial"/>
                <w:sz w:val="26"/>
                <w:szCs w:val="26"/>
                <w:color w:val="auto"/>
                <w:vertAlign w:val="superscript"/>
              </w:rPr>
              <w:t>(2)</w:t>
            </w: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140" w:type="dxa"/>
            <w:vAlign w:val="bottom"/>
            <w:gridSpan w:val="2"/>
            <w:vMerge w:val="continue"/>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3.2</w:t>
            </w: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1.9</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0.0 - 0.5</w:t>
            </w:r>
          </w:p>
        </w:tc>
        <w:tc>
          <w:tcPr>
            <w:tcW w:w="0" w:type="dxa"/>
            <w:vAlign w:val="bottom"/>
          </w:tcPr>
          <w:p>
            <w:pPr>
              <w:spacing w:after="0"/>
              <w:rPr>
                <w:sz w:val="1"/>
                <w:szCs w:val="1"/>
                <w:color w:val="auto"/>
              </w:rPr>
            </w:pPr>
          </w:p>
        </w:tc>
      </w:tr>
      <w:tr>
        <w:trPr>
          <w:trHeight w:val="20"/>
        </w:trPr>
        <w:tc>
          <w:tcPr>
            <w:tcW w:w="514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Reference Rate</w:t>
            </w: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40" w:type="dxa"/>
            <w:vAlign w:val="bottom"/>
            <w:gridSpan w:val="2"/>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40" w:type="dxa"/>
            <w:vAlign w:val="bottom"/>
            <w:gridSpan w:val="2"/>
          </w:tcPr>
          <w:p>
            <w:pPr>
              <w:spacing w:after="0"/>
              <w:rPr>
                <w:sz w:val="20"/>
                <w:szCs w:val="20"/>
                <w:color w:val="auto"/>
              </w:rPr>
            </w:pPr>
            <w:r>
              <w:rPr>
                <w:rFonts w:ascii="Arial" w:cs="Arial" w:eastAsia="Arial" w:hAnsi="Arial"/>
                <w:sz w:val="16"/>
                <w:szCs w:val="16"/>
                <w:color w:val="auto"/>
              </w:rPr>
              <w:t>Exchange rate, end of period</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2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2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2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2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3.40-3.45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Exchange rate, (% change)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6"/>
                <w:szCs w:val="16"/>
                <w:color w:val="auto"/>
              </w:rPr>
              <w:t>Fiscal balance (% GDP)</w:t>
            </w: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gridSpan w:val="2"/>
            <w:vMerge w:val="continue"/>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-2.6</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-3.1</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-2.5</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-1.6</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Trade balance (US$ Millions)</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6,700</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7,197</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6,614</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40" w:type="dxa"/>
            <w:vAlign w:val="bottom"/>
            <w:gridSpan w:val="2"/>
          </w:tcPr>
          <w:p>
            <w:pPr>
              <w:spacing w:after="0"/>
              <w:rPr>
                <w:sz w:val="20"/>
                <w:szCs w:val="20"/>
                <w:color w:val="auto"/>
              </w:rPr>
            </w:pPr>
            <w:r>
              <w:rPr>
                <w:rFonts w:ascii="Arial" w:cs="Arial" w:eastAsia="Arial" w:hAnsi="Arial"/>
                <w:sz w:val="16"/>
                <w:szCs w:val="16"/>
                <w:color w:val="auto"/>
              </w:rPr>
              <w:t>(As % GDP)</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3.1%</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3.2%</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0"/>
        </w:trPr>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Exports</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37,082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45,422</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49,066</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47,688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40" w:type="dxa"/>
            <w:vAlign w:val="bottom"/>
            <w:gridSpan w:val="2"/>
          </w:tcPr>
          <w:p>
            <w:pPr>
              <w:spacing w:after="0"/>
              <w:rPr>
                <w:sz w:val="20"/>
                <w:szCs w:val="20"/>
                <w:color w:val="auto"/>
              </w:rPr>
            </w:pPr>
            <w:r>
              <w:rPr>
                <w:rFonts w:ascii="Arial" w:cs="Arial" w:eastAsia="Arial" w:hAnsi="Arial"/>
                <w:sz w:val="16"/>
                <w:szCs w:val="16"/>
                <w:color w:val="auto"/>
              </w:rPr>
              <w:t>Imports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35,128</w:t>
            </w:r>
          </w:p>
        </w:tc>
        <w:tc>
          <w:tcPr>
            <w:tcW w:w="1000" w:type="dxa"/>
            <w:vAlign w:val="bottom"/>
          </w:tcPr>
          <w:p>
            <w:pPr>
              <w:jc w:val="right"/>
              <w:spacing w:after="0"/>
              <w:rPr>
                <w:sz w:val="20"/>
                <w:szCs w:val="20"/>
                <w:color w:val="auto"/>
              </w:rPr>
            </w:pPr>
            <w:r>
              <w:rPr>
                <w:rFonts w:ascii="Arial" w:cs="Arial" w:eastAsia="Arial" w:hAnsi="Arial"/>
                <w:sz w:val="16"/>
                <w:szCs w:val="16"/>
                <w:color w:val="auto"/>
              </w:rPr>
              <w:t>38,722</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41,870</w:t>
            </w:r>
          </w:p>
        </w:tc>
        <w:tc>
          <w:tcPr>
            <w:tcW w:w="2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41,074</w:t>
            </w:r>
          </w:p>
        </w:tc>
        <w:tc>
          <w:tcPr>
            <w:tcW w:w="1000" w:type="dxa"/>
            <w:vAlign w:val="bottom"/>
          </w:tcPr>
          <w:p>
            <w:pPr>
              <w:jc w:val="right"/>
              <w:spacing w:after="0"/>
              <w:rPr>
                <w:sz w:val="20"/>
                <w:szCs w:val="20"/>
                <w:color w:val="auto"/>
              </w:rPr>
            </w:pPr>
            <w:r>
              <w:rPr>
                <w:rFonts w:ascii="Arial" w:cs="Arial" w:eastAsia="Arial" w:hAnsi="Arial"/>
                <w:sz w:val="16"/>
                <w:szCs w:val="16"/>
                <w:color w:val="auto"/>
              </w:rPr>
              <w:t>34,000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account balance (US$ Millions)</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-5,064</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-2,779</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-3,821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-3,530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00"/>
        </w:trPr>
        <w:tc>
          <w:tcPr>
            <w:tcW w:w="5140" w:type="dxa"/>
            <w:vAlign w:val="bottom"/>
            <w:gridSpan w:val="2"/>
          </w:tcPr>
          <w:p>
            <w:pPr>
              <w:spacing w:after="0"/>
              <w:rPr>
                <w:sz w:val="20"/>
                <w:szCs w:val="20"/>
                <w:color w:val="auto"/>
              </w:rPr>
            </w:pPr>
            <w:r>
              <w:rPr>
                <w:rFonts w:ascii="Arial" w:cs="Arial" w:eastAsia="Arial" w:hAnsi="Arial"/>
                <w:sz w:val="16"/>
                <w:szCs w:val="16"/>
                <w:color w:val="auto"/>
              </w:rPr>
              <w:t>(As % GDP)</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-2.6%</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-1.7%</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0"/>
        </w:trPr>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international reserves (US$ Millions)</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61,686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63,621</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60,121</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68,316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40" w:type="dxa"/>
            <w:vAlign w:val="bottom"/>
            <w:gridSpan w:val="2"/>
          </w:tcPr>
          <w:p>
            <w:pPr>
              <w:spacing w:after="0"/>
              <w:rPr>
                <w:sz w:val="20"/>
                <w:szCs w:val="20"/>
                <w:color w:val="auto"/>
              </w:rPr>
            </w:pPr>
            <w:r>
              <w:rPr>
                <w:rFonts w:ascii="Arial" w:cs="Arial" w:eastAsia="Arial" w:hAnsi="Arial"/>
                <w:sz w:val="16"/>
                <w:szCs w:val="16"/>
                <w:color w:val="auto"/>
              </w:rPr>
              <w:t>(As % GDP)</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31.7%</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29.7%</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26.7%</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29.6%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0"/>
        </w:trPr>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 months of imports)</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INEI, BCRP, and SBS.</w:t>
      </w:r>
    </w:p>
    <w:p>
      <w:pPr>
        <w:spacing w:after="0" w:line="19" w:lineRule="exact"/>
        <w:rPr>
          <w:sz w:val="20"/>
          <w:szCs w:val="20"/>
          <w:color w:val="auto"/>
        </w:rPr>
      </w:pPr>
    </w:p>
    <w:p>
      <w:pPr>
        <w:ind w:left="260" w:hanging="253"/>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Financial System, Current Exchange Rate.</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Inflation target: 1% - 3%.</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Estimates by BCP Economic Research as of April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Main Economic Variables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Economic Activity – GDP </w:t>
      </w:r>
      <w:r>
        <w:rPr>
          <w:rFonts w:ascii="Arial" w:cs="Arial" w:eastAsia="Arial" w:hAnsi="Arial"/>
          <w:sz w:val="18"/>
          <w:szCs w:val="18"/>
          <w:color w:val="auto"/>
        </w:rPr>
        <w:t>(%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151130</wp:posOffset>
            </wp:positionV>
            <wp:extent cx="4659630" cy="17456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59630" cy="1745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920"/>
        <w:spacing w:after="0"/>
        <w:rPr>
          <w:sz w:val="20"/>
          <w:szCs w:val="20"/>
          <w:color w:val="auto"/>
        </w:rPr>
      </w:pPr>
      <w:r>
        <w:rPr>
          <w:rFonts w:ascii="Arial" w:cs="Arial" w:eastAsia="Arial" w:hAnsi="Arial"/>
          <w:sz w:val="18"/>
          <w:szCs w:val="18"/>
          <w:i w:val="1"/>
          <w:iCs w:val="1"/>
          <w:color w:val="auto"/>
        </w:rPr>
        <w:t>Fuente: INEI</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After expanding 3.0% YoY in January and 3.8% YoY in February 2020, economic activity was severely affected by government measures to halt the COVID-19 contagion, including instituting mandatory social isolation beginning on March 16th. Some indicators that show the impact on economic activity in March include: electricity production (declined 27% YoY in the second half of the month), public investment by the general government (fell 25% YoY in March), and wholesale poultry sales (declined 10% YoY in March and 25% YoY in the last week of March).</w:t>
      </w:r>
    </w:p>
    <w:p>
      <w:pPr>
        <w:spacing w:after="0" w:line="38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Inflation and Monetary Policy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1664970</wp:posOffset>
            </wp:positionH>
            <wp:positionV relativeFrom="paragraph">
              <wp:posOffset>151130</wp:posOffset>
            </wp:positionV>
            <wp:extent cx="3812540" cy="17113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12540" cy="171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920"/>
        <w:spacing w:after="0"/>
        <w:rPr>
          <w:sz w:val="20"/>
          <w:szCs w:val="20"/>
          <w:color w:val="auto"/>
        </w:rPr>
      </w:pPr>
      <w:r>
        <w:rPr>
          <w:rFonts w:ascii="Arial" w:cs="Arial" w:eastAsia="Arial" w:hAnsi="Arial"/>
          <w:sz w:val="18"/>
          <w:szCs w:val="18"/>
          <w:i w:val="1"/>
          <w:iCs w:val="1"/>
          <w:color w:val="auto"/>
        </w:rPr>
        <w:t>Source: INEI, BCRP</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inflation rate closed 1Q20 at 1.8% YoY (vs 1.9% in 2019), and stood slightly below the mid-point of the target range (1%-3%). Furthermore, core inflation (excluding Food and Energy) decelerated to 1.7% YoY (vs 2.3% in 2019), the lowest level in 9 years.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2020, the Central Bank (BCRP) held an extraordinary (unprecedented) monetary policy meeting, where it lowered its monetary policy rate by 100bps to 1.25%; this level not observed since the global financial crisis of 2009. The institution took into account the deterioration of the international environment due to COVID-19 contagion, as well as the local context. In April 2020, the BCRP held another extraordinary meeting and agreed to cut an additional 100bps to situate the rate at 0.25%, a new historical minimum. In addition, the BCRP took different measures to inject liquidity to the economy such as extending its operation’s terms; exercising flexibility with regard to reserve requirements for institutions of the financial system; and providing liquidity through specific operations (Asset Repos and FX Repos).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Result and Current Account Balance (%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151130</wp:posOffset>
            </wp:positionV>
            <wp:extent cx="3812540" cy="19062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12540" cy="190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20"/>
        <w:spacing w:after="0"/>
        <w:rPr>
          <w:sz w:val="20"/>
          <w:szCs w:val="20"/>
          <w:color w:val="auto"/>
        </w:rPr>
      </w:pPr>
      <w:r>
        <w:rPr>
          <w:rFonts w:ascii="Arial" w:cs="Arial" w:eastAsia="Arial" w:hAnsi="Arial"/>
          <w:sz w:val="18"/>
          <w:szCs w:val="18"/>
          <w:i w:val="1"/>
          <w:iCs w:val="1"/>
          <w:color w:val="auto"/>
        </w:rPr>
        <w:t>Source: BCRP</w:t>
      </w:r>
    </w:p>
    <w:p>
      <w:pPr>
        <w:spacing w:after="0" w:line="1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*BCP estimates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March 2020, fiscal revenues at the general government level declined 19% YoY in real terms (the worst print since July 2009). The strong contraction was attributable to a decline in VAT revenues of 11% YoY, and 24% in income tax. The decline in fiscal revenues is primarily attributable to the measures adopted by the government during the national sanitary emergency. Some of the measures of note are: (i) deferral of yearly income tax declarations, (ii) deferral of internal tribute payment and declarations, and (iii) flexibility regarding terms for installment payments, extensions and tax-debt refinancing. During the same period, General government non-financial spending increased 12% YoY in real terms. Current expenditure in particular advanced 15% YoY, a 26-month peak, due to an increase in national government transfers (+94%). In contrast, public investment from the general government declined 25% YoY in real terms.</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jc w:val="both"/>
        <w:spacing w:after="0" w:line="289" w:lineRule="auto"/>
        <w:rPr>
          <w:sz w:val="20"/>
          <w:szCs w:val="20"/>
          <w:color w:val="auto"/>
        </w:rPr>
      </w:pPr>
      <w:r>
        <w:rPr>
          <w:rFonts w:ascii="Arial" w:cs="Arial" w:eastAsia="Arial" w:hAnsi="Arial"/>
          <w:sz w:val="16"/>
          <w:szCs w:val="16"/>
          <w:color w:val="auto"/>
        </w:rPr>
        <w:t>In the January/February 2020, the trade balance registered a surplus of US$ 680 million, which represents a 15% contraction compared to the same period of last year. Exports declined 3.0% YoY in said period. It is important to highlight that the price of copper declined from US$/lb. 2.70 at the end of 2019 to a minimum of US$/lb. 2.20 in March, and currently stands around US$/lb. 2.30. Additionally, imports decreased 1.6% YoY. Finally, in January/February 2020 terms of trade increased 3.8% YoY. It is important to note that oil prices were severely affected in 1Q20, which has continued into April. In particular, WTI crude oil fell from US$/bbl. 61 at the end of 2019 to USD/bbl. 22.5 in the last two weeks of March. Furthermore, in April the price stood on negative ground for the first time in history (spot price on April 20th: US$/bbl. -37.6) due to insufficient storage in Oklahoma for inventory.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(S/ per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1664970</wp:posOffset>
            </wp:positionH>
            <wp:positionV relativeFrom="paragraph">
              <wp:posOffset>151130</wp:posOffset>
            </wp:positionV>
            <wp:extent cx="3812540" cy="23552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12540" cy="2355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920"/>
        <w:spacing w:after="0"/>
        <w:rPr>
          <w:sz w:val="20"/>
          <w:szCs w:val="20"/>
          <w:color w:val="auto"/>
        </w:rPr>
      </w:pPr>
      <w:r>
        <w:rPr>
          <w:rFonts w:ascii="Arial" w:cs="Arial" w:eastAsia="Arial" w:hAnsi="Arial"/>
          <w:sz w:val="18"/>
          <w:szCs w:val="18"/>
          <w:i w:val="1"/>
          <w:iCs w:val="1"/>
          <w:color w:val="auto"/>
        </w:rPr>
        <w:t>Source: SBS</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exchange rate closed in 1Q20 at USDPEN 3.437. In this context, the Peruvian Sol depreciated 3.7% compared to 2019 (USDPEN 3.314). In March, the Peruvian Sol encountered significant depreciation pressures in the international environment in the context generated by the COVID-19 contagion and its effects on the global economy and financial markets. In this scenario, national currency increased from USDPEN 3.38 towards mid-February to a new peak of USDPEN 3.57 on March 18th (still below its historical peak of USDPEN 3.65 in September 2002).</w:t>
      </w:r>
    </w:p>
    <w:p>
      <w:pPr>
        <w:spacing w:after="0" w:line="17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Central Bank mitigated the Peruvian Sol’s depreciation though FX Swaps for S/ 7,296 million in 1Q20 (S/ 6,170 million were placed in March specifically).</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International net reserves stood at US$ 68,022 million at the end of 1Q20, which represents a decline of US$ 294 million compared to the figure at the end of 2019.</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Finally, by the end of 1Q20 all currencies in the region depreciated compared to the end of 2019 (Brazilian Real: -29%, Mexican Peso: -25%, Colombian Peso: -24%, Chilean Peso: -13%). The Peruvian Sol was the only currency in the region which did not exceed its historical peak during the period of extreme risk aversion that began in March 2020.</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 Forward-looking statements are neither historical facts nor assurances of future performance. Instead, they are based only on the Company’s current beliefs, expectations and assumptions regarding the future of our business, future plans and strategies, projections, anticipated events and trends, the economy and other future conditions.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Forward-looking statements can be identified by words such as: "anticipate”, "intend", "plan", "goal”, "seek”, "believe”, "project", "estimate”, "expect", "strategy”, "future”, "likely”, "may”, "should”, "will" and similar references to future periods. Examples of forward-looking statements include, among others, statements or estimates we make regarding guidance relating to Return on Average Equity, Sustainable Return on Average Equity, Cost of Risk, Loan growth, Efficiency ratio, BCP Stand-alone Common Equity Tier 1 Capital ratio and Net Interest Margin, current or future volatility in the credit markets and future market conditions, expected macroeconomic conditions, our belief that we have sufficient liquidity to fund our business operations during the next year, expectations of the effect on our financial condition of claims, litigation, environmental costs, contingent liabilities and governmental and regulatory investigations and proceedings, strategy for customer retention, growth, product development, market position, financial results and reserves and strategy for risk management.</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 Our actual results and financial condition may differ materially from those indicated in the forward-looking statements. Therefore, you should not rely on any of these forward-looking statements.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forward-looking statement made in this material is based only on information currently available to the Company and speaks only as of the date on which it is made. 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3" w:name="page54"/>
    <w:bookmarkEnd w:id="53"/>
    <w:p>
      <w:pPr>
        <w:spacing w:after="0" w:line="52" w:lineRule="exact"/>
        <w:rPr>
          <w:sz w:val="20"/>
          <w:szCs w:val="20"/>
          <w:color w:val="auto"/>
        </w:rPr>
      </w:pPr>
    </w:p>
    <w:p>
      <w:pPr>
        <w:ind w:left="520" w:hanging="513"/>
        <w:spacing w:after="0"/>
        <w:tabs>
          <w:tab w:leader="none" w:pos="5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Appendix</w:t>
      </w:r>
    </w:p>
    <w:p>
      <w:pPr>
        <w:spacing w:after="0" w:line="219" w:lineRule="exact"/>
        <w:rPr>
          <w:rFonts w:ascii="Arial" w:cs="Arial" w:eastAsia="Arial" w:hAnsi="Arial"/>
          <w:sz w:val="18"/>
          <w:szCs w:val="18"/>
          <w:b w:val="1"/>
          <w:bCs w:val="1"/>
          <w:color w:val="auto"/>
        </w:rPr>
      </w:pPr>
    </w:p>
    <w:p>
      <w:pPr>
        <w:ind w:left="400" w:hanging="393"/>
        <w:spacing w:after="0"/>
        <w:tabs>
          <w:tab w:leader="none" w:pos="40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Credicorp</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6"/>
                <w:szCs w:val="16"/>
                <w:b w:val="1"/>
                <w:bCs w:val="1"/>
                <w:color w:val="auto"/>
              </w:rPr>
              <w:t>As of</w:t>
            </w:r>
          </w:p>
        </w:tc>
        <w:tc>
          <w:tcPr>
            <w:tcW w:w="1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rPr>
              <w:t>% change</w:t>
            </w: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46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Mar 2019</w:t>
            </w:r>
          </w:p>
        </w:tc>
        <w:tc>
          <w:tcPr>
            <w:tcW w:w="13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Dec 2019</w:t>
            </w:r>
          </w:p>
        </w:tc>
        <w:tc>
          <w:tcPr>
            <w:tcW w:w="1100" w:type="dxa"/>
            <w:vAlign w:val="bottom"/>
          </w:tcPr>
          <w:p>
            <w:pPr>
              <w:ind w:left="220"/>
              <w:spacing w:after="0"/>
              <w:rPr>
                <w:sz w:val="20"/>
                <w:szCs w:val="20"/>
                <w:color w:val="auto"/>
              </w:rPr>
            </w:pPr>
            <w:r>
              <w:rPr>
                <w:rFonts w:ascii="Arial" w:cs="Arial" w:eastAsia="Arial" w:hAnsi="Arial"/>
                <w:sz w:val="16"/>
                <w:szCs w:val="16"/>
                <w:b w:val="1"/>
                <w:bCs w:val="1"/>
                <w:color w:val="auto"/>
              </w:rPr>
              <w:t>Mar 2020</w:t>
            </w:r>
          </w:p>
        </w:tc>
        <w:tc>
          <w:tcPr>
            <w:tcW w:w="220" w:type="dxa"/>
            <w:vAlign w:val="bottom"/>
          </w:tcPr>
          <w:p>
            <w:pPr>
              <w:spacing w:after="0"/>
              <w:rPr>
                <w:sz w:val="18"/>
                <w:szCs w:val="18"/>
                <w:color w:val="auto"/>
              </w:rPr>
            </w:pPr>
          </w:p>
        </w:tc>
        <w:tc>
          <w:tcPr>
            <w:tcW w:w="1680" w:type="dxa"/>
            <w:vAlign w:val="bottom"/>
            <w:gridSpan w:val="3"/>
          </w:tcPr>
          <w:p>
            <w:pPr>
              <w:ind w:left="380"/>
              <w:spacing w:after="0"/>
              <w:rPr>
                <w:sz w:val="20"/>
                <w:szCs w:val="20"/>
                <w:color w:val="auto"/>
              </w:rPr>
            </w:pPr>
            <w:r>
              <w:rPr>
                <w:rFonts w:ascii="Arial" w:cs="Arial" w:eastAsia="Arial" w:hAnsi="Arial"/>
                <w:sz w:val="16"/>
                <w:szCs w:val="16"/>
                <w:b w:val="1"/>
                <w:bCs w:val="1"/>
                <w:color w:val="auto"/>
              </w:rPr>
              <w:t>QoQ</w:t>
            </w:r>
          </w:p>
        </w:tc>
        <w:tc>
          <w:tcPr>
            <w:tcW w:w="800" w:type="dxa"/>
            <w:vAlign w:val="bottom"/>
          </w:tcPr>
          <w:p>
            <w:pPr>
              <w:ind w:left="100"/>
              <w:spacing w:after="0"/>
              <w:rPr>
                <w:sz w:val="20"/>
                <w:szCs w:val="20"/>
                <w:color w:val="auto"/>
              </w:rPr>
            </w:pPr>
            <w:r>
              <w:rPr>
                <w:rFonts w:ascii="Arial" w:cs="Arial" w:eastAsia="Arial" w:hAnsi="Arial"/>
                <w:sz w:val="16"/>
                <w:szCs w:val="16"/>
                <w:b w:val="1"/>
                <w:bCs w:val="1"/>
                <w:color w:val="auto"/>
              </w:rPr>
              <w:t>YoY</w:t>
            </w:r>
          </w:p>
        </w:tc>
        <w:tc>
          <w:tcPr>
            <w:tcW w:w="160" w:type="dxa"/>
            <w:vAlign w:val="bottom"/>
          </w:tcPr>
          <w:p>
            <w:pPr>
              <w:spacing w:after="0"/>
              <w:rPr>
                <w:sz w:val="18"/>
                <w:szCs w:val="18"/>
                <w:color w:val="auto"/>
              </w:rPr>
            </w:pPr>
          </w:p>
        </w:tc>
      </w:tr>
      <w:tr>
        <w:trPr>
          <w:trHeight w:val="19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40"/>
        </w:trPr>
        <w:tc>
          <w:tcPr>
            <w:tcW w:w="4620" w:type="dxa"/>
            <w:vAlign w:val="bottom"/>
          </w:tcPr>
          <w:p>
            <w:pPr>
              <w:spacing w:after="0" w:line="240" w:lineRule="exact"/>
              <w:rPr>
                <w:sz w:val="20"/>
                <w:szCs w:val="20"/>
                <w:color w:val="auto"/>
              </w:rPr>
            </w:pPr>
            <w:r>
              <w:rPr>
                <w:rFonts w:ascii="Arial" w:cs="Arial" w:eastAsia="Arial" w:hAnsi="Arial"/>
                <w:sz w:val="16"/>
                <w:szCs w:val="16"/>
                <w:b w:val="1"/>
                <w:bCs w:val="1"/>
                <w:color w:val="auto"/>
              </w:rPr>
              <w:t xml:space="preserve">Cash and due from banks </w:t>
            </w:r>
            <w:r>
              <w:rPr>
                <w:rFonts w:ascii="Arial" w:cs="Arial" w:eastAsia="Arial" w:hAnsi="Arial"/>
                <w:sz w:val="26"/>
                <w:szCs w:val="26"/>
                <w:b w:val="1"/>
                <w:bCs w:val="1"/>
                <w:color w:val="auto"/>
                <w:vertAlign w:val="superscript"/>
              </w:rPr>
              <w:t>(1)</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Non-interest bearing</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7,015,680</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6,177,356</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6,810,729</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10.3%</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color w:val="auto"/>
              </w:rPr>
              <w:t>Interest bearing</w:t>
            </w:r>
          </w:p>
        </w:tc>
        <w:tc>
          <w:tcPr>
            <w:tcW w:w="1120" w:type="dxa"/>
            <w:vAlign w:val="bottom"/>
          </w:tcPr>
          <w:p>
            <w:pPr>
              <w:jc w:val="right"/>
              <w:spacing w:after="0"/>
              <w:rPr>
                <w:sz w:val="20"/>
                <w:szCs w:val="20"/>
                <w:color w:val="auto"/>
              </w:rPr>
            </w:pPr>
            <w:r>
              <w:rPr>
                <w:rFonts w:ascii="Arial" w:cs="Arial" w:eastAsia="Arial" w:hAnsi="Arial"/>
                <w:sz w:val="16"/>
                <w:szCs w:val="16"/>
                <w:color w:val="auto"/>
              </w:rPr>
              <w:t>15,104,170</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19,802,459</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19,538,429</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29.4%</w:t>
            </w:r>
          </w:p>
        </w:tc>
      </w:tr>
      <w:tr>
        <w:trPr>
          <w:trHeight w:val="200"/>
        </w:trPr>
        <w:tc>
          <w:tcPr>
            <w:tcW w:w="4620" w:type="dxa"/>
            <w:vAlign w:val="bottom"/>
            <w:shd w:val="clear" w:color="auto" w:fill="CCEEFF"/>
          </w:tcPr>
          <w:p>
            <w:pPr>
              <w:ind w:left="1280"/>
              <w:spacing w:after="0"/>
              <w:rPr>
                <w:sz w:val="20"/>
                <w:szCs w:val="20"/>
                <w:color w:val="auto"/>
              </w:rPr>
            </w:pPr>
            <w:r>
              <w:rPr>
                <w:rFonts w:ascii="Arial" w:cs="Arial" w:eastAsia="Arial" w:hAnsi="Arial"/>
                <w:sz w:val="16"/>
                <w:szCs w:val="16"/>
                <w:b w:val="1"/>
                <w:bCs w:val="1"/>
                <w:color w:val="auto"/>
              </w:rPr>
              <w:t>Total cash and due from banks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22,119,850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25,979,815</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26,349,158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1.4%</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19.1%</w:t>
            </w: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Cash collateral, reverse repurchase agreements and securities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51"/>
        </w:trPr>
        <w:tc>
          <w:tcPr>
            <w:tcW w:w="4620" w:type="dxa"/>
            <w:vAlign w:val="bottom"/>
          </w:tcPr>
          <w:p>
            <w:pPr>
              <w:spacing w:after="0" w:line="251" w:lineRule="exact"/>
              <w:rPr>
                <w:sz w:val="20"/>
                <w:szCs w:val="20"/>
                <w:color w:val="auto"/>
              </w:rPr>
            </w:pPr>
            <w:r>
              <w:rPr>
                <w:rFonts w:ascii="Arial" w:cs="Arial" w:eastAsia="Arial" w:hAnsi="Arial"/>
                <w:sz w:val="16"/>
                <w:szCs w:val="16"/>
                <w:color w:val="auto"/>
              </w:rPr>
              <w:t xml:space="preserve">borrowing </w:t>
            </w:r>
            <w:r>
              <w:rPr>
                <w:rFonts w:ascii="Arial" w:cs="Arial" w:eastAsia="Arial" w:hAnsi="Arial"/>
                <w:sz w:val="26"/>
                <w:szCs w:val="26"/>
                <w:color w:val="auto"/>
                <w:vertAlign w:val="superscript"/>
              </w:rPr>
              <w:t>(1)</w:t>
            </w:r>
          </w:p>
        </w:tc>
        <w:tc>
          <w:tcPr>
            <w:tcW w:w="1120" w:type="dxa"/>
            <w:vAlign w:val="bottom"/>
          </w:tcPr>
          <w:p>
            <w:pPr>
              <w:jc w:val="right"/>
              <w:spacing w:after="0"/>
              <w:rPr>
                <w:sz w:val="20"/>
                <w:szCs w:val="20"/>
                <w:color w:val="auto"/>
              </w:rPr>
            </w:pPr>
            <w:r>
              <w:rPr>
                <w:rFonts w:ascii="Arial" w:cs="Arial" w:eastAsia="Arial" w:hAnsi="Arial"/>
                <w:sz w:val="16"/>
                <w:szCs w:val="16"/>
                <w:color w:val="auto"/>
              </w:rPr>
              <w:t>4,026,447</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4,288,524</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4,424,345</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3.2%</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9.9%</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Fair value through profit or loss investments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4,136,148</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3,864,531</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4,021,899</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Fair value through other comprehensive income investments</w:t>
            </w:r>
          </w:p>
        </w:tc>
        <w:tc>
          <w:tcPr>
            <w:tcW w:w="1120" w:type="dxa"/>
            <w:vAlign w:val="bottom"/>
          </w:tcPr>
          <w:p>
            <w:pPr>
              <w:jc w:val="right"/>
              <w:spacing w:after="0"/>
              <w:rPr>
                <w:sz w:val="20"/>
                <w:szCs w:val="20"/>
                <w:color w:val="auto"/>
              </w:rPr>
            </w:pPr>
            <w:r>
              <w:rPr>
                <w:rFonts w:ascii="Arial" w:cs="Arial" w:eastAsia="Arial" w:hAnsi="Arial"/>
                <w:sz w:val="16"/>
                <w:szCs w:val="16"/>
                <w:color w:val="auto"/>
              </w:rPr>
              <w:t>27,184,560</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26,205,867</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28,374,836</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8.3%</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4.4%</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Amortized cost investments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3,639,821</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3,477,046</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4,241,713</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22.0%</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Loans</w:t>
            </w:r>
          </w:p>
        </w:tc>
        <w:tc>
          <w:tcPr>
            <w:tcW w:w="1120" w:type="dxa"/>
            <w:vAlign w:val="bottom"/>
          </w:tcPr>
          <w:p>
            <w:pPr>
              <w:jc w:val="right"/>
              <w:spacing w:after="0"/>
              <w:rPr>
                <w:sz w:val="20"/>
                <w:szCs w:val="20"/>
                <w:color w:val="auto"/>
              </w:rPr>
            </w:pPr>
            <w:r>
              <w:rPr>
                <w:rFonts w:ascii="Arial" w:cs="Arial" w:eastAsia="Arial" w:hAnsi="Arial"/>
                <w:sz w:val="16"/>
                <w:szCs w:val="16"/>
                <w:color w:val="auto"/>
              </w:rPr>
              <w:t>108,350,384</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115,609,679</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120,708,515</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4.4%</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11.4%</w:t>
            </w: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Current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105,197,197</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112,311,888</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117,129,011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color w:val="auto"/>
              </w:rPr>
              <w:t>Internal overdue loans</w:t>
            </w:r>
          </w:p>
        </w:tc>
        <w:tc>
          <w:tcPr>
            <w:tcW w:w="1120" w:type="dxa"/>
            <w:vAlign w:val="bottom"/>
          </w:tcPr>
          <w:p>
            <w:pPr>
              <w:jc w:val="right"/>
              <w:spacing w:after="0"/>
              <w:rPr>
                <w:sz w:val="20"/>
                <w:szCs w:val="20"/>
                <w:color w:val="auto"/>
              </w:rPr>
            </w:pPr>
            <w:r>
              <w:rPr>
                <w:rFonts w:ascii="Arial" w:cs="Arial" w:eastAsia="Arial" w:hAnsi="Arial"/>
                <w:sz w:val="16"/>
                <w:szCs w:val="16"/>
                <w:color w:val="auto"/>
              </w:rPr>
              <w:t>3,153,187</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3,297,791</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3,579,504</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8.5%</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13.5%</w:t>
            </w: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Less - allowance for loan losses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(4,862,801)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(5,070,279)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(5,931,772)</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17.0%</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22.0%</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Loans, net</w:t>
            </w:r>
          </w:p>
        </w:tc>
        <w:tc>
          <w:tcPr>
            <w:tcW w:w="1120" w:type="dxa"/>
            <w:vAlign w:val="bottom"/>
          </w:tcPr>
          <w:p>
            <w:pPr>
              <w:jc w:val="right"/>
              <w:spacing w:after="0"/>
              <w:rPr>
                <w:sz w:val="20"/>
                <w:szCs w:val="20"/>
                <w:color w:val="auto"/>
              </w:rPr>
            </w:pPr>
            <w:r>
              <w:rPr>
                <w:rFonts w:ascii="Arial" w:cs="Arial" w:eastAsia="Arial" w:hAnsi="Arial"/>
                <w:sz w:val="16"/>
                <w:szCs w:val="16"/>
                <w:color w:val="auto"/>
              </w:rPr>
              <w:t>103,487,583</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110,539,400</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114,776,743</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3.8%</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10.9%</w:t>
            </w:r>
          </w:p>
        </w:tc>
      </w:tr>
      <w:tr>
        <w:trPr>
          <w:trHeight w:val="240"/>
        </w:trPr>
        <w:tc>
          <w:tcPr>
            <w:tcW w:w="4620" w:type="dxa"/>
            <w:vAlign w:val="bottom"/>
            <w:shd w:val="clear" w:color="auto" w:fill="CCEEFF"/>
          </w:tcPr>
          <w:p>
            <w:pPr>
              <w:spacing w:after="0" w:line="240" w:lineRule="exact"/>
              <w:rPr>
                <w:sz w:val="20"/>
                <w:szCs w:val="20"/>
                <w:color w:val="auto"/>
              </w:rPr>
            </w:pPr>
            <w:r>
              <w:rPr>
                <w:rFonts w:ascii="Arial" w:cs="Arial" w:eastAsia="Arial" w:hAnsi="Arial"/>
                <w:sz w:val="16"/>
                <w:szCs w:val="16"/>
                <w:color w:val="auto"/>
                <w:w w:val="99"/>
              </w:rPr>
              <w:t xml:space="preserve">Financial assets designated at fair value through profit or loss </w:t>
            </w:r>
            <w:r>
              <w:rPr>
                <w:rFonts w:ascii="Arial" w:cs="Arial" w:eastAsia="Arial" w:hAnsi="Arial"/>
                <w:sz w:val="26"/>
                <w:szCs w:val="26"/>
                <w:color w:val="auto"/>
                <w:w w:val="99"/>
                <w:vertAlign w:val="superscript"/>
              </w:rPr>
              <w:t>(2)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576,618</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620,544</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559,321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-9.9%</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Accounts receivable from reinsurers and coinsurers</w:t>
            </w:r>
          </w:p>
        </w:tc>
        <w:tc>
          <w:tcPr>
            <w:tcW w:w="1120" w:type="dxa"/>
            <w:vAlign w:val="bottom"/>
          </w:tcPr>
          <w:p>
            <w:pPr>
              <w:jc w:val="right"/>
              <w:spacing w:after="0"/>
              <w:rPr>
                <w:sz w:val="20"/>
                <w:szCs w:val="20"/>
                <w:color w:val="auto"/>
              </w:rPr>
            </w:pPr>
            <w:r>
              <w:rPr>
                <w:rFonts w:ascii="Arial" w:cs="Arial" w:eastAsia="Arial" w:hAnsi="Arial"/>
                <w:sz w:val="16"/>
                <w:szCs w:val="16"/>
                <w:color w:val="auto"/>
              </w:rPr>
              <w:t>805,009</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791,704</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787,672</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-0.5%</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Premiums and other policyholder receivables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845,702</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838,731</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822,669</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r>
      <w:tr>
        <w:trPr>
          <w:trHeight w:val="240"/>
        </w:trPr>
        <w:tc>
          <w:tcPr>
            <w:tcW w:w="4620" w:type="dxa"/>
            <w:vAlign w:val="bottom"/>
          </w:tcPr>
          <w:p>
            <w:pPr>
              <w:spacing w:after="0" w:line="240" w:lineRule="exact"/>
              <w:rPr>
                <w:sz w:val="20"/>
                <w:szCs w:val="20"/>
                <w:color w:val="auto"/>
              </w:rPr>
            </w:pPr>
            <w:r>
              <w:rPr>
                <w:rFonts w:ascii="Arial" w:cs="Arial" w:eastAsia="Arial" w:hAnsi="Arial"/>
                <w:sz w:val="16"/>
                <w:szCs w:val="16"/>
                <w:color w:val="auto"/>
              </w:rPr>
              <w:t xml:space="preserve">Property, plant and equipment, net </w:t>
            </w:r>
            <w:r>
              <w:rPr>
                <w:rFonts w:ascii="Arial" w:cs="Arial" w:eastAsia="Arial" w:hAnsi="Arial"/>
                <w:sz w:val="26"/>
                <w:szCs w:val="26"/>
                <w:color w:val="auto"/>
                <w:vertAlign w:val="superscript"/>
              </w:rPr>
              <w:t>(3)</w:t>
            </w:r>
          </w:p>
        </w:tc>
        <w:tc>
          <w:tcPr>
            <w:tcW w:w="1120" w:type="dxa"/>
            <w:vAlign w:val="bottom"/>
          </w:tcPr>
          <w:p>
            <w:pPr>
              <w:jc w:val="right"/>
              <w:spacing w:after="0"/>
              <w:rPr>
                <w:sz w:val="20"/>
                <w:szCs w:val="20"/>
                <w:color w:val="auto"/>
              </w:rPr>
            </w:pPr>
            <w:r>
              <w:rPr>
                <w:rFonts w:ascii="Arial" w:cs="Arial" w:eastAsia="Arial" w:hAnsi="Arial"/>
                <w:sz w:val="16"/>
                <w:szCs w:val="16"/>
                <w:color w:val="auto"/>
              </w:rPr>
              <w:t>2,262,407</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2,266,196</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2,203,086</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Due from customers on acceptances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611,142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535,222</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555,598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r>
      <w:tr>
        <w:trPr>
          <w:trHeight w:val="240"/>
        </w:trPr>
        <w:tc>
          <w:tcPr>
            <w:tcW w:w="4620" w:type="dxa"/>
            <w:vAlign w:val="bottom"/>
          </w:tcPr>
          <w:p>
            <w:pPr>
              <w:spacing w:after="0" w:line="240" w:lineRule="exact"/>
              <w:rPr>
                <w:sz w:val="20"/>
                <w:szCs w:val="20"/>
                <w:color w:val="auto"/>
              </w:rPr>
            </w:pPr>
            <w:r>
              <w:rPr>
                <w:rFonts w:ascii="Arial" w:cs="Arial" w:eastAsia="Arial" w:hAnsi="Arial"/>
                <w:sz w:val="16"/>
                <w:szCs w:val="16"/>
                <w:color w:val="auto"/>
              </w:rPr>
              <w:t xml:space="preserve">Investments in associates </w:t>
            </w:r>
            <w:r>
              <w:rPr>
                <w:rFonts w:ascii="Arial" w:cs="Arial" w:eastAsia="Arial" w:hAnsi="Arial"/>
                <w:sz w:val="26"/>
                <w:szCs w:val="26"/>
                <w:color w:val="auto"/>
                <w:vertAlign w:val="superscript"/>
              </w:rPr>
              <w:t>(4)</w:t>
            </w:r>
          </w:p>
        </w:tc>
        <w:tc>
          <w:tcPr>
            <w:tcW w:w="1120" w:type="dxa"/>
            <w:vAlign w:val="bottom"/>
          </w:tcPr>
          <w:p>
            <w:pPr>
              <w:jc w:val="right"/>
              <w:spacing w:after="0"/>
              <w:rPr>
                <w:sz w:val="20"/>
                <w:szCs w:val="20"/>
                <w:color w:val="auto"/>
              </w:rPr>
            </w:pPr>
            <w:r>
              <w:rPr>
                <w:rFonts w:ascii="Arial" w:cs="Arial" w:eastAsia="Arial" w:hAnsi="Arial"/>
                <w:sz w:val="16"/>
                <w:szCs w:val="16"/>
                <w:color w:val="auto"/>
              </w:rPr>
              <w:t>574,283</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628,822</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618,310</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7.7%</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and goodwill, net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2,050,664</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2,453,268</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2,424,404</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18.2%</w:t>
            </w:r>
          </w:p>
        </w:tc>
      </w:tr>
      <w:tr>
        <w:trPr>
          <w:trHeight w:val="240"/>
        </w:trPr>
        <w:tc>
          <w:tcPr>
            <w:tcW w:w="4620" w:type="dxa"/>
            <w:vAlign w:val="bottom"/>
          </w:tcPr>
          <w:p>
            <w:pPr>
              <w:spacing w:after="0" w:line="240" w:lineRule="exact"/>
              <w:rPr>
                <w:sz w:val="20"/>
                <w:szCs w:val="20"/>
                <w:color w:val="auto"/>
              </w:rPr>
            </w:pPr>
            <w:r>
              <w:rPr>
                <w:rFonts w:ascii="Arial" w:cs="Arial" w:eastAsia="Arial" w:hAnsi="Arial"/>
                <w:sz w:val="16"/>
                <w:szCs w:val="16"/>
                <w:color w:val="auto"/>
              </w:rPr>
              <w:t xml:space="preserve">Other assets </w:t>
            </w:r>
            <w:r>
              <w:rPr>
                <w:rFonts w:ascii="Arial" w:cs="Arial" w:eastAsia="Arial" w:hAnsi="Arial"/>
                <w:sz w:val="26"/>
                <w:szCs w:val="26"/>
                <w:color w:val="auto"/>
                <w:vertAlign w:val="superscript"/>
              </w:rPr>
              <w:t>(5)</w:t>
            </w:r>
          </w:p>
        </w:tc>
        <w:tc>
          <w:tcPr>
            <w:tcW w:w="1120" w:type="dxa"/>
            <w:vAlign w:val="bottom"/>
          </w:tcPr>
          <w:p>
            <w:pPr>
              <w:jc w:val="right"/>
              <w:spacing w:after="0"/>
              <w:rPr>
                <w:sz w:val="20"/>
                <w:szCs w:val="20"/>
                <w:color w:val="auto"/>
              </w:rPr>
            </w:pPr>
            <w:r>
              <w:rPr>
                <w:rFonts w:ascii="Arial" w:cs="Arial" w:eastAsia="Arial" w:hAnsi="Arial"/>
                <w:sz w:val="16"/>
                <w:szCs w:val="16"/>
                <w:color w:val="auto"/>
              </w:rPr>
              <w:t>5,219,974</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5,538,382</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7,516,326</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35.7%</w:t>
            </w:r>
          </w:p>
        </w:tc>
        <w:tc>
          <w:tcPr>
            <w:tcW w:w="3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44.0%</w:t>
            </w:r>
          </w:p>
        </w:tc>
      </w:tr>
      <w:tr>
        <w:trPr>
          <w:trHeight w:val="200"/>
        </w:trPr>
        <w:tc>
          <w:tcPr>
            <w:tcW w:w="4620" w:type="dxa"/>
            <w:vAlign w:val="bottom"/>
            <w:shd w:val="clear" w:color="auto" w:fill="CCEEFF"/>
          </w:tcPr>
          <w:p>
            <w:pPr>
              <w:jc w:val="center"/>
              <w:ind w:right="40"/>
              <w:spacing w:after="0"/>
              <w:rPr>
                <w:sz w:val="20"/>
                <w:szCs w:val="20"/>
                <w:color w:val="auto"/>
              </w:rPr>
            </w:pPr>
            <w:r>
              <w:rPr>
                <w:rFonts w:ascii="Arial" w:cs="Arial" w:eastAsia="Arial" w:hAnsi="Arial"/>
                <w:sz w:val="16"/>
                <w:szCs w:val="16"/>
                <w:b w:val="1"/>
                <w:bCs w:val="1"/>
                <w:color w:val="auto"/>
                <w:w w:val="86"/>
              </w:rPr>
              <w:t>Total Assets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177,540,208</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188,028,052</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197,676,080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5.1%</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11.3%</w:t>
            </w:r>
          </w:p>
        </w:tc>
      </w:tr>
      <w:tr>
        <w:trPr>
          <w:trHeight w:val="200"/>
        </w:trPr>
        <w:tc>
          <w:tcPr>
            <w:tcW w:w="462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Deposits and obligations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color w:val="auto"/>
              </w:rPr>
              <w:t>Non-interest bearing</w:t>
            </w:r>
          </w:p>
        </w:tc>
        <w:tc>
          <w:tcPr>
            <w:tcW w:w="1120" w:type="dxa"/>
            <w:vAlign w:val="bottom"/>
          </w:tcPr>
          <w:p>
            <w:pPr>
              <w:jc w:val="right"/>
              <w:spacing w:after="0"/>
              <w:rPr>
                <w:sz w:val="20"/>
                <w:szCs w:val="20"/>
                <w:color w:val="auto"/>
              </w:rPr>
            </w:pPr>
            <w:r>
              <w:rPr>
                <w:rFonts w:ascii="Arial" w:cs="Arial" w:eastAsia="Arial" w:hAnsi="Arial"/>
                <w:sz w:val="16"/>
                <w:szCs w:val="16"/>
                <w:color w:val="auto"/>
              </w:rPr>
              <w:t>26,856,618</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28,316,170</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32,231,854</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13.8%</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20.0%</w:t>
            </w: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bearing</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76,870,639</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83,689,215</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87,331,691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color w:val="auto"/>
              </w:rPr>
              <w:t>Total deposits and obligations</w:t>
            </w:r>
          </w:p>
        </w:tc>
        <w:tc>
          <w:tcPr>
            <w:tcW w:w="1120" w:type="dxa"/>
            <w:vAlign w:val="bottom"/>
          </w:tcPr>
          <w:p>
            <w:pPr>
              <w:jc w:val="right"/>
              <w:spacing w:after="0"/>
              <w:rPr>
                <w:sz w:val="20"/>
                <w:szCs w:val="20"/>
                <w:color w:val="auto"/>
              </w:rPr>
            </w:pPr>
            <w:r>
              <w:rPr>
                <w:rFonts w:ascii="Arial" w:cs="Arial" w:eastAsia="Arial" w:hAnsi="Arial"/>
                <w:sz w:val="16"/>
                <w:szCs w:val="16"/>
                <w:color w:val="auto"/>
              </w:rPr>
              <w:t>103,727,257</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112,005,385</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119,563,545</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6.7%</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15.3%</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Payables from repurchase agreements and securities lending</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8,806,221</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7,678,016</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8,254,726</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color w:val="auto"/>
              </w:rPr>
              <w:t>BCRP instruments</w:t>
            </w:r>
          </w:p>
        </w:tc>
        <w:tc>
          <w:tcPr>
            <w:tcW w:w="1120" w:type="dxa"/>
            <w:vAlign w:val="bottom"/>
          </w:tcPr>
          <w:p>
            <w:pPr>
              <w:jc w:val="right"/>
              <w:spacing w:after="0"/>
              <w:rPr>
                <w:sz w:val="20"/>
                <w:szCs w:val="20"/>
                <w:color w:val="auto"/>
              </w:rPr>
            </w:pPr>
            <w:r>
              <w:rPr>
                <w:rFonts w:ascii="Arial" w:cs="Arial" w:eastAsia="Arial" w:hAnsi="Arial"/>
                <w:sz w:val="16"/>
                <w:szCs w:val="16"/>
                <w:color w:val="auto"/>
              </w:rPr>
              <w:t>4,984,192</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4,381,011</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5,346,373</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22.0%</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7.3%</w:t>
            </w: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Repurchase agreements w ith third parties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2,324,385</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1,820,911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1,935,879</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-16.7%</w:t>
            </w: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color w:val="auto"/>
              </w:rPr>
              <w:t>Repurchase agreements with customers</w:t>
            </w:r>
          </w:p>
        </w:tc>
        <w:tc>
          <w:tcPr>
            <w:tcW w:w="1120" w:type="dxa"/>
            <w:vAlign w:val="bottom"/>
          </w:tcPr>
          <w:p>
            <w:pPr>
              <w:jc w:val="right"/>
              <w:spacing w:after="0"/>
              <w:rPr>
                <w:sz w:val="20"/>
                <w:szCs w:val="20"/>
                <w:color w:val="auto"/>
              </w:rPr>
            </w:pPr>
            <w:r>
              <w:rPr>
                <w:rFonts w:ascii="Arial" w:cs="Arial" w:eastAsia="Arial" w:hAnsi="Arial"/>
                <w:sz w:val="16"/>
                <w:szCs w:val="16"/>
                <w:color w:val="auto"/>
              </w:rPr>
              <w:t>1,497,644</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1,476,094</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1,473,059</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-0.2%</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Due to banks and correspondents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7,219,120</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8,841,732</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9,854,630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36.5%</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Bonds and notes issued</w:t>
            </w:r>
          </w:p>
        </w:tc>
        <w:tc>
          <w:tcPr>
            <w:tcW w:w="1120" w:type="dxa"/>
            <w:vAlign w:val="bottom"/>
          </w:tcPr>
          <w:p>
            <w:pPr>
              <w:jc w:val="right"/>
              <w:spacing w:after="0"/>
              <w:rPr>
                <w:sz w:val="20"/>
                <w:szCs w:val="20"/>
                <w:color w:val="auto"/>
              </w:rPr>
            </w:pPr>
            <w:r>
              <w:rPr>
                <w:rFonts w:ascii="Arial" w:cs="Arial" w:eastAsia="Arial" w:hAnsi="Arial"/>
                <w:sz w:val="16"/>
                <w:szCs w:val="16"/>
                <w:color w:val="auto"/>
              </w:rPr>
              <w:t>15,472,882</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14,946,363</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15,197,237</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Banker’s acceptances outstanding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611,142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535,222</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555,598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Reserves for property and casualty claims</w:t>
            </w:r>
          </w:p>
        </w:tc>
        <w:tc>
          <w:tcPr>
            <w:tcW w:w="1120" w:type="dxa"/>
            <w:vAlign w:val="bottom"/>
          </w:tcPr>
          <w:p>
            <w:pPr>
              <w:jc w:val="right"/>
              <w:spacing w:after="0"/>
              <w:rPr>
                <w:sz w:val="20"/>
                <w:szCs w:val="20"/>
                <w:color w:val="auto"/>
              </w:rPr>
            </w:pPr>
            <w:r>
              <w:rPr>
                <w:rFonts w:ascii="Arial" w:cs="Arial" w:eastAsia="Arial" w:hAnsi="Arial"/>
                <w:sz w:val="16"/>
                <w:szCs w:val="16"/>
                <w:color w:val="auto"/>
              </w:rPr>
              <w:t>1,465,338</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1,576,228</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1,637,791</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3.9%</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11.8%</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Reserve for unearned premiums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7,238,393</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8,374,005</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8,338,154</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-0.4%</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Accounts payable to reinsurers</w:t>
            </w:r>
          </w:p>
        </w:tc>
        <w:tc>
          <w:tcPr>
            <w:tcW w:w="1120" w:type="dxa"/>
            <w:vAlign w:val="bottom"/>
          </w:tcPr>
          <w:p>
            <w:pPr>
              <w:jc w:val="right"/>
              <w:spacing w:after="0"/>
              <w:rPr>
                <w:sz w:val="20"/>
                <w:szCs w:val="20"/>
                <w:color w:val="auto"/>
              </w:rPr>
            </w:pPr>
            <w:r>
              <w:rPr>
                <w:rFonts w:ascii="Arial" w:cs="Arial" w:eastAsia="Arial" w:hAnsi="Arial"/>
                <w:sz w:val="16"/>
                <w:szCs w:val="16"/>
                <w:color w:val="auto"/>
              </w:rPr>
              <w:t>280,663</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216,734</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198,473</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-8.4%</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-29.3%</w:t>
            </w:r>
          </w:p>
        </w:tc>
      </w:tr>
      <w:tr>
        <w:trPr>
          <w:trHeight w:val="240"/>
        </w:trPr>
        <w:tc>
          <w:tcPr>
            <w:tcW w:w="4620" w:type="dxa"/>
            <w:vAlign w:val="bottom"/>
            <w:shd w:val="clear" w:color="auto" w:fill="CCEEFF"/>
          </w:tcPr>
          <w:p>
            <w:pPr>
              <w:spacing w:after="0" w:line="240" w:lineRule="exact"/>
              <w:rPr>
                <w:sz w:val="20"/>
                <w:szCs w:val="20"/>
                <w:color w:val="auto"/>
              </w:rPr>
            </w:pPr>
            <w:r>
              <w:rPr>
                <w:rFonts w:ascii="Arial" w:cs="Arial" w:eastAsia="Arial" w:hAnsi="Arial"/>
                <w:sz w:val="16"/>
                <w:szCs w:val="16"/>
                <w:color w:val="auto"/>
              </w:rPr>
              <w:t xml:space="preserve">Financial liabilities at fair value through profit or loss </w:t>
            </w:r>
            <w:r>
              <w:rPr>
                <w:rFonts w:ascii="Arial" w:cs="Arial" w:eastAsia="Arial" w:hAnsi="Arial"/>
                <w:sz w:val="26"/>
                <w:szCs w:val="26"/>
                <w:color w:val="auto"/>
                <w:vertAlign w:val="superscript"/>
              </w:rPr>
              <w:t>(6)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517,255</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493,700</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335,853</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-32.0%</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-35.1%</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Other liabilities</w:t>
            </w:r>
          </w:p>
        </w:tc>
        <w:tc>
          <w:tcPr>
            <w:tcW w:w="1120" w:type="dxa"/>
            <w:vAlign w:val="bottom"/>
          </w:tcPr>
          <w:p>
            <w:pPr>
              <w:jc w:val="right"/>
              <w:spacing w:after="0"/>
              <w:rPr>
                <w:sz w:val="20"/>
                <w:szCs w:val="20"/>
                <w:color w:val="auto"/>
              </w:rPr>
            </w:pPr>
            <w:r>
              <w:rPr>
                <w:rFonts w:ascii="Arial" w:cs="Arial" w:eastAsia="Arial" w:hAnsi="Arial"/>
                <w:sz w:val="16"/>
                <w:szCs w:val="16"/>
                <w:color w:val="auto"/>
              </w:rPr>
              <w:t>8,093,950</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6,614,357</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10,017,262</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51.4%</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23.8%</w:t>
            </w:r>
          </w:p>
        </w:tc>
      </w:tr>
      <w:tr>
        <w:trPr>
          <w:trHeight w:val="200"/>
        </w:trPr>
        <w:tc>
          <w:tcPr>
            <w:tcW w:w="4620" w:type="dxa"/>
            <w:vAlign w:val="bottom"/>
            <w:shd w:val="clear" w:color="auto" w:fill="CCEEFF"/>
          </w:tcPr>
          <w:p>
            <w:pPr>
              <w:jc w:val="center"/>
              <w:ind w:right="20"/>
              <w:spacing w:after="0"/>
              <w:rPr>
                <w:sz w:val="20"/>
                <w:szCs w:val="20"/>
                <w:color w:val="auto"/>
              </w:rPr>
            </w:pPr>
            <w:r>
              <w:rPr>
                <w:rFonts w:ascii="Arial" w:cs="Arial" w:eastAsia="Arial" w:hAnsi="Arial"/>
                <w:sz w:val="16"/>
                <w:szCs w:val="16"/>
                <w:b w:val="1"/>
                <w:bCs w:val="1"/>
                <w:color w:val="auto"/>
                <w:w w:val="92"/>
              </w:rPr>
              <w:t>Total Liabilities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153,432,221</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161,281,742</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173,953,269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7.9%</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13.4%</w:t>
            </w:r>
          </w:p>
        </w:tc>
      </w:tr>
      <w:tr>
        <w:trPr>
          <w:trHeight w:val="200"/>
        </w:trPr>
        <w:tc>
          <w:tcPr>
            <w:tcW w:w="4620" w:type="dxa"/>
            <w:vAlign w:val="bottom"/>
          </w:tcPr>
          <w:p>
            <w:pPr>
              <w:spacing w:after="0"/>
              <w:rPr>
                <w:sz w:val="20"/>
                <w:szCs w:val="20"/>
                <w:color w:val="auto"/>
              </w:rPr>
            </w:pPr>
            <w:r>
              <w:rPr>
                <w:rFonts w:ascii="Arial" w:cs="Arial" w:eastAsia="Arial" w:hAnsi="Arial"/>
                <w:sz w:val="16"/>
                <w:szCs w:val="16"/>
                <w:b w:val="1"/>
                <w:bCs w:val="1"/>
                <w:color w:val="auto"/>
              </w:rPr>
              <w:t>Net equity</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23,692,091</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26,237,960</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23,205,639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-11.6%</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-2.1%</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Capital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1,318,993</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1,318,993</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1,318,993</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Treasury stock</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(207,897)</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(207,839)</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(209,309)</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0.7%</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0.7%</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Capital surplus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222,349</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226,037</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165,188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-26.9%</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-25.7%</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Reserves</w:t>
            </w:r>
          </w:p>
        </w:tc>
        <w:tc>
          <w:tcPr>
            <w:tcW w:w="1120" w:type="dxa"/>
            <w:vAlign w:val="bottom"/>
          </w:tcPr>
          <w:p>
            <w:pPr>
              <w:jc w:val="right"/>
              <w:spacing w:after="0"/>
              <w:rPr>
                <w:sz w:val="20"/>
                <w:szCs w:val="20"/>
                <w:color w:val="auto"/>
              </w:rPr>
            </w:pPr>
            <w:r>
              <w:rPr>
                <w:rFonts w:ascii="Arial" w:cs="Arial" w:eastAsia="Arial" w:hAnsi="Arial"/>
                <w:sz w:val="16"/>
                <w:szCs w:val="16"/>
                <w:color w:val="auto"/>
              </w:rPr>
              <w:t>19,408,876</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19,437,645</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21,360,272</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9.9%</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10.1%</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gains and losses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1,128,884</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1,088,189</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359,565</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-67.0%</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-68.1%</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Retained earnings</w:t>
            </w:r>
          </w:p>
        </w:tc>
        <w:tc>
          <w:tcPr>
            <w:tcW w:w="1120" w:type="dxa"/>
            <w:vAlign w:val="bottom"/>
          </w:tcPr>
          <w:p>
            <w:pPr>
              <w:jc w:val="right"/>
              <w:spacing w:after="0"/>
              <w:rPr>
                <w:sz w:val="20"/>
                <w:szCs w:val="20"/>
                <w:color w:val="auto"/>
              </w:rPr>
            </w:pPr>
            <w:r>
              <w:rPr>
                <w:rFonts w:ascii="Arial" w:cs="Arial" w:eastAsia="Arial" w:hAnsi="Arial"/>
                <w:sz w:val="16"/>
                <w:szCs w:val="16"/>
                <w:color w:val="auto"/>
              </w:rPr>
              <w:t>1,820,886</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4,374,935</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210,930</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-95.2%</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-88.4%</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415,896</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508,350</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517,172</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r>
      <w:tr>
        <w:trPr>
          <w:trHeight w:val="200"/>
        </w:trPr>
        <w:tc>
          <w:tcPr>
            <w:tcW w:w="4620" w:type="dxa"/>
            <w:vAlign w:val="bottom"/>
          </w:tcPr>
          <w:p>
            <w:pPr>
              <w:jc w:val="center"/>
              <w:ind w:right="40"/>
              <w:spacing w:after="0"/>
              <w:rPr>
                <w:sz w:val="20"/>
                <w:szCs w:val="20"/>
                <w:color w:val="auto"/>
              </w:rPr>
            </w:pPr>
            <w:r>
              <w:rPr>
                <w:rFonts w:ascii="Arial" w:cs="Arial" w:eastAsia="Arial" w:hAnsi="Arial"/>
                <w:sz w:val="16"/>
                <w:szCs w:val="16"/>
                <w:b w:val="1"/>
                <w:bCs w:val="1"/>
                <w:color w:val="auto"/>
                <w:w w:val="93"/>
              </w:rPr>
              <w:t>Total Net Equity</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24,107,987</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26,746,310</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23,722,811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-11.3%</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-1.6%</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equity</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177,540,208</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188,028,052</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197,676,080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5.1%</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11.3%</w:t>
            </w:r>
          </w:p>
        </w:tc>
      </w:tr>
      <w:tr>
        <w:trPr>
          <w:trHeight w:val="200"/>
        </w:trPr>
        <w:tc>
          <w:tcPr>
            <w:tcW w:w="4620" w:type="dxa"/>
            <w:vAlign w:val="bottom"/>
          </w:tcPr>
          <w:p>
            <w:pPr>
              <w:spacing w:after="0"/>
              <w:rPr>
                <w:sz w:val="20"/>
                <w:szCs w:val="20"/>
                <w:color w:val="auto"/>
              </w:rPr>
            </w:pPr>
            <w:r>
              <w:rPr>
                <w:rFonts w:ascii="Arial" w:cs="Arial" w:eastAsia="Arial" w:hAnsi="Arial"/>
                <w:sz w:val="16"/>
                <w:szCs w:val="16"/>
                <w:b w:val="1"/>
                <w:bCs w:val="1"/>
                <w:color w:val="auto"/>
              </w:rPr>
              <w:t>Off-balance sheet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121,965,125</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125,344,301</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131,725,399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5.1%</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8.0%</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Total performance bonds, stand-by and L/Cs.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18,784,417</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21,081,035</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20,426,402</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Undrawn credit lines, advised but not committed</w:t>
            </w:r>
          </w:p>
        </w:tc>
        <w:tc>
          <w:tcPr>
            <w:tcW w:w="1120" w:type="dxa"/>
            <w:vAlign w:val="bottom"/>
          </w:tcPr>
          <w:p>
            <w:pPr>
              <w:jc w:val="right"/>
              <w:spacing w:after="0"/>
              <w:rPr>
                <w:sz w:val="20"/>
                <w:szCs w:val="20"/>
                <w:color w:val="auto"/>
              </w:rPr>
            </w:pPr>
            <w:r>
              <w:rPr>
                <w:rFonts w:ascii="Arial" w:cs="Arial" w:eastAsia="Arial" w:hAnsi="Arial"/>
                <w:sz w:val="16"/>
                <w:szCs w:val="16"/>
                <w:color w:val="auto"/>
              </w:rPr>
              <w:t>76,521,908</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75,613,805</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79,703,253</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5.4%</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4.2%</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Total derivatives (notional) and others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26,658,800</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28,649,461</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31,595,744</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10.3%</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18.5%</w:t>
            </w:r>
          </w:p>
        </w:tc>
      </w:tr>
    </w:tbl>
    <w:p>
      <w:pPr>
        <w:spacing w:after="0" w:line="199" w:lineRule="exact"/>
        <w:rPr>
          <w:sz w:val="20"/>
          <w:szCs w:val="20"/>
          <w:color w:val="auto"/>
        </w:rPr>
      </w:pPr>
    </w:p>
    <w:p>
      <w:pPr>
        <w:ind w:firstLine="7"/>
        <w:spacing w:after="0" w:line="286" w:lineRule="auto"/>
        <w:tabs>
          <w:tab w:leader="none" w:pos="258"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amounts differ from those previously reported in 2018 period, due to the reclassification to the item "Cash collateral, reverse repurchase agreements and securities borrowing" mainly for the cash collateral in dollars delivered to the BCRP, previously presented in the item "Cash and due from banks".</w:t>
      </w:r>
    </w:p>
    <w:p>
      <w:pPr>
        <w:spacing w:after="0" w:line="1" w:lineRule="exact"/>
        <w:rPr>
          <w:rFonts w:ascii="Arial" w:cs="Arial" w:eastAsia="Arial" w:hAnsi="Arial"/>
          <w:sz w:val="16"/>
          <w:szCs w:val="16"/>
          <w:color w:val="auto"/>
        </w:rPr>
      </w:pPr>
    </w:p>
    <w:p>
      <w:pPr>
        <w:ind w:right="20" w:firstLine="7"/>
        <w:spacing w:after="0" w:line="247" w:lineRule="auto"/>
        <w:tabs>
          <w:tab w:leader="none" w:pos="265"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2019 period, this item was opened in the statement of financial position; previously presented under the item "Investments at fair value through profit or loss".</w:t>
      </w:r>
    </w:p>
    <w:p>
      <w:pPr>
        <w:jc w:val="both"/>
        <w:ind w:firstLine="7"/>
        <w:spacing w:after="0" w:line="247" w:lineRule="auto"/>
        <w:tabs>
          <w:tab w:leader="none" w:pos="27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amounts differ from those previously reported in 2018 period, due to the reclassification of the expenses on improvements in building for rent, previously presented in the item “Other assets”. Likewise, in the period 2019, the asset for the right to use the lease contracts was incorporated, in application of IFRS 16.</w:t>
      </w:r>
    </w:p>
    <w:p>
      <w:pPr>
        <w:spacing w:after="0" w:line="1" w:lineRule="exact"/>
        <w:rPr>
          <w:rFonts w:ascii="Arial" w:cs="Arial" w:eastAsia="Arial" w:hAnsi="Arial"/>
          <w:sz w:val="18"/>
          <w:szCs w:val="18"/>
          <w:color w:val="auto"/>
        </w:rPr>
      </w:pPr>
    </w:p>
    <w:p>
      <w:pPr>
        <w:ind w:left="260" w:hanging="253"/>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investments in associates, mainly Banmedica and Visanet, among others.</w:t>
      </w:r>
    </w:p>
    <w:p>
      <w:pPr>
        <w:sectPr>
          <w:pgSz w:w="11900" w:h="16890" w:orient="portrait"/>
          <w:cols w:equalWidth="0" w:num="1">
            <w:col w:w="11240"/>
          </w:cols>
          <w:pgMar w:left="320" w:top="1108" w:right="339" w:bottom="0" w:gutter="0" w:footer="0" w:header="0"/>
        </w:sectPr>
      </w:pPr>
    </w:p>
    <w:bookmarkStart w:id="54" w:name="page55"/>
    <w:bookmarkEnd w:id="54"/>
    <w:p>
      <w:pPr>
        <w:ind w:left="260" w:hanging="253"/>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mainly accounts receivables from brokerage and others.</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2019 period, this item was opened in the statement of financial position; previously presented in the item "Other liabilities".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b w:val="1"/>
                <w:bCs w:val="1"/>
                <w:color w:val="auto"/>
              </w:rPr>
              <w:t>Quarter</w:t>
            </w:r>
          </w:p>
        </w:tc>
        <w:tc>
          <w:tcPr>
            <w:tcW w:w="1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rPr>
              <w:t>% change</w:t>
            </w: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46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1Q19</w:t>
            </w:r>
          </w:p>
        </w:tc>
        <w:tc>
          <w:tcPr>
            <w:tcW w:w="132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4Q19</w:t>
            </w:r>
          </w:p>
        </w:tc>
        <w:tc>
          <w:tcPr>
            <w:tcW w:w="1100" w:type="dxa"/>
            <w:vAlign w:val="bottom"/>
          </w:tcPr>
          <w:p>
            <w:pPr>
              <w:ind w:left="360"/>
              <w:spacing w:after="0"/>
              <w:rPr>
                <w:sz w:val="20"/>
                <w:szCs w:val="20"/>
                <w:color w:val="auto"/>
              </w:rPr>
            </w:pPr>
            <w:r>
              <w:rPr>
                <w:rFonts w:ascii="Arial" w:cs="Arial" w:eastAsia="Arial" w:hAnsi="Arial"/>
                <w:sz w:val="16"/>
                <w:szCs w:val="16"/>
                <w:b w:val="1"/>
                <w:bCs w:val="1"/>
                <w:color w:val="auto"/>
              </w:rPr>
              <w:t>1Q20</w:t>
            </w:r>
          </w:p>
        </w:tc>
        <w:tc>
          <w:tcPr>
            <w:tcW w:w="220" w:type="dxa"/>
            <w:vAlign w:val="bottom"/>
          </w:tcPr>
          <w:p>
            <w:pPr>
              <w:spacing w:after="0"/>
              <w:rPr>
                <w:sz w:val="18"/>
                <w:szCs w:val="18"/>
                <w:color w:val="auto"/>
              </w:rPr>
            </w:pPr>
          </w:p>
        </w:tc>
        <w:tc>
          <w:tcPr>
            <w:tcW w:w="1680" w:type="dxa"/>
            <w:vAlign w:val="bottom"/>
            <w:gridSpan w:val="3"/>
          </w:tcPr>
          <w:p>
            <w:pPr>
              <w:ind w:left="380"/>
              <w:spacing w:after="0"/>
              <w:rPr>
                <w:sz w:val="20"/>
                <w:szCs w:val="20"/>
                <w:color w:val="auto"/>
              </w:rPr>
            </w:pPr>
            <w:r>
              <w:rPr>
                <w:rFonts w:ascii="Arial" w:cs="Arial" w:eastAsia="Arial" w:hAnsi="Arial"/>
                <w:sz w:val="16"/>
                <w:szCs w:val="16"/>
                <w:b w:val="1"/>
                <w:bCs w:val="1"/>
                <w:color w:val="auto"/>
              </w:rPr>
              <w:t>QoQ</w:t>
            </w:r>
          </w:p>
        </w:tc>
        <w:tc>
          <w:tcPr>
            <w:tcW w:w="800" w:type="dxa"/>
            <w:vAlign w:val="bottom"/>
          </w:tcPr>
          <w:p>
            <w:pPr>
              <w:ind w:left="100"/>
              <w:spacing w:after="0"/>
              <w:rPr>
                <w:sz w:val="20"/>
                <w:szCs w:val="20"/>
                <w:color w:val="auto"/>
              </w:rPr>
            </w:pPr>
            <w:r>
              <w:rPr>
                <w:rFonts w:ascii="Arial" w:cs="Arial" w:eastAsia="Arial" w:hAnsi="Arial"/>
                <w:sz w:val="16"/>
                <w:szCs w:val="16"/>
                <w:b w:val="1"/>
                <w:bCs w:val="1"/>
                <w:color w:val="auto"/>
              </w:rPr>
              <w:t>YoY</w:t>
            </w:r>
          </w:p>
        </w:tc>
        <w:tc>
          <w:tcPr>
            <w:tcW w:w="160" w:type="dxa"/>
            <w:vAlign w:val="bottom"/>
          </w:tcPr>
          <w:p>
            <w:pPr>
              <w:spacing w:after="0"/>
              <w:rPr>
                <w:sz w:val="18"/>
                <w:szCs w:val="18"/>
                <w:color w:val="auto"/>
              </w:rPr>
            </w:pPr>
          </w:p>
        </w:tc>
      </w:tr>
      <w:tr>
        <w:trPr>
          <w:trHeight w:val="19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Interest income and expense</w:t>
            </w: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color w:val="auto"/>
              </w:rPr>
              <w:t>Interest and dividend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3,001,674</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3,172,695</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3,163,609</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5.4%</w:t>
            </w:r>
          </w:p>
        </w:tc>
      </w:tr>
      <w:tr>
        <w:trPr>
          <w:trHeight w:val="240"/>
        </w:trPr>
        <w:tc>
          <w:tcPr>
            <w:tcW w:w="4620" w:type="dxa"/>
            <w:vAlign w:val="bottom"/>
            <w:shd w:val="clear" w:color="auto" w:fill="CCEEFF"/>
          </w:tcPr>
          <w:p>
            <w:pPr>
              <w:ind w:left="160"/>
              <w:spacing w:after="0" w:line="240"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6"/>
                <w:szCs w:val="26"/>
                <w:color w:val="auto"/>
                <w:vertAlign w:val="superscript"/>
              </w:rPr>
              <w:t>(1)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(804,506)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(807,869)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(784,309)</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b w:val="1"/>
                <w:bCs w:val="1"/>
                <w:color w:val="auto"/>
              </w:rPr>
              <w:t>Net interest income</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2,197,168</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2,364,826</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2,379,300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0.6%</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8.3%</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Gross provision for credit losses on loan portfolio</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(453,285)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(568,727)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(1,388,711)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144.2%</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206.4%</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Recoveries of written-off loans</w:t>
            </w:r>
          </w:p>
        </w:tc>
        <w:tc>
          <w:tcPr>
            <w:tcW w:w="1120" w:type="dxa"/>
            <w:vAlign w:val="bottom"/>
          </w:tcPr>
          <w:p>
            <w:pPr>
              <w:jc w:val="right"/>
              <w:spacing w:after="0"/>
              <w:rPr>
                <w:sz w:val="20"/>
                <w:szCs w:val="20"/>
                <w:color w:val="auto"/>
              </w:rPr>
            </w:pPr>
            <w:r>
              <w:rPr>
                <w:rFonts w:ascii="Arial" w:cs="Arial" w:eastAsia="Arial" w:hAnsi="Arial"/>
                <w:sz w:val="16"/>
                <w:szCs w:val="16"/>
                <w:color w:val="auto"/>
              </w:rPr>
              <w:t>70,074</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57,067</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47,230</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-17.2%</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-32.6%</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8"/>
              </w:rPr>
              <w:t>Provision for credit losses on loan portfolio, net of recoveries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(383,211)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(511,660)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(1,341,481)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162.2%</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250.1%</w:t>
            </w:r>
          </w:p>
        </w:tc>
      </w:tr>
      <w:tr>
        <w:trPr>
          <w:trHeight w:val="200"/>
        </w:trPr>
        <w:tc>
          <w:tcPr>
            <w:tcW w:w="4620" w:type="dxa"/>
            <w:vAlign w:val="bottom"/>
          </w:tcPr>
          <w:p>
            <w:pPr>
              <w:spacing w:after="0"/>
              <w:rPr>
                <w:sz w:val="20"/>
                <w:szCs w:val="20"/>
                <w:color w:val="auto"/>
              </w:rPr>
            </w:pPr>
            <w:r>
              <w:rPr>
                <w:rFonts w:ascii="Arial" w:cs="Arial" w:eastAsia="Arial" w:hAnsi="Arial"/>
                <w:sz w:val="16"/>
                <w:szCs w:val="16"/>
                <w:b w:val="1"/>
                <w:bCs w:val="1"/>
                <w:color w:val="auto"/>
              </w:rPr>
              <w:t>Risk-adjusted net interest income</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1,813,957</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1,853,166</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1,037,819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-44.0%</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-42.8%</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Non-financial income</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color w:val="auto"/>
              </w:rPr>
              <w:t>Fee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782,922</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847,206</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760,329</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-10.3%</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gain on foreign exchange transactions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178,423</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193,528</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166,983</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-13.7%</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r>
      <w:tr>
        <w:trPr>
          <w:trHeight w:val="240"/>
        </w:trPr>
        <w:tc>
          <w:tcPr>
            <w:tcW w:w="4620" w:type="dxa"/>
            <w:vAlign w:val="bottom"/>
          </w:tcPr>
          <w:p>
            <w:pPr>
              <w:ind w:left="160"/>
              <w:spacing w:after="0" w:line="240" w:lineRule="exact"/>
              <w:rPr>
                <w:sz w:val="20"/>
                <w:szCs w:val="20"/>
                <w:color w:val="auto"/>
              </w:rPr>
            </w:pPr>
            <w:r>
              <w:rPr>
                <w:rFonts w:ascii="Arial" w:cs="Arial" w:eastAsia="Arial" w:hAnsi="Arial"/>
                <w:sz w:val="16"/>
                <w:szCs w:val="16"/>
                <w:color w:val="auto"/>
              </w:rPr>
              <w:t xml:space="preserve">Net gain on sales of securities </w:t>
            </w:r>
            <w:r>
              <w:rPr>
                <w:rFonts w:ascii="Arial" w:cs="Arial" w:eastAsia="Arial" w:hAnsi="Arial"/>
                <w:sz w:val="26"/>
                <w:szCs w:val="26"/>
                <w:color w:val="auto"/>
                <w:vertAlign w:val="superscript"/>
              </w:rPr>
              <w:t>(2)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113,545</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102,011</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(120,633)</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-218.3%</w:t>
            </w:r>
          </w:p>
        </w:tc>
        <w:tc>
          <w:tcPr>
            <w:tcW w:w="3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-206.2%</w:t>
            </w:r>
          </w:p>
        </w:tc>
      </w:tr>
      <w:tr>
        <w:trPr>
          <w:trHeight w:val="240"/>
        </w:trPr>
        <w:tc>
          <w:tcPr>
            <w:tcW w:w="4620" w:type="dxa"/>
            <w:vAlign w:val="bottom"/>
            <w:shd w:val="clear" w:color="auto" w:fill="CCEEFF"/>
          </w:tcPr>
          <w:p>
            <w:pPr>
              <w:ind w:left="160"/>
              <w:spacing w:after="0" w:line="240" w:lineRule="exact"/>
              <w:rPr>
                <w:sz w:val="20"/>
                <w:szCs w:val="20"/>
                <w:color w:val="auto"/>
              </w:rPr>
            </w:pPr>
            <w:r>
              <w:rPr>
                <w:rFonts w:ascii="Arial" w:cs="Arial" w:eastAsia="Arial" w:hAnsi="Arial"/>
                <w:sz w:val="16"/>
                <w:szCs w:val="16"/>
                <w:color w:val="auto"/>
              </w:rPr>
              <w:t xml:space="preserve">Net gain from associates </w:t>
            </w:r>
            <w:r>
              <w:rPr>
                <w:rFonts w:ascii="Arial" w:cs="Arial" w:eastAsia="Arial" w:hAnsi="Arial"/>
                <w:sz w:val="26"/>
                <w:szCs w:val="26"/>
                <w:color w:val="auto"/>
                <w:vertAlign w:val="superscript"/>
              </w:rPr>
              <w:t>(2)(3)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14,786</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22,738</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19,225</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-15.4%</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color w:val="auto"/>
              </w:rPr>
              <w:t>Net gain on derivatives held for trading</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(2,434)</w:t>
            </w:r>
          </w:p>
        </w:tc>
        <w:tc>
          <w:tcPr>
            <w:tcW w:w="1100" w:type="dxa"/>
            <w:vAlign w:val="bottom"/>
          </w:tcPr>
          <w:p>
            <w:pPr>
              <w:jc w:val="right"/>
              <w:spacing w:after="0"/>
              <w:rPr>
                <w:sz w:val="20"/>
                <w:szCs w:val="20"/>
                <w:color w:val="auto"/>
              </w:rPr>
            </w:pPr>
            <w:r>
              <w:rPr>
                <w:rFonts w:ascii="Arial" w:cs="Arial" w:eastAsia="Arial" w:hAnsi="Arial"/>
                <w:sz w:val="16"/>
                <w:szCs w:val="16"/>
                <w:color w:val="auto"/>
              </w:rPr>
              <w:t>7,043</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35,430</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403.1%</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-1555.6%</w:t>
            </w: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gain from exchange differences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13,490</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17,957</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(21,240)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-218.3%</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-257.4%</w:t>
            </w: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color w:val="auto"/>
              </w:rPr>
              <w:t>Other non-financial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75,605</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74,713</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117,770</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57.6%</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55.8%</w:t>
            </w: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Total non-financial income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1,176,337</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1,265,196</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957,864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-24.3%</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-18.6%</w:t>
            </w:r>
          </w:p>
        </w:tc>
      </w:tr>
      <w:tr>
        <w:trPr>
          <w:trHeight w:val="200"/>
        </w:trPr>
        <w:tc>
          <w:tcPr>
            <w:tcW w:w="4620" w:type="dxa"/>
            <w:vAlign w:val="bottom"/>
          </w:tcPr>
          <w:p>
            <w:pPr>
              <w:spacing w:after="0"/>
              <w:rPr>
                <w:sz w:val="20"/>
                <w:szCs w:val="20"/>
                <w:color w:val="auto"/>
              </w:rPr>
            </w:pPr>
            <w:r>
              <w:rPr>
                <w:rFonts w:ascii="Arial" w:cs="Arial" w:eastAsia="Arial" w:hAnsi="Arial"/>
                <w:sz w:val="16"/>
                <w:szCs w:val="16"/>
                <w:b w:val="1"/>
                <w:bCs w:val="1"/>
                <w:color w:val="auto"/>
              </w:rPr>
              <w:t>Insurance underwriting result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earned premiums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584,209</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620,578</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627,935</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color w:val="auto"/>
              </w:rPr>
              <w:t>Net claims</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(383,817)</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(387,426)</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(373,502)</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r>
      <w:tr>
        <w:trPr>
          <w:trHeight w:val="240"/>
        </w:trPr>
        <w:tc>
          <w:tcPr>
            <w:tcW w:w="4620" w:type="dxa"/>
            <w:vAlign w:val="bottom"/>
            <w:shd w:val="clear" w:color="auto" w:fill="CCEEFF"/>
          </w:tcPr>
          <w:p>
            <w:pPr>
              <w:ind w:left="160"/>
              <w:spacing w:after="0" w:line="240" w:lineRule="exact"/>
              <w:rPr>
                <w:sz w:val="20"/>
                <w:szCs w:val="20"/>
                <w:color w:val="auto"/>
              </w:rPr>
            </w:pPr>
            <w:r>
              <w:rPr>
                <w:rFonts w:ascii="Arial" w:cs="Arial" w:eastAsia="Arial" w:hAnsi="Arial"/>
                <w:sz w:val="16"/>
                <w:szCs w:val="16"/>
                <w:color w:val="auto"/>
              </w:rPr>
              <w:t xml:space="preserve">Acquisition cost </w:t>
            </w:r>
            <w:r>
              <w:rPr>
                <w:rFonts w:ascii="Arial" w:cs="Arial" w:eastAsia="Arial" w:hAnsi="Arial"/>
                <w:sz w:val="26"/>
                <w:szCs w:val="26"/>
                <w:color w:val="auto"/>
                <w:vertAlign w:val="superscript"/>
              </w:rPr>
              <w:t>(4)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(91,281)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(88,662)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(112,507)</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26.9%</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23.3%</w:t>
            </w: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b w:val="1"/>
                <w:bCs w:val="1"/>
                <w:color w:val="auto"/>
              </w:rPr>
              <w:t>Total insurance underwriting result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109,111</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144,490</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141,926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-1.8%</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30.1%</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expenses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color w:val="auto"/>
              </w:rPr>
              <w:t>Salaries and employee benefits</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(834,317)</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(885,526)</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(891,183)</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0.6%</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6.8%</w:t>
            </w: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Administrative, general and tax expenses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(538,157)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(701,225)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(539,644)</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-23.0%</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r>
      <w:tr>
        <w:trPr>
          <w:trHeight w:val="240"/>
        </w:trPr>
        <w:tc>
          <w:tcPr>
            <w:tcW w:w="4620" w:type="dxa"/>
            <w:vAlign w:val="bottom"/>
          </w:tcPr>
          <w:p>
            <w:pPr>
              <w:ind w:left="160"/>
              <w:spacing w:after="0" w:line="240"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6"/>
                <w:szCs w:val="26"/>
                <w:color w:val="auto"/>
                <w:vertAlign w:val="superscript"/>
              </w:rPr>
              <w:t>(5)</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(131,325)</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(176,593)</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(171,748)</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-2.7%</w:t>
            </w:r>
          </w:p>
        </w:tc>
        <w:tc>
          <w:tcPr>
            <w:tcW w:w="3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30.8%</w:t>
            </w: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Impairment loss on goodwill</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240"/>
        </w:trPr>
        <w:tc>
          <w:tcPr>
            <w:tcW w:w="4620" w:type="dxa"/>
            <w:vAlign w:val="bottom"/>
          </w:tcPr>
          <w:p>
            <w:pPr>
              <w:ind w:left="160"/>
              <w:spacing w:after="0" w:line="240" w:lineRule="exact"/>
              <w:rPr>
                <w:sz w:val="20"/>
                <w:szCs w:val="20"/>
                <w:color w:val="auto"/>
              </w:rPr>
            </w:pPr>
            <w:r>
              <w:rPr>
                <w:rFonts w:ascii="Arial" w:cs="Arial" w:eastAsia="Arial" w:hAnsi="Arial"/>
                <w:sz w:val="16"/>
                <w:szCs w:val="16"/>
                <w:color w:val="auto"/>
              </w:rPr>
              <w:t xml:space="preserve">Association in participation </w:t>
            </w:r>
            <w:r>
              <w:rPr>
                <w:rFonts w:ascii="Arial" w:cs="Arial" w:eastAsia="Arial" w:hAnsi="Arial"/>
                <w:sz w:val="26"/>
                <w:szCs w:val="26"/>
                <w:color w:val="auto"/>
                <w:vertAlign w:val="superscript"/>
              </w:rPr>
              <w:t>(6)</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(2,736)</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(9,806)</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(6,430)</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-34.4%</w:t>
            </w:r>
          </w:p>
        </w:tc>
        <w:tc>
          <w:tcPr>
            <w:tcW w:w="3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135.0%</w:t>
            </w: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expenses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(47,441)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(113,520)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(169,630)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49.4%</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257.6%</w:t>
            </w: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b w:val="1"/>
                <w:bCs w:val="1"/>
                <w:color w:val="auto"/>
              </w:rPr>
              <w:t>Total expenses</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(1,553,976)</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(1,886,670)</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(1,778,635)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-5.7%</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14.5%</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Profit before income tax</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1,545,429</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1,376,182</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358,974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-73.9%</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-76.8%</w:t>
            </w: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color w:val="auto"/>
              </w:rPr>
              <w:t>Income tax</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(422,165)</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(383,225)</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(145,799)</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-62.0%</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-65.5%</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profit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1,123,264</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992,957</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213,175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-78.5%</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-81.0%</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120" w:type="dxa"/>
            <w:vAlign w:val="bottom"/>
          </w:tcPr>
          <w:p>
            <w:pPr>
              <w:jc w:val="right"/>
              <w:spacing w:after="0"/>
              <w:rPr>
                <w:sz w:val="20"/>
                <w:szCs w:val="20"/>
                <w:color w:val="auto"/>
              </w:rPr>
            </w:pPr>
            <w:r>
              <w:rPr>
                <w:rFonts w:ascii="Arial" w:cs="Arial" w:eastAsia="Arial" w:hAnsi="Arial"/>
                <w:sz w:val="16"/>
                <w:szCs w:val="16"/>
                <w:color w:val="auto"/>
              </w:rPr>
              <w:t>22,397</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20,127</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3,901</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-80.6%</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-82.6%</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profit attributable to Credicorp</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1,100,867</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972,830</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209,274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-78.5%</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-81.0%</w:t>
            </w:r>
          </w:p>
        </w:tc>
      </w:tr>
    </w:tbl>
    <w:p>
      <w:pPr>
        <w:spacing w:after="0" w:line="199" w:lineRule="exact"/>
        <w:rPr>
          <w:sz w:val="20"/>
          <w:szCs w:val="20"/>
          <w:color w:val="auto"/>
        </w:rPr>
      </w:pPr>
    </w:p>
    <w:p>
      <w:pPr>
        <w:ind w:left="260" w:hanging="253"/>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of 2019, financing expenses related to lease agreements is included according to the application of IFRS 16.</w:t>
      </w:r>
    </w:p>
    <w:p>
      <w:pPr>
        <w:spacing w:after="0" w:line="19" w:lineRule="exact"/>
        <w:rPr>
          <w:rFonts w:ascii="Arial" w:cs="Arial" w:eastAsia="Arial" w:hAnsi="Arial"/>
          <w:sz w:val="18"/>
          <w:szCs w:val="18"/>
          <w:color w:val="auto"/>
        </w:rPr>
      </w:pPr>
    </w:p>
    <w:p>
      <w:pPr>
        <w:ind w:firstLine="7"/>
        <w:spacing w:after="0" w:line="247" w:lineRule="auto"/>
        <w:tabs>
          <w:tab w:leader="none" w:pos="273"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Starting in 2019 the gain from other investments in related companies has been included in the item "Net gain in associates"; which previously was presented in the item "Net gain on securities".</w:t>
      </w:r>
    </w:p>
    <w:p>
      <w:pPr>
        <w:ind w:left="260" w:hanging="253"/>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gains on other investments, mainly made up of the profit of Banmedica.</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acquisition cost of Pacifico includes net fees and underwriting expenses.</w:t>
      </w:r>
    </w:p>
    <w:p>
      <w:pPr>
        <w:spacing w:after="0" w:line="6" w:lineRule="exact"/>
        <w:rPr>
          <w:rFonts w:ascii="Arial" w:cs="Arial" w:eastAsia="Arial" w:hAnsi="Arial"/>
          <w:sz w:val="18"/>
          <w:szCs w:val="18"/>
          <w:color w:val="auto"/>
        </w:rPr>
      </w:pPr>
    </w:p>
    <w:p>
      <w:pPr>
        <w:ind w:firstLine="7"/>
        <w:spacing w:after="0" w:line="262" w:lineRule="auto"/>
        <w:tabs>
          <w:tab w:leader="none" w:pos="266" w:val="left"/>
        </w:tabs>
        <w:numPr>
          <w:ilvl w:val="0"/>
          <w:numId w:val="81"/>
        </w:numPr>
        <w:rPr>
          <w:rFonts w:ascii="Arial" w:cs="Arial" w:eastAsia="Arial" w:hAnsi="Arial"/>
          <w:sz w:val="17"/>
          <w:szCs w:val="17"/>
          <w:color w:val="auto"/>
        </w:rPr>
      </w:pPr>
      <w:r>
        <w:rPr>
          <w:rFonts w:ascii="Arial" w:cs="Arial" w:eastAsia="Arial" w:hAnsi="Arial"/>
          <w:sz w:val="17"/>
          <w:szCs w:val="17"/>
          <w:color w:val="auto"/>
        </w:rPr>
        <w:t>From 1Q19,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ind w:left="260" w:hanging="253"/>
        <w:spacing w:after="0"/>
        <w:tabs>
          <w:tab w:leader="none" w:pos="2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From this quarter, the item “Association in participation” was incorporated, which previously was presented in the item “Net gain on securities”</w:t>
      </w:r>
    </w:p>
    <w:p>
      <w:pPr>
        <w:spacing w:after="0" w:line="200" w:lineRule="exact"/>
        <w:rPr>
          <w:sz w:val="20"/>
          <w:szCs w:val="20"/>
          <w:color w:val="auto"/>
        </w:rPr>
      </w:pPr>
    </w:p>
    <w:p>
      <w:pPr>
        <w:spacing w:after="0" w:line="23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11.2. BCP Consolidated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6"/>
                <w:szCs w:val="16"/>
                <w:b w:val="1"/>
                <w:bCs w:val="1"/>
                <w:color w:val="auto"/>
              </w:rPr>
              <w:t>As of</w:t>
            </w:r>
          </w:p>
        </w:tc>
        <w:tc>
          <w:tcPr>
            <w:tcW w:w="1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rPr>
              <w:t>% change</w:t>
            </w: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46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Mar 2019</w:t>
            </w:r>
          </w:p>
        </w:tc>
        <w:tc>
          <w:tcPr>
            <w:tcW w:w="13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Dec 2019</w:t>
            </w:r>
          </w:p>
        </w:tc>
        <w:tc>
          <w:tcPr>
            <w:tcW w:w="1100" w:type="dxa"/>
            <w:vAlign w:val="bottom"/>
          </w:tcPr>
          <w:p>
            <w:pPr>
              <w:ind w:left="220"/>
              <w:spacing w:after="0"/>
              <w:rPr>
                <w:sz w:val="20"/>
                <w:szCs w:val="20"/>
                <w:color w:val="auto"/>
              </w:rPr>
            </w:pPr>
            <w:r>
              <w:rPr>
                <w:rFonts w:ascii="Arial" w:cs="Arial" w:eastAsia="Arial" w:hAnsi="Arial"/>
                <w:sz w:val="16"/>
                <w:szCs w:val="16"/>
                <w:b w:val="1"/>
                <w:bCs w:val="1"/>
                <w:color w:val="auto"/>
              </w:rPr>
              <w:t>Mar 2020</w:t>
            </w:r>
          </w:p>
        </w:tc>
        <w:tc>
          <w:tcPr>
            <w:tcW w:w="220" w:type="dxa"/>
            <w:vAlign w:val="bottom"/>
          </w:tcPr>
          <w:p>
            <w:pPr>
              <w:spacing w:after="0"/>
              <w:rPr>
                <w:sz w:val="18"/>
                <w:szCs w:val="18"/>
                <w:color w:val="auto"/>
              </w:rPr>
            </w:pPr>
          </w:p>
        </w:tc>
        <w:tc>
          <w:tcPr>
            <w:tcW w:w="1680" w:type="dxa"/>
            <w:vAlign w:val="bottom"/>
            <w:gridSpan w:val="3"/>
          </w:tcPr>
          <w:p>
            <w:pPr>
              <w:ind w:left="380"/>
              <w:spacing w:after="0"/>
              <w:rPr>
                <w:sz w:val="20"/>
                <w:szCs w:val="20"/>
                <w:color w:val="auto"/>
              </w:rPr>
            </w:pPr>
            <w:r>
              <w:rPr>
                <w:rFonts w:ascii="Arial" w:cs="Arial" w:eastAsia="Arial" w:hAnsi="Arial"/>
                <w:sz w:val="16"/>
                <w:szCs w:val="16"/>
                <w:b w:val="1"/>
                <w:bCs w:val="1"/>
                <w:color w:val="auto"/>
              </w:rPr>
              <w:t>QoQ</w:t>
            </w:r>
          </w:p>
        </w:tc>
        <w:tc>
          <w:tcPr>
            <w:tcW w:w="800" w:type="dxa"/>
            <w:vAlign w:val="bottom"/>
          </w:tcPr>
          <w:p>
            <w:pPr>
              <w:ind w:left="100"/>
              <w:spacing w:after="0"/>
              <w:rPr>
                <w:sz w:val="20"/>
                <w:szCs w:val="20"/>
                <w:color w:val="auto"/>
              </w:rPr>
            </w:pPr>
            <w:r>
              <w:rPr>
                <w:rFonts w:ascii="Arial" w:cs="Arial" w:eastAsia="Arial" w:hAnsi="Arial"/>
                <w:sz w:val="16"/>
                <w:szCs w:val="16"/>
                <w:b w:val="1"/>
                <w:bCs w:val="1"/>
                <w:color w:val="auto"/>
              </w:rPr>
              <w:t>YoY</w:t>
            </w:r>
          </w:p>
        </w:tc>
        <w:tc>
          <w:tcPr>
            <w:tcW w:w="160" w:type="dxa"/>
            <w:vAlign w:val="bottom"/>
          </w:tcPr>
          <w:p>
            <w:pPr>
              <w:spacing w:after="0"/>
              <w:rPr>
                <w:sz w:val="18"/>
                <w:szCs w:val="18"/>
                <w:color w:val="auto"/>
              </w:rPr>
            </w:pPr>
          </w:p>
        </w:tc>
      </w:tr>
      <w:tr>
        <w:trPr>
          <w:trHeight w:val="19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0"/>
        </w:trPr>
        <w:tc>
          <w:tcPr>
            <w:tcW w:w="4620" w:type="dxa"/>
            <w:vAlign w:val="bottom"/>
          </w:tcPr>
          <w:p>
            <w:pPr>
              <w:spacing w:after="0"/>
              <w:rPr>
                <w:sz w:val="20"/>
                <w:szCs w:val="20"/>
                <w:color w:val="auto"/>
              </w:rPr>
            </w:pPr>
            <w:r>
              <w:rPr>
                <w:rFonts w:ascii="Arial" w:cs="Arial" w:eastAsia="Arial" w:hAnsi="Arial"/>
                <w:sz w:val="16"/>
                <w:szCs w:val="16"/>
                <w:b w:val="1"/>
                <w:bCs w:val="1"/>
                <w:color w:val="auto"/>
              </w:rPr>
              <w:t>Cash and due from banks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Non-interest bearing</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5,816,012</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4,608,148</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4,957,324</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7.6%</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color w:val="auto"/>
              </w:rPr>
              <w:t>Interest bearing</w:t>
            </w:r>
          </w:p>
        </w:tc>
        <w:tc>
          <w:tcPr>
            <w:tcW w:w="1120" w:type="dxa"/>
            <w:vAlign w:val="bottom"/>
          </w:tcPr>
          <w:p>
            <w:pPr>
              <w:jc w:val="right"/>
              <w:spacing w:after="0"/>
              <w:rPr>
                <w:sz w:val="20"/>
                <w:szCs w:val="20"/>
                <w:color w:val="auto"/>
              </w:rPr>
            </w:pPr>
            <w:r>
              <w:rPr>
                <w:rFonts w:ascii="Arial" w:cs="Arial" w:eastAsia="Arial" w:hAnsi="Arial"/>
                <w:sz w:val="16"/>
                <w:szCs w:val="16"/>
                <w:color w:val="auto"/>
              </w:rPr>
              <w:t>14,327,957</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19,148,673</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18,437,537</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-3.7%</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28.7%</w:t>
            </w: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Total cash and due from banks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20,143,969</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23,756,821</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23,394,861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-1.5%</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16.1%</w:t>
            </w:r>
          </w:p>
        </w:tc>
      </w:tr>
      <w:tr>
        <w:trPr>
          <w:trHeight w:val="186"/>
        </w:trPr>
        <w:tc>
          <w:tcPr>
            <w:tcW w:w="4620" w:type="dxa"/>
            <w:vAlign w:val="bottom"/>
          </w:tcPr>
          <w:p>
            <w:pPr>
              <w:spacing w:after="0"/>
              <w:rPr>
                <w:sz w:val="20"/>
                <w:szCs w:val="20"/>
                <w:color w:val="auto"/>
              </w:rPr>
            </w:pPr>
            <w:r>
              <w:rPr>
                <w:rFonts w:ascii="Arial" w:cs="Arial" w:eastAsia="Arial" w:hAnsi="Arial"/>
                <w:sz w:val="16"/>
                <w:szCs w:val="16"/>
                <w:b w:val="1"/>
                <w:bCs w:val="1"/>
                <w:color w:val="auto"/>
                <w:w w:val="96"/>
              </w:rPr>
              <w:t>Cash collateral, reverse repurchase agreements and securities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1"/>
        </w:trPr>
        <w:tc>
          <w:tcPr>
            <w:tcW w:w="4620" w:type="dxa"/>
            <w:vAlign w:val="bottom"/>
          </w:tcPr>
          <w:p>
            <w:pPr>
              <w:spacing w:after="0"/>
              <w:rPr>
                <w:sz w:val="20"/>
                <w:szCs w:val="20"/>
                <w:color w:val="auto"/>
              </w:rPr>
            </w:pPr>
            <w:r>
              <w:rPr>
                <w:rFonts w:ascii="Arial" w:cs="Arial" w:eastAsia="Arial" w:hAnsi="Arial"/>
                <w:sz w:val="16"/>
                <w:szCs w:val="16"/>
                <w:b w:val="1"/>
                <w:bCs w:val="1"/>
                <w:color w:val="auto"/>
              </w:rPr>
              <w:t>borrowing</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3,103,156</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3,045,261</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3,324,737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9.2%</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7.1%</w:t>
            </w:r>
          </w:p>
        </w:tc>
      </w:tr>
      <w:tr>
        <w:trPr>
          <w:trHeight w:val="203"/>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Fair value through profit or loss investments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598,964</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242</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883,548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365002.5%</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47.5%</w:t>
            </w:r>
          </w:p>
        </w:tc>
      </w:tr>
      <w:tr>
        <w:trPr>
          <w:trHeight w:val="200"/>
        </w:trPr>
        <w:tc>
          <w:tcPr>
            <w:tcW w:w="4620" w:type="dxa"/>
            <w:vAlign w:val="bottom"/>
          </w:tcPr>
          <w:p>
            <w:pPr>
              <w:spacing w:after="0"/>
              <w:rPr>
                <w:sz w:val="20"/>
                <w:szCs w:val="20"/>
                <w:color w:val="auto"/>
              </w:rPr>
            </w:pPr>
            <w:r>
              <w:rPr>
                <w:rFonts w:ascii="Arial" w:cs="Arial" w:eastAsia="Arial" w:hAnsi="Arial"/>
                <w:sz w:val="16"/>
                <w:szCs w:val="16"/>
                <w:b w:val="1"/>
                <w:bCs w:val="1"/>
                <w:color w:val="auto"/>
                <w:w w:val="99"/>
              </w:rPr>
              <w:t>Fair value through other comprehensive income investments</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16,114,399</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14,263,353</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16,062,998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12.6%</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-0.3%</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Amortized cost investments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3,370,918</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3,455,877</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4,223,311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22.2%</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25.3%</w:t>
            </w:r>
          </w:p>
        </w:tc>
      </w:tr>
      <w:tr>
        <w:trPr>
          <w:trHeight w:val="200"/>
        </w:trPr>
        <w:tc>
          <w:tcPr>
            <w:tcW w:w="4620" w:type="dxa"/>
            <w:vAlign w:val="bottom"/>
          </w:tcPr>
          <w:p>
            <w:pPr>
              <w:spacing w:after="0"/>
              <w:rPr>
                <w:sz w:val="20"/>
                <w:szCs w:val="20"/>
                <w:color w:val="auto"/>
              </w:rPr>
            </w:pPr>
            <w:r>
              <w:rPr>
                <w:rFonts w:ascii="Arial" w:cs="Arial" w:eastAsia="Arial" w:hAnsi="Arial"/>
                <w:sz w:val="16"/>
                <w:szCs w:val="16"/>
                <w:b w:val="1"/>
                <w:bCs w:val="1"/>
                <w:color w:val="auto"/>
              </w:rPr>
              <w:t>Loans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99,021,030</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104,886,920</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110,087,710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5.0%</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11.2%</w:t>
            </w: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Current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96,026,987</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101,730,830</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106,693,682</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11.1%</w:t>
            </w: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color w:val="auto"/>
              </w:rPr>
              <w:t>Internal overdue loans</w:t>
            </w:r>
          </w:p>
        </w:tc>
        <w:tc>
          <w:tcPr>
            <w:tcW w:w="1120" w:type="dxa"/>
            <w:vAlign w:val="bottom"/>
          </w:tcPr>
          <w:p>
            <w:pPr>
              <w:jc w:val="right"/>
              <w:spacing w:after="0"/>
              <w:rPr>
                <w:sz w:val="20"/>
                <w:szCs w:val="20"/>
                <w:color w:val="auto"/>
              </w:rPr>
            </w:pPr>
            <w:r>
              <w:rPr>
                <w:rFonts w:ascii="Arial" w:cs="Arial" w:eastAsia="Arial" w:hAnsi="Arial"/>
                <w:sz w:val="16"/>
                <w:szCs w:val="16"/>
                <w:color w:val="auto"/>
              </w:rPr>
              <w:t>2,994,043</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3,156,090</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3,394,028</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7.5%</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13.4%</w:t>
            </w: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Less - allowance for loan losses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(4,619,470)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(4,761,111)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(5,571,581)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17.0%</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20.6%</w:t>
            </w:r>
          </w:p>
        </w:tc>
      </w:tr>
      <w:tr>
        <w:trPr>
          <w:trHeight w:val="200"/>
        </w:trPr>
        <w:tc>
          <w:tcPr>
            <w:tcW w:w="4620" w:type="dxa"/>
            <w:vAlign w:val="bottom"/>
          </w:tcPr>
          <w:p>
            <w:pPr>
              <w:spacing w:after="0"/>
              <w:rPr>
                <w:sz w:val="20"/>
                <w:szCs w:val="20"/>
                <w:color w:val="auto"/>
              </w:rPr>
            </w:pPr>
            <w:r>
              <w:rPr>
                <w:rFonts w:ascii="Arial" w:cs="Arial" w:eastAsia="Arial" w:hAnsi="Arial"/>
                <w:sz w:val="16"/>
                <w:szCs w:val="16"/>
                <w:b w:val="1"/>
                <w:bCs w:val="1"/>
                <w:color w:val="auto"/>
              </w:rPr>
              <w:t>Loans, net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94,401,560</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100,125,809</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104,516,129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4.4%</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10.7%</w:t>
            </w:r>
          </w:p>
        </w:tc>
      </w:tr>
      <w:tr>
        <w:trPr>
          <w:trHeight w:val="240"/>
        </w:trPr>
        <w:tc>
          <w:tcPr>
            <w:tcW w:w="4620" w:type="dxa"/>
            <w:vAlign w:val="bottom"/>
            <w:shd w:val="clear" w:color="auto" w:fill="CCEEFF"/>
          </w:tcPr>
          <w:p>
            <w:pPr>
              <w:spacing w:after="0" w:line="240" w:lineRule="exact"/>
              <w:rPr>
                <w:sz w:val="20"/>
                <w:szCs w:val="20"/>
                <w:color w:val="auto"/>
              </w:rPr>
            </w:pPr>
            <w:r>
              <w:rPr>
                <w:rFonts w:ascii="Arial" w:cs="Arial" w:eastAsia="Arial" w:hAnsi="Arial"/>
                <w:sz w:val="16"/>
                <w:szCs w:val="16"/>
                <w:b w:val="1"/>
                <w:bCs w:val="1"/>
                <w:color w:val="auto"/>
              </w:rPr>
              <w:t xml:space="preserve">Property, furniture and equipment, net </w:t>
            </w:r>
            <w:r>
              <w:rPr>
                <w:rFonts w:ascii="Arial" w:cs="Arial" w:eastAsia="Arial" w:hAnsi="Arial"/>
                <w:sz w:val="26"/>
                <w:szCs w:val="26"/>
                <w:b w:val="1"/>
                <w:bCs w:val="1"/>
                <w:color w:val="auto"/>
                <w:vertAlign w:val="superscript"/>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2,020,366</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1,996,773</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1,926,344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-3.5%</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-4.7%</w:t>
            </w:r>
          </w:p>
        </w:tc>
      </w:tr>
      <w:tr>
        <w:trPr>
          <w:trHeight w:val="200"/>
        </w:trPr>
        <w:tc>
          <w:tcPr>
            <w:tcW w:w="4620" w:type="dxa"/>
            <w:vAlign w:val="bottom"/>
          </w:tcPr>
          <w:p>
            <w:pPr>
              <w:spacing w:after="0"/>
              <w:rPr>
                <w:sz w:val="20"/>
                <w:szCs w:val="20"/>
                <w:color w:val="auto"/>
              </w:rPr>
            </w:pPr>
            <w:r>
              <w:rPr>
                <w:rFonts w:ascii="Arial" w:cs="Arial" w:eastAsia="Arial" w:hAnsi="Arial"/>
                <w:sz w:val="16"/>
                <w:szCs w:val="16"/>
                <w:b w:val="1"/>
                <w:bCs w:val="1"/>
                <w:color w:val="auto"/>
              </w:rPr>
              <w:t>Due from customers on acceptances</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611,142</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535,222</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555,598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3.8%</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-9.1%</w:t>
            </w:r>
          </w:p>
        </w:tc>
      </w:tr>
      <w:tr>
        <w:trPr>
          <w:trHeight w:val="240"/>
        </w:trPr>
        <w:tc>
          <w:tcPr>
            <w:tcW w:w="4620" w:type="dxa"/>
            <w:vAlign w:val="bottom"/>
            <w:shd w:val="clear" w:color="auto" w:fill="CCEEFF"/>
          </w:tcPr>
          <w:p>
            <w:pPr>
              <w:spacing w:after="0" w:line="240" w:lineRule="exact"/>
              <w:rPr>
                <w:sz w:val="20"/>
                <w:szCs w:val="20"/>
                <w:color w:val="auto"/>
              </w:rPr>
            </w:pPr>
            <w:r>
              <w:rPr>
                <w:rFonts w:ascii="Arial" w:cs="Arial" w:eastAsia="Arial" w:hAnsi="Arial"/>
                <w:sz w:val="16"/>
                <w:szCs w:val="16"/>
                <w:b w:val="1"/>
                <w:bCs w:val="1"/>
                <w:color w:val="auto"/>
              </w:rPr>
              <w:t xml:space="preserve">Other assets </w:t>
            </w:r>
            <w:r>
              <w:rPr>
                <w:rFonts w:ascii="Arial" w:cs="Arial" w:eastAsia="Arial" w:hAnsi="Arial"/>
                <w:sz w:val="26"/>
                <w:szCs w:val="26"/>
                <w:b w:val="1"/>
                <w:bCs w:val="1"/>
                <w:color w:val="auto"/>
                <w:vertAlign w:val="superscript"/>
              </w:rPr>
              <w:t>(2)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4,244,196</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4,992,105</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5,937,221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18.9%</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39.9%</w:t>
            </w:r>
          </w:p>
        </w:tc>
      </w:tr>
      <w:tr>
        <w:trPr>
          <w:trHeight w:val="200"/>
        </w:trPr>
        <w:tc>
          <w:tcPr>
            <w:tcW w:w="4620" w:type="dxa"/>
            <w:vAlign w:val="bottom"/>
          </w:tcPr>
          <w:p>
            <w:pPr>
              <w:ind w:left="1920"/>
              <w:spacing w:after="0"/>
              <w:rPr>
                <w:sz w:val="20"/>
                <w:szCs w:val="20"/>
                <w:color w:val="auto"/>
              </w:rPr>
            </w:pPr>
            <w:r>
              <w:rPr>
                <w:rFonts w:ascii="Arial" w:cs="Arial" w:eastAsia="Arial" w:hAnsi="Arial"/>
                <w:sz w:val="16"/>
                <w:szCs w:val="16"/>
                <w:b w:val="1"/>
                <w:bCs w:val="1"/>
                <w:color w:val="auto"/>
              </w:rPr>
              <w:t>Total Assets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144,608,670</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152,171,463</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160,824,747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5.7%</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11.2%</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4620" w:type="dxa"/>
            <w:vAlign w:val="bottom"/>
          </w:tcPr>
          <w:p>
            <w:pPr>
              <w:spacing w:after="0"/>
              <w:rPr>
                <w:sz w:val="20"/>
                <w:szCs w:val="20"/>
                <w:color w:val="auto"/>
              </w:rPr>
            </w:pPr>
            <w:r>
              <w:rPr>
                <w:rFonts w:ascii="Arial" w:cs="Arial" w:eastAsia="Arial" w:hAnsi="Arial"/>
                <w:sz w:val="16"/>
                <w:szCs w:val="16"/>
                <w:b w:val="1"/>
                <w:bCs w:val="1"/>
                <w:color w:val="auto"/>
              </w:rPr>
              <w:t>Deposits and obligations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0"/>
        </w:trPr>
        <w:tc>
          <w:tcPr>
            <w:tcW w:w="4620" w:type="dxa"/>
            <w:vAlign w:val="bottom"/>
            <w:shd w:val="clear" w:color="auto" w:fill="CCEEFF"/>
          </w:tcPr>
          <w:p>
            <w:pPr>
              <w:ind w:left="160"/>
              <w:spacing w:after="0" w:line="240" w:lineRule="exact"/>
              <w:rPr>
                <w:sz w:val="20"/>
                <w:szCs w:val="20"/>
                <w:color w:val="auto"/>
              </w:rPr>
            </w:pPr>
            <w:r>
              <w:rPr>
                <w:rFonts w:ascii="Arial" w:cs="Arial" w:eastAsia="Arial" w:hAnsi="Arial"/>
                <w:sz w:val="16"/>
                <w:szCs w:val="16"/>
                <w:color w:val="auto"/>
              </w:rPr>
              <w:t xml:space="preserve">Non-interest bearing </w:t>
            </w:r>
            <w:r>
              <w:rPr>
                <w:rFonts w:ascii="Arial" w:cs="Arial" w:eastAsia="Arial" w:hAnsi="Arial"/>
                <w:sz w:val="26"/>
                <w:szCs w:val="26"/>
                <w:color w:val="auto"/>
                <w:vertAlign w:val="superscript"/>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28,436,099</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26,372,428</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29,496,275</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11.8%</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r>
      <w:tr>
        <w:trPr>
          <w:trHeight w:val="240"/>
        </w:trPr>
        <w:tc>
          <w:tcPr>
            <w:tcW w:w="4620" w:type="dxa"/>
            <w:vAlign w:val="bottom"/>
          </w:tcPr>
          <w:p>
            <w:pPr>
              <w:ind w:left="160"/>
              <w:spacing w:after="0" w:line="240" w:lineRule="exact"/>
              <w:rPr>
                <w:sz w:val="20"/>
                <w:szCs w:val="20"/>
                <w:color w:val="auto"/>
              </w:rPr>
            </w:pPr>
            <w:r>
              <w:rPr>
                <w:rFonts w:ascii="Arial" w:cs="Arial" w:eastAsia="Arial" w:hAnsi="Arial"/>
                <w:sz w:val="16"/>
                <w:szCs w:val="16"/>
                <w:color w:val="auto"/>
              </w:rPr>
              <w:t xml:space="preserve">Interest bearing </w:t>
            </w:r>
            <w:r>
              <w:rPr>
                <w:rFonts w:ascii="Arial" w:cs="Arial" w:eastAsia="Arial" w:hAnsi="Arial"/>
                <w:sz w:val="26"/>
                <w:szCs w:val="26"/>
                <w:color w:val="auto"/>
                <w:vertAlign w:val="superscript"/>
              </w:rPr>
              <w:t>(1)</w:t>
            </w:r>
          </w:p>
        </w:tc>
        <w:tc>
          <w:tcPr>
            <w:tcW w:w="1120" w:type="dxa"/>
            <w:vAlign w:val="bottom"/>
          </w:tcPr>
          <w:p>
            <w:pPr>
              <w:jc w:val="right"/>
              <w:spacing w:after="0"/>
              <w:rPr>
                <w:sz w:val="20"/>
                <w:szCs w:val="20"/>
                <w:color w:val="auto"/>
              </w:rPr>
            </w:pPr>
            <w:r>
              <w:rPr>
                <w:rFonts w:ascii="Arial" w:cs="Arial" w:eastAsia="Arial" w:hAnsi="Arial"/>
                <w:sz w:val="16"/>
                <w:szCs w:val="16"/>
                <w:color w:val="auto"/>
              </w:rPr>
              <w:t>64,385,457</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73,060,735</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76,834,615</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5.2%</w:t>
            </w:r>
          </w:p>
        </w:tc>
        <w:tc>
          <w:tcPr>
            <w:tcW w:w="3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19.3%</w:t>
            </w: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Total deposits and obligations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92,821,556</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99,433,163</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106,330,890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6.9%</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14.6%</w:t>
            </w:r>
          </w:p>
        </w:tc>
      </w:tr>
      <w:tr>
        <w:trPr>
          <w:trHeight w:val="200"/>
        </w:trPr>
        <w:tc>
          <w:tcPr>
            <w:tcW w:w="4620" w:type="dxa"/>
            <w:vAlign w:val="bottom"/>
          </w:tcPr>
          <w:p>
            <w:pPr>
              <w:spacing w:after="0"/>
              <w:rPr>
                <w:sz w:val="20"/>
                <w:szCs w:val="20"/>
                <w:color w:val="auto"/>
              </w:rPr>
            </w:pPr>
            <w:r>
              <w:rPr>
                <w:rFonts w:ascii="Arial" w:cs="Arial" w:eastAsia="Arial" w:hAnsi="Arial"/>
                <w:sz w:val="16"/>
                <w:szCs w:val="16"/>
                <w:b w:val="1"/>
                <w:bCs w:val="1"/>
                <w:color w:val="auto"/>
                <w:w w:val="98"/>
              </w:rPr>
              <w:t>Payables from repurchase agreements and securities lending</w:t>
            </w:r>
          </w:p>
        </w:tc>
        <w:tc>
          <w:tcPr>
            <w:tcW w:w="1120" w:type="dxa"/>
            <w:vAlign w:val="bottom"/>
          </w:tcPr>
          <w:p>
            <w:pPr>
              <w:jc w:val="right"/>
              <w:spacing w:after="0"/>
              <w:rPr>
                <w:sz w:val="20"/>
                <w:szCs w:val="20"/>
                <w:color w:val="auto"/>
              </w:rPr>
            </w:pPr>
            <w:r>
              <w:rPr>
                <w:rFonts w:ascii="Arial" w:cs="Arial" w:eastAsia="Arial" w:hAnsi="Arial"/>
                <w:sz w:val="16"/>
                <w:szCs w:val="16"/>
                <w:color w:val="auto"/>
              </w:rPr>
              <w:t>6,634,166</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5,803,336</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6,781,667</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16.9%</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BCRP instruments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4,984,192</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4,381,011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5,346,373</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22.0%</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color w:val="auto"/>
              </w:rPr>
              <w:t>Repurchase agreements with third parties</w:t>
            </w:r>
          </w:p>
        </w:tc>
        <w:tc>
          <w:tcPr>
            <w:tcW w:w="1120" w:type="dxa"/>
            <w:vAlign w:val="bottom"/>
          </w:tcPr>
          <w:p>
            <w:pPr>
              <w:jc w:val="right"/>
              <w:spacing w:after="0"/>
              <w:rPr>
                <w:sz w:val="20"/>
                <w:szCs w:val="20"/>
                <w:color w:val="auto"/>
              </w:rPr>
            </w:pPr>
            <w:r>
              <w:rPr>
                <w:rFonts w:ascii="Arial" w:cs="Arial" w:eastAsia="Arial" w:hAnsi="Arial"/>
                <w:sz w:val="16"/>
                <w:szCs w:val="16"/>
                <w:color w:val="auto"/>
              </w:rPr>
              <w:t>1,649,974</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1,422,325</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1,435,294</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0.9%</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-13.0%</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Due to banks and correspondents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7,307,596</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8,865,310</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9,035,804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1.9%</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23.6%</w:t>
            </w:r>
          </w:p>
        </w:tc>
      </w:tr>
      <w:tr>
        <w:trPr>
          <w:trHeight w:val="200"/>
        </w:trPr>
        <w:tc>
          <w:tcPr>
            <w:tcW w:w="4620" w:type="dxa"/>
            <w:vAlign w:val="bottom"/>
          </w:tcPr>
          <w:p>
            <w:pPr>
              <w:spacing w:after="0"/>
              <w:rPr>
                <w:sz w:val="20"/>
                <w:szCs w:val="20"/>
                <w:color w:val="auto"/>
              </w:rPr>
            </w:pPr>
            <w:r>
              <w:rPr>
                <w:rFonts w:ascii="Arial" w:cs="Arial" w:eastAsia="Arial" w:hAnsi="Arial"/>
                <w:sz w:val="16"/>
                <w:szCs w:val="16"/>
                <w:b w:val="1"/>
                <w:bCs w:val="1"/>
                <w:color w:val="auto"/>
              </w:rPr>
              <w:t>Bonds and notes issued</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14,808,551</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14,312,926</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14,570,806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1.8%</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-1.6%</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Banker’s acceptances outstanding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611,142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535,222</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555,598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3.8%</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-9.1%</w:t>
            </w:r>
          </w:p>
        </w:tc>
      </w:tr>
      <w:tr>
        <w:trPr>
          <w:trHeight w:val="200"/>
        </w:trPr>
        <w:tc>
          <w:tcPr>
            <w:tcW w:w="4620" w:type="dxa"/>
            <w:vAlign w:val="bottom"/>
          </w:tcPr>
          <w:p>
            <w:pPr>
              <w:spacing w:after="0"/>
              <w:rPr>
                <w:sz w:val="20"/>
                <w:szCs w:val="20"/>
                <w:color w:val="auto"/>
              </w:rPr>
            </w:pPr>
            <w:r>
              <w:rPr>
                <w:rFonts w:ascii="Arial" w:cs="Arial" w:eastAsia="Arial" w:hAnsi="Arial"/>
                <w:sz w:val="16"/>
                <w:szCs w:val="16"/>
                <w:b w:val="1"/>
                <w:bCs w:val="1"/>
                <w:color w:val="auto"/>
              </w:rPr>
              <w:t>Financial liabilities at fair value through profit or loss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177,013</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9,131</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-94.8%</w:t>
            </w:r>
          </w:p>
        </w:tc>
      </w:tr>
      <w:tr>
        <w:trPr>
          <w:trHeight w:val="240"/>
        </w:trPr>
        <w:tc>
          <w:tcPr>
            <w:tcW w:w="4620" w:type="dxa"/>
            <w:vAlign w:val="bottom"/>
            <w:shd w:val="clear" w:color="auto" w:fill="CCEEFF"/>
          </w:tcPr>
          <w:p>
            <w:pPr>
              <w:spacing w:after="0" w:line="240" w:lineRule="exact"/>
              <w:rPr>
                <w:sz w:val="20"/>
                <w:szCs w:val="20"/>
                <w:color w:val="auto"/>
              </w:rPr>
            </w:pPr>
            <w:r>
              <w:rPr>
                <w:rFonts w:ascii="Arial" w:cs="Arial" w:eastAsia="Arial" w:hAnsi="Arial"/>
                <w:sz w:val="16"/>
                <w:szCs w:val="16"/>
                <w:b w:val="1"/>
                <w:bCs w:val="1"/>
                <w:color w:val="auto"/>
              </w:rPr>
              <w:t xml:space="preserve">Other liabilities </w:t>
            </w:r>
            <w:r>
              <w:rPr>
                <w:rFonts w:ascii="Arial" w:cs="Arial" w:eastAsia="Arial" w:hAnsi="Arial"/>
                <w:sz w:val="26"/>
                <w:szCs w:val="26"/>
                <w:b w:val="1"/>
                <w:bCs w:val="1"/>
                <w:color w:val="auto"/>
                <w:vertAlign w:val="superscript"/>
              </w:rPr>
              <w:t>(3)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5,619,291</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4,251,420</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4,708,160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10.7%</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-16.2%</w:t>
            </w:r>
          </w:p>
        </w:tc>
      </w:tr>
      <w:tr>
        <w:trPr>
          <w:trHeight w:val="200"/>
        </w:trPr>
        <w:tc>
          <w:tcPr>
            <w:tcW w:w="4620" w:type="dxa"/>
            <w:vAlign w:val="bottom"/>
          </w:tcPr>
          <w:p>
            <w:pPr>
              <w:ind w:left="1720"/>
              <w:spacing w:after="0"/>
              <w:rPr>
                <w:sz w:val="20"/>
                <w:szCs w:val="20"/>
                <w:color w:val="auto"/>
              </w:rPr>
            </w:pPr>
            <w:r>
              <w:rPr>
                <w:rFonts w:ascii="Arial" w:cs="Arial" w:eastAsia="Arial" w:hAnsi="Arial"/>
                <w:sz w:val="16"/>
                <w:szCs w:val="16"/>
                <w:b w:val="1"/>
                <w:bCs w:val="1"/>
                <w:color w:val="auto"/>
              </w:rPr>
              <w:t>Total Liabilities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127,979,315</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133,201,377</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141,992,056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6.6%</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10.9%</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equity</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16,520,005</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18,853,621</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18,714,668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-0.7%</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color w:val="auto"/>
              </w:rPr>
              <w:t>Capital stock</w:t>
            </w:r>
          </w:p>
        </w:tc>
        <w:tc>
          <w:tcPr>
            <w:tcW w:w="1120" w:type="dxa"/>
            <w:vAlign w:val="bottom"/>
          </w:tcPr>
          <w:p>
            <w:pPr>
              <w:jc w:val="right"/>
              <w:spacing w:after="0"/>
              <w:rPr>
                <w:sz w:val="20"/>
                <w:szCs w:val="20"/>
                <w:color w:val="auto"/>
              </w:rPr>
            </w:pPr>
            <w:r>
              <w:rPr>
                <w:rFonts w:ascii="Arial" w:cs="Arial" w:eastAsia="Arial" w:hAnsi="Arial"/>
                <w:sz w:val="16"/>
                <w:szCs w:val="16"/>
                <w:color w:val="auto"/>
              </w:rPr>
              <w:t>9,924,006</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9,924,006</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9,924,006</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Reserves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4,476,247</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4,476,256</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4,476,256</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r>
      <w:tr>
        <w:trPr>
          <w:trHeight w:val="200"/>
        </w:trPr>
        <w:tc>
          <w:tcPr>
            <w:tcW w:w="4620" w:type="dxa"/>
            <w:vAlign w:val="bottom"/>
          </w:tcPr>
          <w:p>
            <w:pPr>
              <w:ind w:left="160"/>
              <w:spacing w:after="0"/>
              <w:rPr>
                <w:sz w:val="20"/>
                <w:szCs w:val="20"/>
                <w:color w:val="auto"/>
              </w:rPr>
            </w:pPr>
            <w:r>
              <w:rPr>
                <w:rFonts w:ascii="Arial" w:cs="Arial" w:eastAsia="Arial" w:hAnsi="Arial"/>
                <w:sz w:val="16"/>
                <w:szCs w:val="16"/>
                <w:color w:val="auto"/>
              </w:rPr>
              <w:t>Unrealized gains and losses</w:t>
            </w:r>
          </w:p>
        </w:tc>
        <w:tc>
          <w:tcPr>
            <w:tcW w:w="1120" w:type="dxa"/>
            <w:vAlign w:val="bottom"/>
          </w:tcPr>
          <w:p>
            <w:pPr>
              <w:jc w:val="right"/>
              <w:spacing w:after="0"/>
              <w:rPr>
                <w:sz w:val="20"/>
                <w:szCs w:val="20"/>
                <w:color w:val="auto"/>
              </w:rPr>
            </w:pPr>
            <w:r>
              <w:rPr>
                <w:rFonts w:ascii="Arial" w:cs="Arial" w:eastAsia="Arial" w:hAnsi="Arial"/>
                <w:sz w:val="16"/>
                <w:szCs w:val="16"/>
                <w:color w:val="auto"/>
              </w:rPr>
              <w:t>120,338</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296,456</w:t>
            </w:r>
          </w:p>
        </w:tc>
        <w:tc>
          <w:tcPr>
            <w:tcW w:w="2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(22,277)</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-107.5%</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-118.5%</w:t>
            </w:r>
          </w:p>
        </w:tc>
      </w:tr>
      <w:tr>
        <w:trPr>
          <w:trHeight w:val="200"/>
        </w:trPr>
        <w:tc>
          <w:tcPr>
            <w:tcW w:w="4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Retained earnings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1,999,414</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4,156,903</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4,336,683</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116.9%</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120" w:type="dxa"/>
            <w:vAlign w:val="bottom"/>
          </w:tcPr>
          <w:p>
            <w:pPr>
              <w:jc w:val="right"/>
              <w:spacing w:after="0"/>
              <w:rPr>
                <w:sz w:val="20"/>
                <w:szCs w:val="20"/>
                <w:color w:val="auto"/>
              </w:rPr>
            </w:pPr>
            <w:r>
              <w:rPr>
                <w:rFonts w:ascii="Arial" w:cs="Arial" w:eastAsia="Arial" w:hAnsi="Arial"/>
                <w:sz w:val="16"/>
                <w:szCs w:val="16"/>
                <w:color w:val="auto"/>
              </w:rPr>
              <w:t>109,350</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116,465</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118,023</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7.9%</w:t>
            </w:r>
          </w:p>
        </w:tc>
      </w:tr>
      <w:tr>
        <w:trPr>
          <w:trHeight w:val="200"/>
        </w:trPr>
        <w:tc>
          <w:tcPr>
            <w:tcW w:w="4620" w:type="dxa"/>
            <w:vAlign w:val="bottom"/>
            <w:shd w:val="clear" w:color="auto" w:fill="CCEEFF"/>
          </w:tcPr>
          <w:p>
            <w:pPr>
              <w:ind w:left="1680"/>
              <w:spacing w:after="0"/>
              <w:rPr>
                <w:sz w:val="20"/>
                <w:szCs w:val="20"/>
                <w:color w:val="auto"/>
              </w:rPr>
            </w:pPr>
            <w:r>
              <w:rPr>
                <w:rFonts w:ascii="Arial" w:cs="Arial" w:eastAsia="Arial" w:hAnsi="Arial"/>
                <w:sz w:val="16"/>
                <w:szCs w:val="16"/>
                <w:b w:val="1"/>
                <w:bCs w:val="1"/>
                <w:color w:val="auto"/>
              </w:rPr>
              <w:t>Total Net Equity</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16,629,355</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18,970,086</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18,832,691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-0.7%</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13.2%</w:t>
            </w:r>
          </w:p>
        </w:tc>
      </w:tr>
      <w:tr>
        <w:trPr>
          <w:trHeight w:val="200"/>
        </w:trPr>
        <w:tc>
          <w:tcPr>
            <w:tcW w:w="4620" w:type="dxa"/>
            <w:vAlign w:val="bottom"/>
          </w:tcPr>
          <w:p>
            <w:pPr>
              <w:spacing w:after="0"/>
              <w:rPr>
                <w:sz w:val="20"/>
                <w:szCs w:val="20"/>
                <w:color w:val="auto"/>
              </w:rPr>
            </w:pPr>
            <w:r>
              <w:rPr>
                <w:rFonts w:ascii="Arial" w:cs="Arial" w:eastAsia="Arial" w:hAnsi="Arial"/>
                <w:sz w:val="16"/>
                <w:szCs w:val="16"/>
                <w:b w:val="1"/>
                <w:bCs w:val="1"/>
                <w:color w:val="auto"/>
              </w:rPr>
              <w:t>Total liabilities and equity</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144,608,670</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152,171,463</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160,824,747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5.7%</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11.2%</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Off-balance sheet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109,963,761</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114,045,218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119,606,613</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Total performance bonds, stand-by and L/Cs.</w:t>
            </w:r>
          </w:p>
        </w:tc>
        <w:tc>
          <w:tcPr>
            <w:tcW w:w="1120" w:type="dxa"/>
            <w:vAlign w:val="bottom"/>
          </w:tcPr>
          <w:p>
            <w:pPr>
              <w:jc w:val="right"/>
              <w:spacing w:after="0"/>
              <w:rPr>
                <w:sz w:val="20"/>
                <w:szCs w:val="20"/>
                <w:color w:val="auto"/>
              </w:rPr>
            </w:pPr>
            <w:r>
              <w:rPr>
                <w:rFonts w:ascii="Arial" w:cs="Arial" w:eastAsia="Arial" w:hAnsi="Arial"/>
                <w:sz w:val="16"/>
                <w:szCs w:val="16"/>
                <w:color w:val="auto"/>
              </w:rPr>
              <w:t>16,877,145</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18,886,474</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18,238,079</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-3.4%</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Undrawn credit lines, advised but not committed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67,926,878</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67,865,642</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71,174,841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r>
      <w:tr>
        <w:trPr>
          <w:trHeight w:val="205"/>
        </w:trPr>
        <w:tc>
          <w:tcPr>
            <w:tcW w:w="4620" w:type="dxa"/>
            <w:vAlign w:val="bottom"/>
          </w:tcPr>
          <w:p>
            <w:pPr>
              <w:spacing w:after="0"/>
              <w:rPr>
                <w:sz w:val="20"/>
                <w:szCs w:val="20"/>
                <w:color w:val="auto"/>
              </w:rPr>
            </w:pPr>
            <w:r>
              <w:rPr>
                <w:rFonts w:ascii="Arial" w:cs="Arial" w:eastAsia="Arial" w:hAnsi="Arial"/>
                <w:sz w:val="16"/>
                <w:szCs w:val="16"/>
                <w:color w:val="auto"/>
              </w:rPr>
              <w:t>Total derivatives (notional) and others</w:t>
            </w:r>
          </w:p>
        </w:tc>
        <w:tc>
          <w:tcPr>
            <w:tcW w:w="1120" w:type="dxa"/>
            <w:vAlign w:val="bottom"/>
          </w:tcPr>
          <w:p>
            <w:pPr>
              <w:jc w:val="right"/>
              <w:spacing w:after="0"/>
              <w:rPr>
                <w:sz w:val="20"/>
                <w:szCs w:val="20"/>
                <w:color w:val="auto"/>
              </w:rPr>
            </w:pPr>
            <w:r>
              <w:rPr>
                <w:rFonts w:ascii="Arial" w:cs="Arial" w:eastAsia="Arial" w:hAnsi="Arial"/>
                <w:sz w:val="16"/>
                <w:szCs w:val="16"/>
                <w:color w:val="auto"/>
              </w:rPr>
              <w:t>25,159,738</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27,293,102</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30,193,693</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10.6%</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20.0%</w:t>
            </w:r>
          </w:p>
        </w:tc>
      </w:tr>
    </w:tbl>
    <w:p>
      <w:pPr>
        <w:spacing w:after="0" w:line="195" w:lineRule="exact"/>
        <w:rPr>
          <w:sz w:val="20"/>
          <w:szCs w:val="20"/>
          <w:color w:val="auto"/>
        </w:rPr>
      </w:pPr>
    </w:p>
    <w:p>
      <w:pPr>
        <w:ind w:firstLine="7"/>
        <w:spacing w:after="0" w:line="286" w:lineRule="auto"/>
        <w:tabs>
          <w:tab w:leader="none" w:pos="257"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amounts differ from those previously reported due to the reclassification of the expenses on improvements in building for rent, previously presented in the item “Other assets”. Likewise, in the 2019 the asset is incorporated for the right to use the lease contracts, in application of the IFRS 16.</w:t>
      </w:r>
    </w:p>
    <w:p>
      <w:pPr>
        <w:spacing w:after="0" w:line="1" w:lineRule="exact"/>
        <w:rPr>
          <w:rFonts w:ascii="Arial" w:cs="Arial" w:eastAsia="Arial" w:hAnsi="Arial"/>
          <w:sz w:val="16"/>
          <w:szCs w:val="16"/>
          <w:color w:val="auto"/>
        </w:rPr>
      </w:pPr>
    </w:p>
    <w:p>
      <w:pPr>
        <w:ind w:left="260" w:hanging="253"/>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00" w:lineRule="exact"/>
        <w:rPr>
          <w:sz w:val="20"/>
          <w:szCs w:val="20"/>
          <w:color w:val="auto"/>
        </w:rPr>
      </w:pPr>
    </w:p>
    <w:p>
      <w:pPr>
        <w:spacing w:after="0" w:line="22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Quarter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ind w:left="900"/>
              <w:spacing w:after="0"/>
              <w:rPr>
                <w:sz w:val="20"/>
                <w:szCs w:val="20"/>
                <w:color w:val="auto"/>
              </w:rPr>
            </w:pPr>
            <w:r>
              <w:rPr>
                <w:rFonts w:ascii="Arial" w:cs="Arial" w:eastAsia="Arial" w:hAnsi="Arial"/>
                <w:sz w:val="16"/>
                <w:szCs w:val="16"/>
                <w:b w:val="1"/>
                <w:bCs w:val="1"/>
                <w:color w:val="auto"/>
              </w:rPr>
              <w:t>% change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1Q19</w:t>
            </w:r>
          </w:p>
        </w:tc>
        <w:tc>
          <w:tcPr>
            <w:tcW w:w="132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4Q19</w:t>
            </w:r>
          </w:p>
        </w:tc>
        <w:tc>
          <w:tcPr>
            <w:tcW w:w="132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1Q20</w:t>
            </w:r>
          </w:p>
        </w:tc>
        <w:tc>
          <w:tcPr>
            <w:tcW w:w="1680" w:type="dxa"/>
            <w:vAlign w:val="bottom"/>
            <w:gridSpan w:val="3"/>
          </w:tcPr>
          <w:p>
            <w:pPr>
              <w:ind w:left="380"/>
              <w:spacing w:after="0"/>
              <w:rPr>
                <w:sz w:val="20"/>
                <w:szCs w:val="20"/>
                <w:color w:val="auto"/>
              </w:rPr>
            </w:pPr>
            <w:r>
              <w:rPr>
                <w:rFonts w:ascii="Arial" w:cs="Arial" w:eastAsia="Arial" w:hAnsi="Arial"/>
                <w:sz w:val="16"/>
                <w:szCs w:val="16"/>
                <w:b w:val="1"/>
                <w:bCs w:val="1"/>
                <w:color w:val="auto"/>
              </w:rPr>
              <w:t>QoQ</w:t>
            </w:r>
          </w:p>
        </w:tc>
        <w:tc>
          <w:tcPr>
            <w:tcW w:w="9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YoY</w:t>
            </w:r>
          </w:p>
        </w:tc>
      </w:tr>
      <w:tr>
        <w:trPr>
          <w:trHeight w:val="19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Interest income and expense</w:t>
            </w: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0"/>
        </w:trPr>
        <w:tc>
          <w:tcPr>
            <w:tcW w:w="4620" w:type="dxa"/>
            <w:vAlign w:val="bottom"/>
          </w:tcPr>
          <w:p>
            <w:pPr>
              <w:ind w:left="140"/>
              <w:spacing w:after="0"/>
              <w:rPr>
                <w:sz w:val="20"/>
                <w:szCs w:val="20"/>
                <w:color w:val="auto"/>
              </w:rPr>
            </w:pPr>
            <w:r>
              <w:rPr>
                <w:rFonts w:ascii="Arial" w:cs="Arial" w:eastAsia="Arial" w:hAnsi="Arial"/>
                <w:sz w:val="16"/>
                <w:szCs w:val="16"/>
                <w:color w:val="auto"/>
              </w:rPr>
              <w:t>Interest and dividend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2,656,215</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2,808,740</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2,763,923</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4.1%</w:t>
            </w:r>
          </w:p>
        </w:tc>
      </w:tr>
      <w:tr>
        <w:trPr>
          <w:trHeight w:val="240"/>
        </w:trPr>
        <w:tc>
          <w:tcPr>
            <w:tcW w:w="4620" w:type="dxa"/>
            <w:vAlign w:val="bottom"/>
            <w:shd w:val="clear" w:color="auto" w:fill="CCEEFF"/>
          </w:tcPr>
          <w:p>
            <w:pPr>
              <w:ind w:left="140"/>
              <w:spacing w:after="0" w:line="240"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6"/>
                <w:szCs w:val="26"/>
                <w:color w:val="auto"/>
                <w:vertAlign w:val="superscript"/>
              </w:rPr>
              <w:t>(1)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(690,156)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(694,009)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(660,975)</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r>
      <w:tr>
        <w:trPr>
          <w:trHeight w:val="200"/>
        </w:trPr>
        <w:tc>
          <w:tcPr>
            <w:tcW w:w="4620" w:type="dxa"/>
            <w:vAlign w:val="bottom"/>
          </w:tcPr>
          <w:p>
            <w:pPr>
              <w:ind w:left="140"/>
              <w:spacing w:after="0"/>
              <w:rPr>
                <w:sz w:val="20"/>
                <w:szCs w:val="20"/>
                <w:color w:val="auto"/>
              </w:rPr>
            </w:pPr>
            <w:r>
              <w:rPr>
                <w:rFonts w:ascii="Arial" w:cs="Arial" w:eastAsia="Arial" w:hAnsi="Arial"/>
                <w:sz w:val="16"/>
                <w:szCs w:val="16"/>
                <w:b w:val="1"/>
                <w:bCs w:val="1"/>
                <w:color w:val="auto"/>
              </w:rPr>
              <w:t>Net interest income</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1,966,059</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2,114,731</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2,102,948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-0.6%</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7.0%</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credit losses on loan portfolio</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(437,214)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(541,714)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(1,340,975)</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147.5%</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206.7%</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Recoveries of written-off loans</w:t>
            </w:r>
          </w:p>
        </w:tc>
        <w:tc>
          <w:tcPr>
            <w:tcW w:w="1120" w:type="dxa"/>
            <w:vAlign w:val="bottom"/>
          </w:tcPr>
          <w:p>
            <w:pPr>
              <w:jc w:val="right"/>
              <w:spacing w:after="0"/>
              <w:rPr>
                <w:sz w:val="20"/>
                <w:szCs w:val="20"/>
                <w:color w:val="auto"/>
              </w:rPr>
            </w:pPr>
            <w:r>
              <w:rPr>
                <w:rFonts w:ascii="Arial" w:cs="Arial" w:eastAsia="Arial" w:hAnsi="Arial"/>
                <w:sz w:val="16"/>
                <w:szCs w:val="16"/>
                <w:color w:val="auto"/>
              </w:rPr>
              <w:t>69,836</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58,614</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43,954</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-25.0%</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-37.1%</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8"/>
              </w:rPr>
              <w:t>Provision for credit losses on loan portfolio, net of recoveries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(367,378)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(483,100)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(1,297,021)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168.5%</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253.0%</w:t>
            </w:r>
          </w:p>
        </w:tc>
      </w:tr>
      <w:tr>
        <w:trPr>
          <w:trHeight w:val="200"/>
        </w:trPr>
        <w:tc>
          <w:tcPr>
            <w:tcW w:w="4620" w:type="dxa"/>
            <w:vAlign w:val="bottom"/>
          </w:tcPr>
          <w:p>
            <w:pPr>
              <w:spacing w:after="0"/>
              <w:rPr>
                <w:sz w:val="20"/>
                <w:szCs w:val="20"/>
                <w:color w:val="auto"/>
              </w:rPr>
            </w:pPr>
            <w:r>
              <w:rPr>
                <w:rFonts w:ascii="Arial" w:cs="Arial" w:eastAsia="Arial" w:hAnsi="Arial"/>
                <w:sz w:val="16"/>
                <w:szCs w:val="16"/>
                <w:b w:val="1"/>
                <w:bCs w:val="1"/>
                <w:color w:val="auto"/>
              </w:rPr>
              <w:t>Risk-adjusted net interest income</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1,598,681</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1,631,631</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805,927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-50.6%</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-49.6%</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Non-financial income</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4620" w:type="dxa"/>
            <w:vAlign w:val="bottom"/>
          </w:tcPr>
          <w:p>
            <w:pPr>
              <w:ind w:left="140"/>
              <w:spacing w:after="0"/>
              <w:rPr>
                <w:sz w:val="20"/>
                <w:szCs w:val="20"/>
                <w:color w:val="auto"/>
              </w:rPr>
            </w:pPr>
            <w:r>
              <w:rPr>
                <w:rFonts w:ascii="Arial" w:cs="Arial" w:eastAsia="Arial" w:hAnsi="Arial"/>
                <w:sz w:val="16"/>
                <w:szCs w:val="16"/>
                <w:color w:val="auto"/>
              </w:rPr>
              <w:t>Fee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632,326</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680,506</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602,585</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-11.5%</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-4.7%</w:t>
            </w:r>
          </w:p>
        </w:tc>
      </w:tr>
      <w:tr>
        <w:trPr>
          <w:trHeight w:val="200"/>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gain on foreign exchange transactions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170,019</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197,954</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177,407</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-10.4%</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r>
      <w:tr>
        <w:trPr>
          <w:trHeight w:val="200"/>
        </w:trPr>
        <w:tc>
          <w:tcPr>
            <w:tcW w:w="4620" w:type="dxa"/>
            <w:vAlign w:val="bottom"/>
          </w:tcPr>
          <w:p>
            <w:pPr>
              <w:ind w:left="140"/>
              <w:spacing w:after="0"/>
              <w:rPr>
                <w:sz w:val="20"/>
                <w:szCs w:val="20"/>
                <w:color w:val="auto"/>
              </w:rPr>
            </w:pPr>
            <w:r>
              <w:rPr>
                <w:rFonts w:ascii="Arial" w:cs="Arial" w:eastAsia="Arial" w:hAnsi="Arial"/>
                <w:sz w:val="16"/>
                <w:szCs w:val="16"/>
                <w:color w:val="auto"/>
              </w:rPr>
              <w:t>Net gain on securities</w:t>
            </w:r>
          </w:p>
        </w:tc>
        <w:tc>
          <w:tcPr>
            <w:tcW w:w="1120" w:type="dxa"/>
            <w:vAlign w:val="bottom"/>
          </w:tcPr>
          <w:p>
            <w:pPr>
              <w:jc w:val="right"/>
              <w:spacing w:after="0"/>
              <w:rPr>
                <w:sz w:val="20"/>
                <w:szCs w:val="20"/>
                <w:color w:val="auto"/>
              </w:rPr>
            </w:pPr>
            <w:r>
              <w:rPr>
                <w:rFonts w:ascii="Arial" w:cs="Arial" w:eastAsia="Arial" w:hAnsi="Arial"/>
                <w:sz w:val="16"/>
                <w:szCs w:val="16"/>
                <w:color w:val="auto"/>
              </w:rPr>
              <w:t>5,870</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22,004</w:t>
            </w:r>
          </w:p>
        </w:tc>
        <w:tc>
          <w:tcPr>
            <w:tcW w:w="2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(31,791)</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-244.5%</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-641.6%</w:t>
            </w:r>
          </w:p>
        </w:tc>
      </w:tr>
      <w:tr>
        <w:trPr>
          <w:trHeight w:val="200"/>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gain on derivatives held for trading</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12,670</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(3,866)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(568)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-85.3%</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-104.5%</w:t>
            </w:r>
          </w:p>
        </w:tc>
      </w:tr>
      <w:tr>
        <w:trPr>
          <w:trHeight w:val="200"/>
        </w:trPr>
        <w:tc>
          <w:tcPr>
            <w:tcW w:w="4620" w:type="dxa"/>
            <w:vAlign w:val="bottom"/>
          </w:tcPr>
          <w:p>
            <w:pPr>
              <w:ind w:left="140"/>
              <w:spacing w:after="0"/>
              <w:rPr>
                <w:sz w:val="20"/>
                <w:szCs w:val="20"/>
                <w:color w:val="auto"/>
              </w:rPr>
            </w:pPr>
            <w:r>
              <w:rPr>
                <w:rFonts w:ascii="Arial" w:cs="Arial" w:eastAsia="Arial" w:hAnsi="Arial"/>
                <w:sz w:val="16"/>
                <w:szCs w:val="16"/>
                <w:color w:val="auto"/>
              </w:rPr>
              <w:t>Net gain from exchange differences</w:t>
            </w:r>
          </w:p>
        </w:tc>
        <w:tc>
          <w:tcPr>
            <w:tcW w:w="1120" w:type="dxa"/>
            <w:vAlign w:val="bottom"/>
          </w:tcPr>
          <w:p>
            <w:pPr>
              <w:jc w:val="right"/>
              <w:spacing w:after="0"/>
              <w:rPr>
                <w:sz w:val="20"/>
                <w:szCs w:val="20"/>
                <w:color w:val="auto"/>
              </w:rPr>
            </w:pPr>
            <w:r>
              <w:rPr>
                <w:rFonts w:ascii="Arial" w:cs="Arial" w:eastAsia="Arial" w:hAnsi="Arial"/>
                <w:sz w:val="16"/>
                <w:szCs w:val="16"/>
                <w:color w:val="auto"/>
              </w:rPr>
              <w:t>10,861</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15,997</w:t>
            </w:r>
          </w:p>
        </w:tc>
        <w:tc>
          <w:tcPr>
            <w:tcW w:w="2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(19,548)</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-222.2%</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-280.0%</w:t>
            </w:r>
          </w:p>
        </w:tc>
      </w:tr>
      <w:tr>
        <w:trPr>
          <w:trHeight w:val="200"/>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50,785</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35,914</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92,808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158.4%</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82.7%</w:t>
            </w:r>
          </w:p>
        </w:tc>
      </w:tr>
      <w:tr>
        <w:trPr>
          <w:trHeight w:val="200"/>
        </w:trPr>
        <w:tc>
          <w:tcPr>
            <w:tcW w:w="4620" w:type="dxa"/>
            <w:vAlign w:val="bottom"/>
          </w:tcPr>
          <w:p>
            <w:pPr>
              <w:ind w:left="140"/>
              <w:spacing w:after="0"/>
              <w:rPr>
                <w:sz w:val="20"/>
                <w:szCs w:val="20"/>
                <w:color w:val="auto"/>
              </w:rPr>
            </w:pPr>
            <w:r>
              <w:rPr>
                <w:rFonts w:ascii="Arial" w:cs="Arial" w:eastAsia="Arial" w:hAnsi="Arial"/>
                <w:sz w:val="16"/>
                <w:szCs w:val="16"/>
                <w:b w:val="1"/>
                <w:bCs w:val="1"/>
                <w:color w:val="auto"/>
              </w:rPr>
              <w:t>Total other income</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882,531</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948,509</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820,893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-13.5%</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-7.0%</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expenses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4620" w:type="dxa"/>
            <w:vAlign w:val="bottom"/>
          </w:tcPr>
          <w:p>
            <w:pPr>
              <w:ind w:left="140"/>
              <w:spacing w:after="0"/>
              <w:rPr>
                <w:sz w:val="20"/>
                <w:szCs w:val="20"/>
                <w:color w:val="auto"/>
              </w:rPr>
            </w:pPr>
            <w:r>
              <w:rPr>
                <w:rFonts w:ascii="Arial" w:cs="Arial" w:eastAsia="Arial" w:hAnsi="Arial"/>
                <w:sz w:val="16"/>
                <w:szCs w:val="16"/>
                <w:color w:val="auto"/>
              </w:rPr>
              <w:t>Salaries and employee benefits</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(626,768)</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(665,450)</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(657,774)</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4.9%</w:t>
            </w:r>
          </w:p>
        </w:tc>
      </w:tr>
      <w:tr>
        <w:trPr>
          <w:trHeight w:val="200"/>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Administrative expenses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(459,366)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(553,843)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(404,917)</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-26.9%</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r>
      <w:tr>
        <w:trPr>
          <w:trHeight w:val="240"/>
        </w:trPr>
        <w:tc>
          <w:tcPr>
            <w:tcW w:w="4620" w:type="dxa"/>
            <w:vAlign w:val="bottom"/>
          </w:tcPr>
          <w:p>
            <w:pPr>
              <w:ind w:left="140"/>
              <w:spacing w:after="0" w:line="240"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6"/>
                <w:szCs w:val="26"/>
                <w:color w:val="auto"/>
                <w:vertAlign w:val="superscript"/>
              </w:rPr>
              <w:t>(2)</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(71,354)</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(143,026)</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(133,928)</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-6.4%</w:t>
            </w:r>
          </w:p>
        </w:tc>
        <w:tc>
          <w:tcPr>
            <w:tcW w:w="3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87.7%</w:t>
            </w:r>
          </w:p>
        </w:tc>
      </w:tr>
      <w:tr>
        <w:trPr>
          <w:trHeight w:val="200"/>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(31,090)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(56,693)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(151,363)</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167.0%</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386.9%</w:t>
            </w:r>
          </w:p>
        </w:tc>
      </w:tr>
      <w:tr>
        <w:trPr>
          <w:trHeight w:val="200"/>
        </w:trPr>
        <w:tc>
          <w:tcPr>
            <w:tcW w:w="4620" w:type="dxa"/>
            <w:vAlign w:val="bottom"/>
          </w:tcPr>
          <w:p>
            <w:pPr>
              <w:ind w:left="140"/>
              <w:spacing w:after="0"/>
              <w:rPr>
                <w:sz w:val="20"/>
                <w:szCs w:val="20"/>
                <w:color w:val="auto"/>
              </w:rPr>
            </w:pPr>
            <w:r>
              <w:rPr>
                <w:rFonts w:ascii="Arial" w:cs="Arial" w:eastAsia="Arial" w:hAnsi="Arial"/>
                <w:sz w:val="16"/>
                <w:szCs w:val="16"/>
                <w:b w:val="1"/>
                <w:bCs w:val="1"/>
                <w:color w:val="auto"/>
              </w:rPr>
              <w:t>Total expenses</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(1,188,578)</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(1,419,012)</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(1,347,982)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-5.0%</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13.4%</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Profit before income tax</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1,292,634</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1,161,128</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278,838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-76.0%</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-78.4%</w:t>
            </w:r>
          </w:p>
        </w:tc>
      </w:tr>
      <w:tr>
        <w:trPr>
          <w:trHeight w:val="200"/>
        </w:trPr>
        <w:tc>
          <w:tcPr>
            <w:tcW w:w="4620" w:type="dxa"/>
            <w:vAlign w:val="bottom"/>
          </w:tcPr>
          <w:p>
            <w:pPr>
              <w:ind w:left="140"/>
              <w:spacing w:after="0"/>
              <w:rPr>
                <w:sz w:val="20"/>
                <w:szCs w:val="20"/>
                <w:color w:val="auto"/>
              </w:rPr>
            </w:pPr>
            <w:r>
              <w:rPr>
                <w:rFonts w:ascii="Arial" w:cs="Arial" w:eastAsia="Arial" w:hAnsi="Arial"/>
                <w:sz w:val="16"/>
                <w:szCs w:val="16"/>
                <w:color w:val="auto"/>
              </w:rPr>
              <w:t>Income tax</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(355,078)</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(315,972)</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(97,582)</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-69.1%</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-72.5%</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profit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937,556</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845,156</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181,256</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-78.6%</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-80.7%</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(4,931)</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(4,991)</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(1,534)</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-69.3%</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-68.9%</w:t>
            </w: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profit attributable to BCP Consolidated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932,625</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840,165</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179,722</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-78.6%</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-80.7%</w:t>
            </w:r>
          </w:p>
        </w:tc>
      </w:tr>
    </w:tbl>
    <w:p>
      <w:pPr>
        <w:spacing w:after="0" w:line="199" w:lineRule="exact"/>
        <w:rPr>
          <w:sz w:val="20"/>
          <w:szCs w:val="20"/>
          <w:color w:val="auto"/>
        </w:rPr>
      </w:pPr>
    </w:p>
    <w:p>
      <w:pPr>
        <w:ind w:left="260" w:hanging="253"/>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of 2019, financing expenses related to lease agreements is included according to the application of IFRS 16.</w:t>
      </w:r>
    </w:p>
    <w:p>
      <w:pPr>
        <w:spacing w:after="0" w:line="19" w:lineRule="exact"/>
        <w:rPr>
          <w:rFonts w:ascii="Arial" w:cs="Arial" w:eastAsia="Arial" w:hAnsi="Arial"/>
          <w:sz w:val="18"/>
          <w:szCs w:val="18"/>
          <w:color w:val="auto"/>
        </w:rPr>
      </w:pPr>
    </w:p>
    <w:p>
      <w:pPr>
        <w:ind w:right="20" w:firstLine="7"/>
        <w:spacing w:after="0" w:line="316" w:lineRule="auto"/>
        <w:tabs>
          <w:tab w:leader="none" w:pos="263" w:val="left"/>
        </w:tabs>
        <w:numPr>
          <w:ilvl w:val="0"/>
          <w:numId w:val="83"/>
        </w:numPr>
        <w:rPr>
          <w:rFonts w:ascii="Arial" w:cs="Arial" w:eastAsia="Arial" w:hAnsi="Arial"/>
          <w:sz w:val="16"/>
          <w:szCs w:val="16"/>
          <w:color w:val="auto"/>
        </w:rPr>
      </w:pPr>
      <w:r>
        <w:rPr>
          <w:rFonts w:ascii="Arial" w:cs="Arial" w:eastAsia="Arial" w:hAnsi="Arial"/>
          <w:sz w:val="16"/>
          <w:szCs w:val="16"/>
          <w:color w:val="auto"/>
        </w:rPr>
        <w:t>From this quarter,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spacing w:after="0" w:line="356"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1"/>
        </w:trPr>
        <w:tc>
          <w:tcPr>
            <w:tcW w:w="686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1Q19</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4Q19</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1Q20</w:t>
            </w:r>
          </w:p>
        </w:tc>
      </w:tr>
      <w:tr>
        <w:trPr>
          <w:trHeight w:val="208"/>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Profitability</w:t>
            </w: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4"/>
        </w:trPr>
        <w:tc>
          <w:tcPr>
            <w:tcW w:w="6860" w:type="dxa"/>
            <w:vAlign w:val="bottom"/>
          </w:tcPr>
          <w:p>
            <w:pPr>
              <w:spacing w:after="0" w:line="253"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9"/>
                <w:szCs w:val="29"/>
                <w:color w:val="auto"/>
                <w:vertAlign w:val="superscript"/>
              </w:rPr>
              <w:t>(1)</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0.091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0.082</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0.018</w:t>
            </w:r>
          </w:p>
        </w:tc>
      </w:tr>
      <w:tr>
        <w:trPr>
          <w:trHeight w:val="254"/>
        </w:trPr>
        <w:tc>
          <w:tcPr>
            <w:tcW w:w="6860" w:type="dxa"/>
            <w:vAlign w:val="bottom"/>
            <w:shd w:val="clear" w:color="auto" w:fill="CCEEFF"/>
          </w:tcPr>
          <w:p>
            <w:pPr>
              <w:spacing w:after="0" w:line="253"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r>
      <w:tr>
        <w:trPr>
          <w:trHeight w:val="254"/>
        </w:trPr>
        <w:tc>
          <w:tcPr>
            <w:tcW w:w="6860" w:type="dxa"/>
            <w:vAlign w:val="bottom"/>
          </w:tcPr>
          <w:p>
            <w:pPr>
              <w:spacing w:after="0" w:line="253"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54"/>
        </w:trPr>
        <w:tc>
          <w:tcPr>
            <w:tcW w:w="68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(2)(3)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w:t>
            </w:r>
          </w:p>
        </w:tc>
      </w:tr>
      <w:tr>
        <w:trPr>
          <w:trHeight w:val="254"/>
        </w:trPr>
        <w:tc>
          <w:tcPr>
            <w:tcW w:w="6860" w:type="dxa"/>
            <w:vAlign w:val="bottom"/>
          </w:tcPr>
          <w:p>
            <w:pPr>
              <w:spacing w:after="0" w:line="253" w:lineRule="exact"/>
              <w:rPr>
                <w:sz w:val="20"/>
                <w:szCs w:val="20"/>
                <w:color w:val="auto"/>
              </w:rPr>
            </w:pPr>
            <w:r>
              <w:rPr>
                <w:rFonts w:ascii="Arial" w:cs="Arial" w:eastAsia="Arial" w:hAnsi="Arial"/>
                <w:sz w:val="18"/>
                <w:szCs w:val="18"/>
                <w:color w:val="auto"/>
              </w:rPr>
              <w:t xml:space="preserve">Risk adjusted NIM </w:t>
            </w:r>
            <w:r>
              <w:rPr>
                <w:rFonts w:ascii="Arial" w:cs="Arial" w:eastAsia="Arial" w:hAnsi="Arial"/>
                <w:sz w:val="29"/>
                <w:szCs w:val="29"/>
                <w:color w:val="auto"/>
                <w:vertAlign w:val="superscript"/>
              </w:rPr>
              <w:t>(2)(3)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4.68%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4.51%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r>
      <w:tr>
        <w:trPr>
          <w:trHeight w:val="254"/>
        </w:trPr>
        <w:tc>
          <w:tcPr>
            <w:tcW w:w="68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Funding Cost </w:t>
            </w:r>
            <w:r>
              <w:rPr>
                <w:rFonts w:ascii="Arial" w:cs="Arial" w:eastAsia="Arial" w:hAnsi="Arial"/>
                <w:sz w:val="29"/>
                <w:szCs w:val="29"/>
                <w:color w:val="auto"/>
                <w:vertAlign w:val="superscript"/>
              </w:rPr>
              <w:t>(2)(3)(4)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r>
      <w:tr>
        <w:trPr>
          <w:trHeight w:val="213"/>
        </w:trPr>
        <w:tc>
          <w:tcPr>
            <w:tcW w:w="686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IOL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r>
      <w:tr>
        <w:trPr>
          <w:trHeight w:val="213"/>
        </w:trPr>
        <w:tc>
          <w:tcPr>
            <w:tcW w:w="6860" w:type="dxa"/>
            <w:vAlign w:val="bottom"/>
          </w:tcPr>
          <w:p>
            <w:pPr>
              <w:spacing w:after="0"/>
              <w:rPr>
                <w:sz w:val="20"/>
                <w:szCs w:val="20"/>
                <w:color w:val="auto"/>
              </w:rPr>
            </w:pPr>
            <w:r>
              <w:rPr>
                <w:rFonts w:ascii="Arial" w:cs="Arial" w:eastAsia="Arial" w:hAnsi="Arial"/>
                <w:sz w:val="18"/>
                <w:szCs w:val="18"/>
                <w:color w:val="auto"/>
              </w:rPr>
              <w:t>NPL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4.29%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4.12%</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r>
      <w:tr>
        <w:trPr>
          <w:trHeight w:val="213"/>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Coverage of IOLs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150.9%</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164.2%</w:t>
            </w:r>
          </w:p>
        </w:tc>
      </w:tr>
      <w:tr>
        <w:trPr>
          <w:trHeight w:val="213"/>
        </w:trPr>
        <w:tc>
          <w:tcPr>
            <w:tcW w:w="6860" w:type="dxa"/>
            <w:vAlign w:val="bottom"/>
          </w:tcPr>
          <w:p>
            <w:pPr>
              <w:spacing w:after="0"/>
              <w:rPr>
                <w:sz w:val="20"/>
                <w:szCs w:val="20"/>
                <w:color w:val="auto"/>
              </w:rPr>
            </w:pPr>
            <w:r>
              <w:rPr>
                <w:rFonts w:ascii="Arial" w:cs="Arial" w:eastAsia="Arial" w:hAnsi="Arial"/>
                <w:sz w:val="18"/>
                <w:szCs w:val="18"/>
                <w:color w:val="auto"/>
              </w:rPr>
              <w:t>Coverage of NPLs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108.8%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110.3%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123.9%</w:t>
            </w:r>
          </w:p>
        </w:tc>
      </w:tr>
      <w:tr>
        <w:trPr>
          <w:trHeight w:val="254"/>
        </w:trPr>
        <w:tc>
          <w:tcPr>
            <w:tcW w:w="68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w:t>
            </w:r>
          </w:p>
        </w:tc>
      </w:tr>
      <w:tr>
        <w:trPr>
          <w:trHeight w:val="213"/>
        </w:trPr>
        <w:tc>
          <w:tcPr>
            <w:tcW w:w="6860" w:type="dxa"/>
            <w:vAlign w:val="bottom"/>
          </w:tcPr>
          <w:p>
            <w:pPr>
              <w:spacing w:after="0"/>
              <w:rPr>
                <w:sz w:val="20"/>
                <w:szCs w:val="20"/>
                <w:color w:val="auto"/>
              </w:rPr>
            </w:pPr>
            <w:r>
              <w:rPr>
                <w:rFonts w:ascii="Arial" w:cs="Arial" w:eastAsia="Arial" w:hAnsi="Arial"/>
                <w:sz w:val="18"/>
                <w:szCs w:val="18"/>
                <w:b w:val="1"/>
                <w:bCs w:val="1"/>
                <w:color w:val="auto"/>
              </w:rPr>
              <w:t>Operating efficiency</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4"/>
        </w:trPr>
        <w:tc>
          <w:tcPr>
            <w:tcW w:w="68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Oper. expenses as a percent. of total income - reported </w:t>
            </w:r>
            <w:r>
              <w:rPr>
                <w:rFonts w:ascii="Arial" w:cs="Arial" w:eastAsia="Arial" w:hAnsi="Arial"/>
                <w:sz w:val="29"/>
                <w:szCs w:val="29"/>
                <w:color w:val="auto"/>
                <w:vertAlign w:val="superscript"/>
              </w:rPr>
              <w:t>(6)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r>
      <w:tr>
        <w:trPr>
          <w:trHeight w:val="213"/>
        </w:trPr>
        <w:tc>
          <w:tcPr>
            <w:tcW w:w="6860" w:type="dxa"/>
            <w:vAlign w:val="bottom"/>
          </w:tcPr>
          <w:p>
            <w:pPr>
              <w:spacing w:after="0"/>
              <w:rPr>
                <w:sz w:val="20"/>
                <w:szCs w:val="20"/>
                <w:color w:val="auto"/>
              </w:rPr>
            </w:pPr>
            <w:r>
              <w:rPr>
                <w:rFonts w:ascii="Arial" w:cs="Arial" w:eastAsia="Arial" w:hAnsi="Arial"/>
                <w:sz w:val="18"/>
                <w:szCs w:val="18"/>
                <w:color w:val="auto"/>
              </w:rPr>
              <w:t>Oper. expenses as a percent. of total income - including all other items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41.7%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46.1%</w:t>
            </w:r>
          </w:p>
        </w:tc>
      </w:tr>
      <w:tr>
        <w:trPr>
          <w:trHeight w:val="254"/>
        </w:trPr>
        <w:tc>
          <w:tcPr>
            <w:tcW w:w="68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Oper. expenses as a percent. of av. tot. assets </w:t>
            </w:r>
            <w:r>
              <w:rPr>
                <w:rFonts w:ascii="Arial" w:cs="Arial" w:eastAsia="Arial" w:hAnsi="Arial"/>
                <w:sz w:val="29"/>
                <w:szCs w:val="29"/>
                <w:color w:val="auto"/>
                <w:vertAlign w:val="superscript"/>
              </w:rPr>
              <w:t>(2)(3)(6)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r>
      <w:tr>
        <w:trPr>
          <w:trHeight w:val="254"/>
        </w:trPr>
        <w:tc>
          <w:tcPr>
            <w:tcW w:w="6860" w:type="dxa"/>
            <w:vAlign w:val="bottom"/>
          </w:tcPr>
          <w:p>
            <w:pPr>
              <w:spacing w:after="0" w:line="253" w:lineRule="exact"/>
              <w:rPr>
                <w:sz w:val="20"/>
                <w:szCs w:val="20"/>
                <w:color w:val="auto"/>
              </w:rPr>
            </w:pPr>
            <w:r>
              <w:rPr>
                <w:rFonts w:ascii="Arial" w:cs="Arial" w:eastAsia="Arial" w:hAnsi="Arial"/>
                <w:sz w:val="18"/>
                <w:szCs w:val="18"/>
                <w:b w:val="1"/>
                <w:bCs w:val="1"/>
                <w:color w:val="auto"/>
              </w:rPr>
              <w:t xml:space="preserve">Capital adequacy </w:t>
            </w:r>
            <w:r>
              <w:rPr>
                <w:rFonts w:ascii="Arial" w:cs="Arial" w:eastAsia="Arial" w:hAnsi="Arial"/>
                <w:sz w:val="29"/>
                <w:szCs w:val="29"/>
                <w:b w:val="1"/>
                <w:bCs w:val="1"/>
                <w:color w:val="auto"/>
                <w:vertAlign w:val="superscript"/>
              </w:rPr>
              <w:t>(7)</w:t>
            </w: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3"/>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regulatory capital (S/ Million)</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19,169</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19,408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19,215</w:t>
            </w:r>
          </w:p>
        </w:tc>
      </w:tr>
      <w:tr>
        <w:trPr>
          <w:trHeight w:val="254"/>
        </w:trPr>
        <w:tc>
          <w:tcPr>
            <w:tcW w:w="6860" w:type="dxa"/>
            <w:vAlign w:val="bottom"/>
          </w:tcPr>
          <w:p>
            <w:pPr>
              <w:spacing w:after="0" w:line="253" w:lineRule="exact"/>
              <w:rPr>
                <w:sz w:val="20"/>
                <w:szCs w:val="20"/>
                <w:color w:val="auto"/>
              </w:rPr>
            </w:pPr>
            <w:r>
              <w:rPr>
                <w:rFonts w:ascii="Arial" w:cs="Arial" w:eastAsia="Arial" w:hAnsi="Arial"/>
                <w:sz w:val="18"/>
                <w:szCs w:val="18"/>
                <w:color w:val="auto"/>
              </w:rPr>
              <w:t xml:space="preserve">Tier 1 capital (S/ Million) </w:t>
            </w:r>
            <w:r>
              <w:rPr>
                <w:rFonts w:ascii="Arial" w:cs="Arial" w:eastAsia="Arial" w:hAnsi="Arial"/>
                <w:sz w:val="29"/>
                <w:szCs w:val="29"/>
                <w:color w:val="auto"/>
                <w:vertAlign w:val="superscript"/>
              </w:rPr>
              <w:t>(8)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14,510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14,850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14,672</w:t>
            </w:r>
          </w:p>
        </w:tc>
      </w:tr>
      <w:tr>
        <w:trPr>
          <w:trHeight w:val="254"/>
        </w:trPr>
        <w:tc>
          <w:tcPr>
            <w:tcW w:w="68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12.35%</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11.89%</w:t>
            </w:r>
          </w:p>
        </w:tc>
      </w:tr>
      <w:tr>
        <w:trPr>
          <w:trHeight w:val="254"/>
        </w:trPr>
        <w:tc>
          <w:tcPr>
            <w:tcW w:w="6860" w:type="dxa"/>
            <w:vAlign w:val="bottom"/>
          </w:tcPr>
          <w:p>
            <w:pPr>
              <w:spacing w:after="0" w:line="253"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(10)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15.49%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14.47%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13.52%</w:t>
            </w:r>
          </w:p>
        </w:tc>
      </w:tr>
      <w:tr>
        <w:trPr>
          <w:trHeight w:val="213"/>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Information</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6"/>
        </w:trPr>
        <w:tc>
          <w:tcPr>
            <w:tcW w:w="6860" w:type="dxa"/>
            <w:vAlign w:val="bottom"/>
          </w:tcPr>
          <w:p>
            <w:pPr>
              <w:spacing w:after="0"/>
              <w:rPr>
                <w:sz w:val="20"/>
                <w:szCs w:val="20"/>
                <w:color w:val="auto"/>
              </w:rPr>
            </w:pPr>
            <w:r>
              <w:rPr>
                <w:rFonts w:ascii="Arial" w:cs="Arial" w:eastAsia="Arial" w:hAnsi="Arial"/>
                <w:sz w:val="18"/>
                <w:szCs w:val="18"/>
                <w:color w:val="auto"/>
              </w:rPr>
              <w:t>N° of outstanding shares (Million)</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10,217</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10,217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10,217</w:t>
            </w:r>
          </w:p>
        </w:tc>
      </w:tr>
    </w:tbl>
    <w:p>
      <w:pPr>
        <w:spacing w:after="0" w:line="186" w:lineRule="exact"/>
        <w:rPr>
          <w:sz w:val="20"/>
          <w:szCs w:val="20"/>
          <w:color w:val="auto"/>
        </w:rPr>
      </w:pPr>
    </w:p>
    <w:p>
      <w:pPr>
        <w:ind w:left="260" w:hanging="253"/>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Shares outstanding of 10,217 million is used for all periods since shares have been issued only for capitalization of profits.</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6" w:lineRule="exact"/>
        <w:rPr>
          <w:rFonts w:ascii="Arial" w:cs="Arial" w:eastAsia="Arial" w:hAnsi="Arial"/>
          <w:sz w:val="18"/>
          <w:szCs w:val="18"/>
          <w:color w:val="auto"/>
        </w:rPr>
      </w:pPr>
    </w:p>
    <w:p>
      <w:pPr>
        <w:ind w:right="20" w:firstLine="7"/>
        <w:spacing w:after="0" w:line="278" w:lineRule="auto"/>
        <w:tabs>
          <w:tab w:leader="none" w:pos="263"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ind w:left="260" w:hanging="253"/>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6" w:lineRule="exact"/>
        <w:rPr>
          <w:rFonts w:ascii="Arial" w:cs="Arial" w:eastAsia="Arial" w:hAnsi="Arial"/>
          <w:sz w:val="18"/>
          <w:szCs w:val="18"/>
          <w:color w:val="auto"/>
        </w:rPr>
      </w:pPr>
    </w:p>
    <w:p>
      <w:pPr>
        <w:ind w:firstLine="7"/>
        <w:spacing w:after="0" w:line="262" w:lineRule="auto"/>
        <w:tabs>
          <w:tab w:leader="none" w:pos="287" w:val="left"/>
        </w:tabs>
        <w:numPr>
          <w:ilvl w:val="0"/>
          <w:numId w:val="84"/>
        </w:numPr>
        <w:rPr>
          <w:rFonts w:ascii="Arial" w:cs="Arial" w:eastAsia="Arial" w:hAnsi="Arial"/>
          <w:sz w:val="17"/>
          <w:szCs w:val="17"/>
          <w:color w:val="auto"/>
        </w:rPr>
      </w:pPr>
      <w:r>
        <w:rPr>
          <w:rFonts w:ascii="Arial" w:cs="Arial" w:eastAsia="Arial" w:hAnsi="Arial"/>
          <w:sz w:val="17"/>
          <w:szCs w:val="17"/>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ind w:left="260" w:hanging="253"/>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capital ratios are for BCP Stand-alone and based on Peru GAAP</w:t>
      </w:r>
    </w:p>
    <w:p>
      <w:pPr>
        <w:spacing w:after="0" w:line="6" w:lineRule="exact"/>
        <w:rPr>
          <w:rFonts w:ascii="Arial" w:cs="Arial" w:eastAsia="Arial" w:hAnsi="Arial"/>
          <w:sz w:val="18"/>
          <w:szCs w:val="18"/>
          <w:color w:val="auto"/>
        </w:rPr>
      </w:pPr>
    </w:p>
    <w:p>
      <w:pPr>
        <w:jc w:val="both"/>
        <w:ind w:firstLine="7"/>
        <w:spacing w:after="0" w:line="262" w:lineRule="auto"/>
        <w:tabs>
          <w:tab w:leader="none" w:pos="284" w:val="left"/>
        </w:tabs>
        <w:numPr>
          <w:ilvl w:val="0"/>
          <w:numId w:val="84"/>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firstLine="7"/>
        <w:spacing w:after="0" w:line="247" w:lineRule="auto"/>
        <w:tabs>
          <w:tab w:leader="none" w:pos="265"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340" w:hanging="333"/>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11.3. Mibanco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MIBANCO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4"/>
              </w:rPr>
              <w:t>As of</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ind w:left="900"/>
              <w:spacing w:after="0"/>
              <w:rPr>
                <w:sz w:val="20"/>
                <w:szCs w:val="20"/>
                <w:color w:val="auto"/>
              </w:rPr>
            </w:pPr>
            <w:r>
              <w:rPr>
                <w:rFonts w:ascii="Arial" w:cs="Arial" w:eastAsia="Arial" w:hAnsi="Arial"/>
                <w:sz w:val="16"/>
                <w:szCs w:val="16"/>
                <w:b w:val="1"/>
                <w:bCs w:val="1"/>
                <w:color w:val="auto"/>
              </w:rPr>
              <w:t>% change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320"/>
              <w:spacing w:after="0"/>
              <w:rPr>
                <w:sz w:val="20"/>
                <w:szCs w:val="20"/>
                <w:color w:val="auto"/>
              </w:rPr>
            </w:pPr>
            <w:r>
              <w:rPr>
                <w:rFonts w:ascii="Arial" w:cs="Arial" w:eastAsia="Arial" w:hAnsi="Arial"/>
                <w:sz w:val="16"/>
                <w:szCs w:val="16"/>
                <w:b w:val="1"/>
                <w:bCs w:val="1"/>
                <w:color w:val="auto"/>
              </w:rPr>
              <w:t>Mar 19</w:t>
            </w:r>
          </w:p>
        </w:tc>
        <w:tc>
          <w:tcPr>
            <w:tcW w:w="13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9"/>
              </w:rPr>
              <w:t>Dec 19</w:t>
            </w:r>
          </w:p>
        </w:tc>
        <w:tc>
          <w:tcPr>
            <w:tcW w:w="1320" w:type="dxa"/>
            <w:vAlign w:val="bottom"/>
            <w:gridSpan w:val="3"/>
          </w:tcPr>
          <w:p>
            <w:pPr>
              <w:ind w:left="300"/>
              <w:spacing w:after="0"/>
              <w:rPr>
                <w:sz w:val="20"/>
                <w:szCs w:val="20"/>
                <w:color w:val="auto"/>
              </w:rPr>
            </w:pPr>
            <w:r>
              <w:rPr>
                <w:rFonts w:ascii="Arial" w:cs="Arial" w:eastAsia="Arial" w:hAnsi="Arial"/>
                <w:sz w:val="16"/>
                <w:szCs w:val="16"/>
                <w:b w:val="1"/>
                <w:bCs w:val="1"/>
                <w:color w:val="auto"/>
              </w:rPr>
              <w:t>Mar 20</w:t>
            </w:r>
          </w:p>
        </w:tc>
        <w:tc>
          <w:tcPr>
            <w:tcW w:w="1680" w:type="dxa"/>
            <w:vAlign w:val="bottom"/>
            <w:gridSpan w:val="3"/>
          </w:tcPr>
          <w:p>
            <w:pPr>
              <w:ind w:left="380"/>
              <w:spacing w:after="0"/>
              <w:rPr>
                <w:sz w:val="20"/>
                <w:szCs w:val="20"/>
                <w:color w:val="auto"/>
              </w:rPr>
            </w:pPr>
            <w:r>
              <w:rPr>
                <w:rFonts w:ascii="Arial" w:cs="Arial" w:eastAsia="Arial" w:hAnsi="Arial"/>
                <w:sz w:val="16"/>
                <w:szCs w:val="16"/>
                <w:b w:val="1"/>
                <w:bCs w:val="1"/>
                <w:color w:val="auto"/>
              </w:rPr>
              <w:t>QoQ</w:t>
            </w:r>
          </w:p>
        </w:tc>
        <w:tc>
          <w:tcPr>
            <w:tcW w:w="9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YoY</w:t>
            </w:r>
          </w:p>
        </w:tc>
      </w:tr>
      <w:tr>
        <w:trPr>
          <w:trHeight w:val="196"/>
        </w:trPr>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Cash and due from banks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1,013,959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1,146,596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919,001</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-19.8%</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-9.4%</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1,910,967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1,521,121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1,744,788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14.7%</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Total loans</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10,192,327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10,728,372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10,732,068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0.0%</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5.3%</w:t>
            </w:r>
          </w:p>
        </w:tc>
      </w:tr>
      <w:tr>
        <w:trPr>
          <w:trHeight w:val="200"/>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Current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9,534,598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10,055,027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10,061,078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r>
      <w:tr>
        <w:trPr>
          <w:trHeight w:val="200"/>
        </w:trPr>
        <w:tc>
          <w:tcPr>
            <w:tcW w:w="4620" w:type="dxa"/>
            <w:vAlign w:val="bottom"/>
            <w:gridSpan w:val="2"/>
          </w:tcPr>
          <w:p>
            <w:pPr>
              <w:ind w:left="140"/>
              <w:spacing w:after="0"/>
              <w:rPr>
                <w:sz w:val="20"/>
                <w:szCs w:val="20"/>
                <w:color w:val="auto"/>
              </w:rPr>
            </w:pPr>
            <w:r>
              <w:rPr>
                <w:rFonts w:ascii="Arial" w:cs="Arial" w:eastAsia="Arial" w:hAnsi="Arial"/>
                <w:sz w:val="16"/>
                <w:szCs w:val="16"/>
                <w:color w:val="auto"/>
              </w:rPr>
              <w:t>Internal overdue loans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539,299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572,043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574,899</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0.5%</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6.6%</w:t>
            </w:r>
          </w:p>
        </w:tc>
      </w:tr>
      <w:tr>
        <w:trPr>
          <w:trHeight w:val="200"/>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Refinanced</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118,431</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101,302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96,091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-18.9%</w:t>
            </w:r>
          </w:p>
        </w:tc>
      </w:tr>
      <w:tr>
        <w:trPr>
          <w:trHeight w:val="200"/>
        </w:trPr>
        <w:tc>
          <w:tcPr>
            <w:tcW w:w="4620" w:type="dxa"/>
            <w:vAlign w:val="bottom"/>
            <w:gridSpan w:val="2"/>
          </w:tcPr>
          <w:p>
            <w:pPr>
              <w:ind w:left="140"/>
              <w:spacing w:after="0"/>
              <w:rPr>
                <w:sz w:val="20"/>
                <w:szCs w:val="20"/>
                <w:color w:val="auto"/>
              </w:rPr>
            </w:pPr>
            <w:r>
              <w:rPr>
                <w:rFonts w:ascii="Arial" w:cs="Arial" w:eastAsia="Arial" w:hAnsi="Arial"/>
                <w:sz w:val="16"/>
                <w:szCs w:val="16"/>
                <w:color w:val="auto"/>
              </w:rPr>
              <w:t>Allowance for loan losses</w:t>
            </w:r>
          </w:p>
        </w:tc>
        <w:tc>
          <w:tcPr>
            <w:tcW w:w="1240" w:type="dxa"/>
            <w:vAlign w:val="bottom"/>
            <w:gridSpan w:val="3"/>
          </w:tcPr>
          <w:p>
            <w:pPr>
              <w:jc w:val="right"/>
              <w:ind w:right="120"/>
              <w:spacing w:after="0"/>
              <w:rPr>
                <w:sz w:val="20"/>
                <w:szCs w:val="20"/>
                <w:color w:val="auto"/>
              </w:rPr>
            </w:pPr>
            <w:r>
              <w:rPr>
                <w:rFonts w:ascii="Arial" w:cs="Arial" w:eastAsia="Arial" w:hAnsi="Arial"/>
                <w:sz w:val="16"/>
                <w:szCs w:val="16"/>
                <w:color w:val="auto"/>
              </w:rPr>
              <w:t>-908,751</w:t>
            </w:r>
          </w:p>
        </w:tc>
        <w:tc>
          <w:tcPr>
            <w:tcW w:w="10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-937,075</w:t>
            </w:r>
          </w:p>
        </w:tc>
        <w:tc>
          <w:tcPr>
            <w:tcW w:w="60" w:type="dxa"/>
            <w:vAlign w:val="bottom"/>
          </w:tcPr>
          <w:p>
            <w:pPr>
              <w:spacing w:after="0"/>
              <w:rPr>
                <w:sz w:val="17"/>
                <w:szCs w:val="17"/>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-1,051,741</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12.2%</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15.7%</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loans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9,283,576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9,791,296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9,680,327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4.3%</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Property, plant and equipment, net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185,620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176,460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166,018</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-5.9%</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-10.6%</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978,521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1,106,183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1,018,840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-7.9%</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r>
      <w:tr>
        <w:trPr>
          <w:trHeight w:val="200"/>
        </w:trPr>
        <w:tc>
          <w:tcPr>
            <w:tcW w:w="4620" w:type="dxa"/>
            <w:vAlign w:val="bottom"/>
            <w:gridSpan w:val="2"/>
          </w:tcPr>
          <w:p>
            <w:pPr>
              <w:ind w:left="1460"/>
              <w:spacing w:after="0"/>
              <w:rPr>
                <w:sz w:val="20"/>
                <w:szCs w:val="20"/>
                <w:color w:val="auto"/>
              </w:rPr>
            </w:pPr>
            <w:r>
              <w:rPr>
                <w:rFonts w:ascii="Arial" w:cs="Arial" w:eastAsia="Arial" w:hAnsi="Arial"/>
                <w:sz w:val="16"/>
                <w:szCs w:val="16"/>
                <w:b w:val="1"/>
                <w:bCs w:val="1"/>
                <w:color w:val="auto"/>
              </w:rPr>
              <w:t>Total assets</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13,372,643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13,741,657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13,528,974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-1.5%</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1.2%</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 AND NET SHAREHOLDERS' EQUITY</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Deposits and obligations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8,426,560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8,558,303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8,366,714</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-0.7%</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to banks and correspondents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1,705,072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2,124,954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2,235,744</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31.1%</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Bonds and subordinated debt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367,579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132,280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135,262</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-63.2%</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939,018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839,842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670,371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-20.2%</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-28.6%</w:t>
            </w:r>
          </w:p>
        </w:tc>
      </w:tr>
      <w:tr>
        <w:trPr>
          <w:trHeight w:val="200"/>
        </w:trPr>
        <w:tc>
          <w:tcPr>
            <w:tcW w:w="4620" w:type="dxa"/>
            <w:vAlign w:val="bottom"/>
            <w:gridSpan w:val="2"/>
          </w:tcPr>
          <w:p>
            <w:pPr>
              <w:ind w:left="1400"/>
              <w:spacing w:after="0"/>
              <w:rPr>
                <w:sz w:val="20"/>
                <w:szCs w:val="20"/>
                <w:color w:val="auto"/>
              </w:rPr>
            </w:pPr>
            <w:r>
              <w:rPr>
                <w:rFonts w:ascii="Arial" w:cs="Arial" w:eastAsia="Arial" w:hAnsi="Arial"/>
                <w:sz w:val="16"/>
                <w:szCs w:val="16"/>
                <w:b w:val="1"/>
                <w:bCs w:val="1"/>
                <w:color w:val="auto"/>
              </w:rPr>
              <w:t>Total liabilities</w:t>
            </w:r>
          </w:p>
        </w:tc>
        <w:tc>
          <w:tcPr>
            <w:tcW w:w="12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11,438,229</w:t>
            </w:r>
          </w:p>
        </w:tc>
        <w:tc>
          <w:tcPr>
            <w:tcW w:w="10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11,655,379</w:t>
            </w:r>
          </w:p>
        </w:tc>
        <w:tc>
          <w:tcPr>
            <w:tcW w:w="60" w:type="dxa"/>
            <w:vAlign w:val="bottom"/>
          </w:tcPr>
          <w:p>
            <w:pPr>
              <w:spacing w:after="0"/>
              <w:rPr>
                <w:sz w:val="17"/>
                <w:szCs w:val="17"/>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11,408,091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-2.1%</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-0.3%</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equity</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1,934,414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2,086,278</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2,120,883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1.7%</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9.6%</w:t>
            </w:r>
          </w:p>
        </w:tc>
      </w:tr>
      <w:tr>
        <w:trPr>
          <w:trHeight w:val="209"/>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NET SHAREHOLDERS' EQUITY</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13,372,643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13,741,657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13,528,974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-1.5%</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1.2%</w:t>
            </w:r>
          </w:p>
        </w:tc>
      </w:tr>
      <w:tr>
        <w:trPr>
          <w:trHeight w:val="400"/>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4"/>
          </w:tcPr>
          <w:p>
            <w:pPr>
              <w:ind w:left="180"/>
              <w:spacing w:after="0"/>
              <w:rPr>
                <w:sz w:val="20"/>
                <w:szCs w:val="20"/>
                <w:color w:val="auto"/>
              </w:rPr>
            </w:pPr>
            <w:r>
              <w:rPr>
                <w:rFonts w:ascii="Arial" w:cs="Arial" w:eastAsia="Arial" w:hAnsi="Arial"/>
                <w:sz w:val="16"/>
                <w:szCs w:val="16"/>
                <w:b w:val="1"/>
                <w:bCs w:val="1"/>
                <w:color w:val="auto"/>
              </w:rPr>
              <w:t>Quarter</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ind w:left="900"/>
              <w:spacing w:after="0"/>
              <w:rPr>
                <w:sz w:val="20"/>
                <w:szCs w:val="20"/>
                <w:color w:val="auto"/>
              </w:rPr>
            </w:pPr>
            <w:r>
              <w:rPr>
                <w:rFonts w:ascii="Arial" w:cs="Arial" w:eastAsia="Arial" w:hAnsi="Arial"/>
                <w:sz w:val="16"/>
                <w:szCs w:val="16"/>
                <w:b w:val="1"/>
                <w:bCs w:val="1"/>
                <w:color w:val="auto"/>
              </w:rPr>
              <w:t>% change</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1Q19</w:t>
            </w:r>
          </w:p>
        </w:tc>
        <w:tc>
          <w:tcPr>
            <w:tcW w:w="24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4Q19</w:t>
            </w:r>
          </w:p>
        </w:tc>
        <w:tc>
          <w:tcPr>
            <w:tcW w:w="240" w:type="dxa"/>
            <w:vAlign w:val="bottom"/>
            <w:tcBorders>
              <w:bottom w:val="single" w:sz="8" w:color="CCEEFF"/>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1Q20</w:t>
            </w:r>
          </w:p>
        </w:tc>
        <w:tc>
          <w:tcPr>
            <w:tcW w:w="280" w:type="dxa"/>
            <w:vAlign w:val="bottom"/>
            <w:tcBorders>
              <w:bottom w:val="single" w:sz="8" w:color="CCEEFF"/>
            </w:tcBorders>
            <w:gridSpan w:val="2"/>
          </w:tcPr>
          <w:p>
            <w:pPr>
              <w:spacing w:after="0"/>
              <w:rPr>
                <w:sz w:val="18"/>
                <w:szCs w:val="18"/>
                <w:color w:val="auto"/>
              </w:rPr>
            </w:pP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QoQ</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8"/>
                <w:szCs w:val="18"/>
                <w:color w:val="auto"/>
              </w:rPr>
            </w:pPr>
          </w:p>
        </w:tc>
      </w:tr>
      <w:tr>
        <w:trPr>
          <w:trHeight w:val="196"/>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Net interest income</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467,942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478,516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485,079</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Provision for loan losses, net of recoveries</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-90,492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-96,592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-179,839</w:t>
            </w:r>
          </w:p>
        </w:tc>
        <w:tc>
          <w:tcPr>
            <w:tcW w:w="22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86.2%</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98.7%</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interest income after provisions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377,449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381,925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305,240</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-20.1%</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-19.1%</w:t>
            </w:r>
          </w:p>
        </w:tc>
      </w:tr>
      <w:tr>
        <w:trPr>
          <w:trHeight w:val="240"/>
        </w:trPr>
        <w:tc>
          <w:tcPr>
            <w:tcW w:w="4620" w:type="dxa"/>
            <w:vAlign w:val="bottom"/>
            <w:gridSpan w:val="2"/>
          </w:tcPr>
          <w:p>
            <w:pPr>
              <w:spacing w:after="0" w:line="240" w:lineRule="exact"/>
              <w:rPr>
                <w:sz w:val="20"/>
                <w:szCs w:val="20"/>
                <w:color w:val="auto"/>
              </w:rPr>
            </w:pPr>
            <w:r>
              <w:rPr>
                <w:rFonts w:ascii="Arial" w:cs="Arial" w:eastAsia="Arial" w:hAnsi="Arial"/>
                <w:sz w:val="16"/>
                <w:szCs w:val="16"/>
                <w:color w:val="auto"/>
              </w:rPr>
              <w:t>Non-financial income</w:t>
            </w:r>
            <w:r>
              <w:rPr>
                <w:rFonts w:ascii="Arial" w:cs="Arial" w:eastAsia="Arial" w:hAnsi="Arial"/>
                <w:sz w:val="26"/>
                <w:szCs w:val="26"/>
                <w:color w:val="auto"/>
                <w:vertAlign w:val="superscript"/>
              </w:rPr>
              <w:t>(1)</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45,645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53,246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40,838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-23.3%</w:t>
            </w:r>
          </w:p>
        </w:tc>
        <w:tc>
          <w:tcPr>
            <w:tcW w:w="3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-10.5%</w:t>
            </w:r>
          </w:p>
        </w:tc>
      </w:tr>
      <w:tr>
        <w:trPr>
          <w:trHeight w:val="240"/>
        </w:trPr>
        <w:tc>
          <w:tcPr>
            <w:tcW w:w="4620" w:type="dxa"/>
            <w:vAlign w:val="bottom"/>
            <w:gridSpan w:val="2"/>
            <w:shd w:val="clear" w:color="auto" w:fill="CCEEFF"/>
          </w:tcPr>
          <w:p>
            <w:pPr>
              <w:spacing w:after="0" w:line="240" w:lineRule="exact"/>
              <w:rPr>
                <w:sz w:val="20"/>
                <w:szCs w:val="20"/>
                <w:color w:val="auto"/>
              </w:rPr>
            </w:pPr>
            <w:r>
              <w:rPr>
                <w:rFonts w:ascii="Arial" w:cs="Arial" w:eastAsia="Arial" w:hAnsi="Arial"/>
                <w:sz w:val="16"/>
                <w:szCs w:val="16"/>
                <w:color w:val="auto"/>
              </w:rPr>
              <w:t>Total expenses</w:t>
            </w:r>
            <w:r>
              <w:rPr>
                <w:rFonts w:ascii="Arial" w:cs="Arial" w:eastAsia="Arial" w:hAnsi="Arial"/>
                <w:sz w:val="26"/>
                <w:szCs w:val="26"/>
                <w:color w:val="auto"/>
                <w:vertAlign w:val="superscript"/>
              </w:rPr>
              <w:t>(1)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-281,030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-283,888</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-294,967</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Translation result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3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-40,155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-48,940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-17,016</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-65.2%</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-57.6%</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Net income</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101,910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102,343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34,095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-66.7%</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-66.5%</w:t>
            </w:r>
          </w:p>
        </w:tc>
      </w:tr>
      <w:tr>
        <w:trPr>
          <w:trHeight w:val="240"/>
        </w:trPr>
        <w:tc>
          <w:tcPr>
            <w:tcW w:w="4620" w:type="dxa"/>
            <w:vAlign w:val="bottom"/>
            <w:gridSpan w:val="2"/>
            <w:shd w:val="clear" w:color="auto" w:fill="CCEEFF"/>
          </w:tcPr>
          <w:p>
            <w:pPr>
              <w:spacing w:after="0" w:line="240" w:lineRule="exact"/>
              <w:rPr>
                <w:sz w:val="20"/>
                <w:szCs w:val="20"/>
                <w:color w:val="auto"/>
              </w:rPr>
            </w:pPr>
            <w:r>
              <w:rPr>
                <w:rFonts w:ascii="Arial" w:cs="Arial" w:eastAsia="Arial" w:hAnsi="Arial"/>
                <w:sz w:val="16"/>
                <w:szCs w:val="16"/>
                <w:color w:val="auto"/>
              </w:rPr>
              <w:t xml:space="preserve">Efficiency ratio </w:t>
            </w:r>
            <w:r>
              <w:rPr>
                <w:rFonts w:ascii="Arial" w:cs="Arial" w:eastAsia="Arial" w:hAnsi="Arial"/>
                <w:sz w:val="26"/>
                <w:szCs w:val="26"/>
                <w:color w:val="auto"/>
                <w:vertAlign w:val="superscript"/>
              </w:rPr>
              <w:t>(1)</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54.0%</w:t>
            </w:r>
          </w:p>
        </w:tc>
        <w:tc>
          <w:tcPr>
            <w:tcW w:w="6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55.6%</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160 bps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 bps</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ROAE</w:t>
            </w:r>
          </w:p>
        </w:tc>
        <w:tc>
          <w:tcPr>
            <w:tcW w:w="1240" w:type="dxa"/>
            <w:vAlign w:val="bottom"/>
            <w:gridSpan w:val="3"/>
          </w:tcPr>
          <w:p>
            <w:pPr>
              <w:jc w:val="right"/>
              <w:ind w:right="100"/>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19.4%</w:t>
            </w:r>
          </w:p>
        </w:tc>
        <w:tc>
          <w:tcPr>
            <w:tcW w:w="60" w:type="dxa"/>
            <w:vAlign w:val="bottom"/>
          </w:tcPr>
          <w:p>
            <w:pPr>
              <w:spacing w:after="0"/>
              <w:rPr>
                <w:sz w:val="17"/>
                <w:szCs w:val="17"/>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6"/>
                <w:szCs w:val="16"/>
                <w:color w:val="auto"/>
              </w:rPr>
              <w:t>6.5%</w:t>
            </w:r>
          </w:p>
        </w:tc>
        <w:tc>
          <w:tcPr>
            <w:tcW w:w="1680" w:type="dxa"/>
            <w:vAlign w:val="bottom"/>
            <w:gridSpan w:val="3"/>
          </w:tcPr>
          <w:p>
            <w:pPr>
              <w:jc w:val="right"/>
              <w:ind w:right="580"/>
              <w:spacing w:after="0"/>
              <w:rPr>
                <w:sz w:val="20"/>
                <w:szCs w:val="20"/>
                <w:color w:val="auto"/>
              </w:rPr>
            </w:pPr>
            <w:r>
              <w:rPr>
                <w:rFonts w:ascii="Arial" w:cs="Arial" w:eastAsia="Arial" w:hAnsi="Arial"/>
                <w:sz w:val="16"/>
                <w:szCs w:val="16"/>
                <w:color w:val="auto"/>
              </w:rPr>
              <w:t>-1290 bps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-1480 bps</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ROAE incl. goow dill</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18.2%</w:t>
            </w:r>
          </w:p>
        </w:tc>
        <w:tc>
          <w:tcPr>
            <w:tcW w:w="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6.1%</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-1210 bps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-1370 bps</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L/D ratio</w:t>
            </w:r>
          </w:p>
        </w:tc>
        <w:tc>
          <w:tcPr>
            <w:tcW w:w="1240" w:type="dxa"/>
            <w:vAlign w:val="bottom"/>
            <w:gridSpan w:val="3"/>
          </w:tcPr>
          <w:p>
            <w:pPr>
              <w:jc w:val="right"/>
              <w:ind w:right="100"/>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125.4%</w:t>
            </w:r>
          </w:p>
        </w:tc>
        <w:tc>
          <w:tcPr>
            <w:tcW w:w="60" w:type="dxa"/>
            <w:vAlign w:val="bottom"/>
          </w:tcPr>
          <w:p>
            <w:pPr>
              <w:spacing w:after="0"/>
              <w:rPr>
                <w:sz w:val="17"/>
                <w:szCs w:val="17"/>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6"/>
                <w:szCs w:val="16"/>
                <w:color w:val="auto"/>
              </w:rPr>
              <w:t>128.3%</w:t>
            </w:r>
          </w:p>
        </w:tc>
        <w:tc>
          <w:tcPr>
            <w:tcW w:w="1680" w:type="dxa"/>
            <w:vAlign w:val="bottom"/>
            <w:gridSpan w:val="3"/>
          </w:tcPr>
          <w:p>
            <w:pPr>
              <w:jc w:val="right"/>
              <w:ind w:right="580"/>
              <w:spacing w:after="0"/>
              <w:rPr>
                <w:sz w:val="20"/>
                <w:szCs w:val="20"/>
                <w:color w:val="auto"/>
              </w:rPr>
            </w:pPr>
            <w:r>
              <w:rPr>
                <w:rFonts w:ascii="Arial" w:cs="Arial" w:eastAsia="Arial" w:hAnsi="Arial"/>
                <w:sz w:val="16"/>
                <w:szCs w:val="16"/>
                <w:color w:val="auto"/>
              </w:rPr>
              <w:t>290 bps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730 bps</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IOL ratio</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5.3%</w:t>
            </w:r>
          </w:p>
        </w:tc>
        <w:tc>
          <w:tcPr>
            <w:tcW w:w="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5.4%</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10 bps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 bps</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NPL ratio</w:t>
            </w:r>
          </w:p>
        </w:tc>
        <w:tc>
          <w:tcPr>
            <w:tcW w:w="1240" w:type="dxa"/>
            <w:vAlign w:val="bottom"/>
            <w:gridSpan w:val="3"/>
          </w:tcPr>
          <w:p>
            <w:pPr>
              <w:jc w:val="right"/>
              <w:ind w:right="10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6.3%</w:t>
            </w:r>
          </w:p>
        </w:tc>
        <w:tc>
          <w:tcPr>
            <w:tcW w:w="60" w:type="dxa"/>
            <w:vAlign w:val="bottom"/>
          </w:tcPr>
          <w:p>
            <w:pPr>
              <w:spacing w:after="0"/>
              <w:rPr>
                <w:sz w:val="17"/>
                <w:szCs w:val="17"/>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6"/>
                <w:szCs w:val="16"/>
                <w:color w:val="auto"/>
              </w:rPr>
              <w:t>6.3%</w:t>
            </w:r>
          </w:p>
        </w:tc>
        <w:tc>
          <w:tcPr>
            <w:tcW w:w="1680" w:type="dxa"/>
            <w:vAlign w:val="bottom"/>
            <w:gridSpan w:val="3"/>
          </w:tcPr>
          <w:p>
            <w:pPr>
              <w:jc w:val="right"/>
              <w:ind w:right="580"/>
              <w:spacing w:after="0"/>
              <w:rPr>
                <w:sz w:val="20"/>
                <w:szCs w:val="20"/>
                <w:color w:val="auto"/>
              </w:rPr>
            </w:pPr>
            <w:r>
              <w:rPr>
                <w:rFonts w:ascii="Arial" w:cs="Arial" w:eastAsia="Arial" w:hAnsi="Arial"/>
                <w:sz w:val="16"/>
                <w:szCs w:val="16"/>
                <w:color w:val="auto"/>
              </w:rPr>
              <w:t>0 bps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-20 bps</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Coverage of IOLs</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168.5%</w:t>
            </w: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163.8%</w:t>
            </w:r>
          </w:p>
        </w:tc>
        <w:tc>
          <w:tcPr>
            <w:tcW w:w="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182.9%</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1910 bps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1440 bps</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Coverage of NPLs</w:t>
            </w:r>
          </w:p>
        </w:tc>
        <w:tc>
          <w:tcPr>
            <w:tcW w:w="1240" w:type="dxa"/>
            <w:vAlign w:val="bottom"/>
            <w:gridSpan w:val="3"/>
          </w:tcPr>
          <w:p>
            <w:pPr>
              <w:jc w:val="right"/>
              <w:ind w:right="100"/>
              <w:spacing w:after="0"/>
              <w:rPr>
                <w:sz w:val="20"/>
                <w:szCs w:val="20"/>
                <w:color w:val="auto"/>
              </w:rPr>
            </w:pPr>
            <w:r>
              <w:rPr>
                <w:rFonts w:ascii="Arial" w:cs="Arial" w:eastAsia="Arial" w:hAnsi="Arial"/>
                <w:sz w:val="16"/>
                <w:szCs w:val="16"/>
                <w:color w:val="auto"/>
              </w:rPr>
              <w:t>138.2%</w:t>
            </w:r>
          </w:p>
        </w:tc>
        <w:tc>
          <w:tcPr>
            <w:tcW w:w="10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139.2%</w:t>
            </w:r>
          </w:p>
        </w:tc>
        <w:tc>
          <w:tcPr>
            <w:tcW w:w="60" w:type="dxa"/>
            <w:vAlign w:val="bottom"/>
          </w:tcPr>
          <w:p>
            <w:pPr>
              <w:spacing w:after="0"/>
              <w:rPr>
                <w:sz w:val="17"/>
                <w:szCs w:val="17"/>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6"/>
                <w:szCs w:val="16"/>
                <w:color w:val="auto"/>
              </w:rPr>
              <w:t>156.7%</w:t>
            </w:r>
          </w:p>
        </w:tc>
        <w:tc>
          <w:tcPr>
            <w:tcW w:w="1680" w:type="dxa"/>
            <w:vAlign w:val="bottom"/>
            <w:gridSpan w:val="3"/>
          </w:tcPr>
          <w:p>
            <w:pPr>
              <w:jc w:val="right"/>
              <w:ind w:right="580"/>
              <w:spacing w:after="0"/>
              <w:rPr>
                <w:sz w:val="20"/>
                <w:szCs w:val="20"/>
                <w:color w:val="auto"/>
              </w:rPr>
            </w:pPr>
            <w:r>
              <w:rPr>
                <w:rFonts w:ascii="Arial" w:cs="Arial" w:eastAsia="Arial" w:hAnsi="Arial"/>
                <w:sz w:val="16"/>
                <w:szCs w:val="16"/>
                <w:color w:val="auto"/>
              </w:rPr>
              <w:t>1750 bps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1850 bps</w:t>
            </w:r>
          </w:p>
        </w:tc>
      </w:tr>
      <w:tr>
        <w:trPr>
          <w:trHeight w:val="240"/>
        </w:trPr>
        <w:tc>
          <w:tcPr>
            <w:tcW w:w="4620" w:type="dxa"/>
            <w:vAlign w:val="bottom"/>
            <w:gridSpan w:val="2"/>
            <w:shd w:val="clear" w:color="auto" w:fill="CCEEFF"/>
          </w:tcPr>
          <w:p>
            <w:pPr>
              <w:spacing w:after="0" w:line="240" w:lineRule="exact"/>
              <w:rPr>
                <w:sz w:val="20"/>
                <w:szCs w:val="20"/>
                <w:color w:val="auto"/>
              </w:rPr>
            </w:pPr>
            <w:r>
              <w:rPr>
                <w:rFonts w:ascii="Arial" w:cs="Arial" w:eastAsia="Arial" w:hAnsi="Arial"/>
                <w:sz w:val="16"/>
                <w:szCs w:val="16"/>
                <w:color w:val="auto"/>
              </w:rPr>
              <w:t xml:space="preserve">Branches </w:t>
            </w:r>
            <w:r>
              <w:rPr>
                <w:rFonts w:ascii="Arial" w:cs="Arial" w:eastAsia="Arial" w:hAnsi="Arial"/>
                <w:sz w:val="26"/>
                <w:szCs w:val="26"/>
                <w:color w:val="auto"/>
                <w:vertAlign w:val="superscript"/>
              </w:rPr>
              <w:t>(2)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r>
      <w:tr>
        <w:trPr>
          <w:trHeight w:val="205"/>
        </w:trPr>
        <w:tc>
          <w:tcPr>
            <w:tcW w:w="4620" w:type="dxa"/>
            <w:vAlign w:val="bottom"/>
            <w:gridSpan w:val="2"/>
          </w:tcPr>
          <w:p>
            <w:pPr>
              <w:spacing w:after="0"/>
              <w:rPr>
                <w:sz w:val="20"/>
                <w:szCs w:val="20"/>
                <w:color w:val="auto"/>
              </w:rPr>
            </w:pPr>
            <w:r>
              <w:rPr>
                <w:rFonts w:ascii="Arial" w:cs="Arial" w:eastAsia="Arial" w:hAnsi="Arial"/>
                <w:sz w:val="16"/>
                <w:szCs w:val="16"/>
                <w:color w:val="auto"/>
              </w:rPr>
              <w:t>Employees</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10,699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11,553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11,656</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957</w:t>
            </w:r>
          </w:p>
        </w:tc>
      </w:tr>
    </w:tbl>
    <w:p>
      <w:pPr>
        <w:spacing w:after="0" w:line="195" w:lineRule="exact"/>
        <w:rPr>
          <w:sz w:val="20"/>
          <w:szCs w:val="20"/>
          <w:color w:val="auto"/>
        </w:rPr>
      </w:pPr>
    </w:p>
    <w:p>
      <w:pPr>
        <w:ind w:left="260" w:hanging="253"/>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Figures differ than previously reported, consider the data presented in this report.</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Banco de la Nacion branches, which in March 19 were 35, in December 19 were 35 and in March 20 were 35...</w:t>
      </w:r>
    </w:p>
    <w:p>
      <w:pPr>
        <w:spacing w:after="0" w:line="200" w:lineRule="exact"/>
        <w:rPr>
          <w:sz w:val="20"/>
          <w:szCs w:val="20"/>
          <w:color w:val="auto"/>
        </w:rPr>
      </w:pPr>
    </w:p>
    <w:p>
      <w:pPr>
        <w:spacing w:after="0" w:line="22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11.4. BCP Bolivia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BOLIVIA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3"/>
          </w:tcPr>
          <w:p>
            <w:pPr>
              <w:ind w:left="380"/>
              <w:spacing w:after="0"/>
              <w:rPr>
                <w:sz w:val="20"/>
                <w:szCs w:val="20"/>
                <w:color w:val="auto"/>
              </w:rPr>
            </w:pPr>
            <w:r>
              <w:rPr>
                <w:rFonts w:ascii="Arial" w:cs="Arial" w:eastAsia="Arial" w:hAnsi="Arial"/>
                <w:sz w:val="16"/>
                <w:szCs w:val="16"/>
                <w:b w:val="1"/>
                <w:bCs w:val="1"/>
                <w:color w:val="auto"/>
              </w:rPr>
              <w:t>As of</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3"/>
          </w:tcPr>
          <w:p>
            <w:pPr>
              <w:ind w:left="900"/>
              <w:spacing w:after="0"/>
              <w:rPr>
                <w:sz w:val="20"/>
                <w:szCs w:val="20"/>
                <w:color w:val="auto"/>
              </w:rPr>
            </w:pPr>
            <w:r>
              <w:rPr>
                <w:rFonts w:ascii="Arial" w:cs="Arial" w:eastAsia="Arial" w:hAnsi="Arial"/>
                <w:sz w:val="16"/>
                <w:szCs w:val="16"/>
                <w:b w:val="1"/>
                <w:bCs w:val="1"/>
                <w:color w:val="auto"/>
              </w:rPr>
              <w:t>% change</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1"/>
        </w:trPr>
        <w:tc>
          <w:tcPr>
            <w:tcW w:w="4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4"/>
          </w:tcPr>
          <w:p>
            <w:pPr>
              <w:ind w:left="320"/>
              <w:spacing w:after="0"/>
              <w:rPr>
                <w:sz w:val="20"/>
                <w:szCs w:val="20"/>
                <w:color w:val="auto"/>
              </w:rPr>
            </w:pPr>
            <w:r>
              <w:rPr>
                <w:rFonts w:ascii="Arial" w:cs="Arial" w:eastAsia="Arial" w:hAnsi="Arial"/>
                <w:sz w:val="16"/>
                <w:szCs w:val="16"/>
                <w:b w:val="1"/>
                <w:bCs w:val="1"/>
                <w:color w:val="auto"/>
              </w:rPr>
              <w:t>Mar 19</w:t>
            </w:r>
          </w:p>
        </w:tc>
        <w:tc>
          <w:tcPr>
            <w:tcW w:w="132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Dec 19</w:t>
            </w:r>
          </w:p>
        </w:tc>
        <w:tc>
          <w:tcPr>
            <w:tcW w:w="13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Mar 20</w:t>
            </w:r>
          </w:p>
        </w:tc>
        <w:tc>
          <w:tcPr>
            <w:tcW w:w="1680" w:type="dxa"/>
            <w:vAlign w:val="bottom"/>
            <w:gridSpan w:val="3"/>
          </w:tcPr>
          <w:p>
            <w:pPr>
              <w:ind w:left="380"/>
              <w:spacing w:after="0"/>
              <w:rPr>
                <w:sz w:val="20"/>
                <w:szCs w:val="20"/>
                <w:color w:val="auto"/>
              </w:rPr>
            </w:pPr>
            <w:r>
              <w:rPr>
                <w:rFonts w:ascii="Arial" w:cs="Arial" w:eastAsia="Arial" w:hAnsi="Arial"/>
                <w:sz w:val="16"/>
                <w:szCs w:val="16"/>
                <w:b w:val="1"/>
                <w:bCs w:val="1"/>
                <w:color w:val="auto"/>
              </w:rPr>
              <w:t>QoQ</w:t>
            </w:r>
          </w:p>
        </w:tc>
        <w:tc>
          <w:tcPr>
            <w:tcW w:w="9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YoY</w:t>
            </w:r>
          </w:p>
        </w:tc>
      </w:tr>
      <w:tr>
        <w:trPr>
          <w:trHeight w:val="196"/>
        </w:trPr>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Cash and due from banks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1,170,662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1,641,784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2,080,341</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26.7%</w:t>
            </w:r>
          </w:p>
        </w:tc>
        <w:tc>
          <w:tcPr>
            <w:tcW w:w="30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77.7%</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1,467,974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1,267,785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1,406,483</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10.9%</w:t>
            </w:r>
          </w:p>
        </w:tc>
        <w:tc>
          <w:tcPr>
            <w:tcW w:w="3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Total loans</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7,275,812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7,619,923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7,945,254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4.3%</w:t>
            </w:r>
          </w:p>
        </w:tc>
        <w:tc>
          <w:tcPr>
            <w:tcW w:w="3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b w:val="1"/>
                <w:bCs w:val="1"/>
                <w:color w:val="auto"/>
              </w:rPr>
              <w:t>9.2%</w:t>
            </w:r>
          </w:p>
        </w:tc>
      </w:tr>
      <w:tr>
        <w:trPr>
          <w:trHeight w:val="200"/>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Current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7,095,956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7,464,400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7,775,930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w:t>
            </w:r>
          </w:p>
        </w:tc>
        <w:tc>
          <w:tcPr>
            <w:tcW w:w="3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9.6%</w:t>
            </w:r>
          </w:p>
        </w:tc>
      </w:tr>
      <w:tr>
        <w:trPr>
          <w:trHeight w:val="200"/>
        </w:trPr>
        <w:tc>
          <w:tcPr>
            <w:tcW w:w="4620" w:type="dxa"/>
            <w:vAlign w:val="bottom"/>
            <w:gridSpan w:val="2"/>
          </w:tcPr>
          <w:p>
            <w:pPr>
              <w:ind w:left="160"/>
              <w:spacing w:after="0"/>
              <w:rPr>
                <w:sz w:val="20"/>
                <w:szCs w:val="20"/>
                <w:color w:val="auto"/>
              </w:rPr>
            </w:pPr>
            <w:r>
              <w:rPr>
                <w:rFonts w:ascii="Arial" w:cs="Arial" w:eastAsia="Arial" w:hAnsi="Arial"/>
                <w:sz w:val="16"/>
                <w:szCs w:val="16"/>
                <w:color w:val="auto"/>
              </w:rPr>
              <w:t>Internal overdue loans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155,155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133,219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147,421</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10.7%</w:t>
            </w:r>
          </w:p>
        </w:tc>
        <w:tc>
          <w:tcPr>
            <w:tcW w:w="30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-5.0%</w:t>
            </w:r>
          </w:p>
        </w:tc>
      </w:tr>
      <w:tr>
        <w:trPr>
          <w:trHeight w:val="200"/>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Refinanced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24,701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22,303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21,903</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w:t>
            </w:r>
          </w:p>
        </w:tc>
        <w:tc>
          <w:tcPr>
            <w:tcW w:w="3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r>
      <w:tr>
        <w:trPr>
          <w:trHeight w:val="200"/>
        </w:trPr>
        <w:tc>
          <w:tcPr>
            <w:tcW w:w="4620" w:type="dxa"/>
            <w:vAlign w:val="bottom"/>
            <w:gridSpan w:val="2"/>
          </w:tcPr>
          <w:p>
            <w:pPr>
              <w:ind w:left="160"/>
              <w:spacing w:after="0"/>
              <w:rPr>
                <w:sz w:val="20"/>
                <w:szCs w:val="20"/>
                <w:color w:val="auto"/>
              </w:rPr>
            </w:pPr>
            <w:r>
              <w:rPr>
                <w:rFonts w:ascii="Arial" w:cs="Arial" w:eastAsia="Arial" w:hAnsi="Arial"/>
                <w:sz w:val="16"/>
                <w:szCs w:val="16"/>
                <w:color w:val="auto"/>
              </w:rPr>
              <w:t>Allowance for loan losses</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(235,077)</w:t>
            </w:r>
          </w:p>
        </w:tc>
        <w:tc>
          <w:tcPr>
            <w:tcW w:w="6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(231,885)</w:t>
            </w:r>
          </w:p>
        </w:tc>
        <w:tc>
          <w:tcPr>
            <w:tcW w:w="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(263,746)</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13.7%</w:t>
            </w:r>
          </w:p>
        </w:tc>
        <w:tc>
          <w:tcPr>
            <w:tcW w:w="30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12.2%</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loans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7,040,735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7,388,038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7,681,508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4.0%</w:t>
            </w:r>
          </w:p>
        </w:tc>
        <w:tc>
          <w:tcPr>
            <w:tcW w:w="3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9.1%</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Property, plant and equipment, net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45,074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49,297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51,639</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4.7%</w:t>
            </w:r>
          </w:p>
        </w:tc>
        <w:tc>
          <w:tcPr>
            <w:tcW w:w="30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14.6%</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123,197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134,024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138,720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w:t>
            </w:r>
          </w:p>
        </w:tc>
        <w:tc>
          <w:tcPr>
            <w:tcW w:w="3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12.6%</w:t>
            </w:r>
          </w:p>
        </w:tc>
      </w:tr>
      <w:tr>
        <w:trPr>
          <w:trHeight w:val="200"/>
        </w:trPr>
        <w:tc>
          <w:tcPr>
            <w:tcW w:w="4620" w:type="dxa"/>
            <w:vAlign w:val="bottom"/>
            <w:gridSpan w:val="2"/>
          </w:tcPr>
          <w:p>
            <w:pPr>
              <w:ind w:left="1860"/>
              <w:spacing w:after="0"/>
              <w:rPr>
                <w:sz w:val="20"/>
                <w:szCs w:val="20"/>
                <w:color w:val="auto"/>
              </w:rPr>
            </w:pPr>
            <w:r>
              <w:rPr>
                <w:rFonts w:ascii="Arial" w:cs="Arial" w:eastAsia="Arial" w:hAnsi="Arial"/>
                <w:sz w:val="16"/>
                <w:szCs w:val="16"/>
                <w:b w:val="1"/>
                <w:bCs w:val="1"/>
                <w:color w:val="auto"/>
              </w:rPr>
              <w:t>Total assets</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9,847,642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10,480,928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11,358,690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8.4%</w:t>
            </w:r>
          </w:p>
        </w:tc>
        <w:tc>
          <w:tcPr>
            <w:tcW w:w="3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b w:val="1"/>
                <w:bCs w:val="1"/>
                <w:color w:val="auto"/>
              </w:rPr>
              <w:t>15.3%</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 AND NET SHAREHOLDERS' EQUITY</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Deposits and obligations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8,728,073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8,965,776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9,769,903</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9.0%</w:t>
            </w:r>
          </w:p>
        </w:tc>
        <w:tc>
          <w:tcPr>
            <w:tcW w:w="30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11.9%</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to banks and correspondents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29,034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42,435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55,691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31.2%</w:t>
            </w:r>
          </w:p>
        </w:tc>
        <w:tc>
          <w:tcPr>
            <w:tcW w:w="3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91.8%</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Bonds and subordinated debt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103,559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103,916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106,703</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2.7%</w:t>
            </w:r>
          </w:p>
        </w:tc>
        <w:tc>
          <w:tcPr>
            <w:tcW w:w="30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3.0%</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320,461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632,328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716,332</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13.3%</w:t>
            </w:r>
          </w:p>
        </w:tc>
        <w:tc>
          <w:tcPr>
            <w:tcW w:w="3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123.5%</w:t>
            </w:r>
          </w:p>
        </w:tc>
      </w:tr>
      <w:tr>
        <w:trPr>
          <w:trHeight w:val="200"/>
        </w:trPr>
        <w:tc>
          <w:tcPr>
            <w:tcW w:w="4620" w:type="dxa"/>
            <w:vAlign w:val="bottom"/>
            <w:gridSpan w:val="2"/>
          </w:tcPr>
          <w:p>
            <w:pPr>
              <w:ind w:left="1740"/>
              <w:spacing w:after="0"/>
              <w:rPr>
                <w:sz w:val="20"/>
                <w:szCs w:val="20"/>
                <w:color w:val="auto"/>
              </w:rPr>
            </w:pPr>
            <w:r>
              <w:rPr>
                <w:rFonts w:ascii="Arial" w:cs="Arial" w:eastAsia="Arial" w:hAnsi="Arial"/>
                <w:sz w:val="16"/>
                <w:szCs w:val="16"/>
                <w:b w:val="1"/>
                <w:bCs w:val="1"/>
                <w:color w:val="auto"/>
              </w:rPr>
              <w:t>Total liabilities</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9,181,126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9,744,455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10,648,630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9.3%</w:t>
            </w:r>
          </w:p>
        </w:tc>
        <w:tc>
          <w:tcPr>
            <w:tcW w:w="3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b w:val="1"/>
                <w:bCs w:val="1"/>
                <w:color w:val="auto"/>
              </w:rPr>
              <w:t>16.0%</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equity</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666,516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736,473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710,060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-3.6%</w:t>
            </w:r>
          </w:p>
        </w:tc>
        <w:tc>
          <w:tcPr>
            <w:tcW w:w="3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6.5%</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NET SHAREHOLDERS' EQUITY</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9,847,642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10,480,928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11,358,690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8.4%</w:t>
            </w:r>
          </w:p>
        </w:tc>
        <w:tc>
          <w:tcPr>
            <w:tcW w:w="3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b w:val="1"/>
                <w:bCs w:val="1"/>
                <w:color w:val="auto"/>
              </w:rPr>
              <w:t>15.3%</w:t>
            </w:r>
          </w:p>
        </w:tc>
      </w:tr>
      <w:tr>
        <w:trPr>
          <w:trHeight w:val="20"/>
        </w:trPr>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8"/>
        </w:trPr>
        <w:tc>
          <w:tcPr>
            <w:tcW w:w="4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jc w:val="right"/>
              <w:ind w:right="240"/>
              <w:spacing w:after="0"/>
              <w:rPr>
                <w:sz w:val="20"/>
                <w:szCs w:val="20"/>
                <w:color w:val="auto"/>
              </w:rPr>
            </w:pPr>
            <w:r>
              <w:rPr>
                <w:rFonts w:ascii="Arial" w:cs="Arial" w:eastAsia="Arial" w:hAnsi="Arial"/>
                <w:sz w:val="16"/>
                <w:szCs w:val="16"/>
                <w:b w:val="1"/>
                <w:bCs w:val="1"/>
                <w:color w:val="auto"/>
              </w:rPr>
              <w:t>Quarter</w:t>
            </w:r>
          </w:p>
        </w:tc>
        <w:tc>
          <w:tcPr>
            <w:tcW w:w="22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ind w:left="900"/>
              <w:spacing w:after="0"/>
              <w:rPr>
                <w:sz w:val="20"/>
                <w:szCs w:val="20"/>
                <w:color w:val="auto"/>
              </w:rPr>
            </w:pPr>
            <w:r>
              <w:rPr>
                <w:rFonts w:ascii="Arial" w:cs="Arial" w:eastAsia="Arial" w:hAnsi="Arial"/>
                <w:sz w:val="16"/>
                <w:szCs w:val="16"/>
                <w:b w:val="1"/>
                <w:bCs w:val="1"/>
                <w:color w:val="auto"/>
              </w:rPr>
              <w:t>% change</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45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1Q19</w:t>
            </w:r>
          </w:p>
        </w:tc>
        <w:tc>
          <w:tcPr>
            <w:tcW w:w="240" w:type="dxa"/>
            <w:vAlign w:val="bottom"/>
            <w:tcBorders>
              <w:bottom w:val="single" w:sz="8" w:color="CCEEFF"/>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4Q19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1Q20</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QoQ</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gridSpan w:val="2"/>
          </w:tcPr>
          <w:p>
            <w:pPr>
              <w:spacing w:after="0"/>
              <w:rPr>
                <w:sz w:val="18"/>
                <w:szCs w:val="18"/>
                <w:color w:val="auto"/>
              </w:rPr>
            </w:pPr>
          </w:p>
        </w:tc>
      </w:tr>
      <w:tr>
        <w:trPr>
          <w:trHeight w:val="196"/>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Net interest income</w:t>
            </w: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77,694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85,970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86,646</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0.8%</w:t>
            </w:r>
          </w:p>
        </w:tc>
        <w:tc>
          <w:tcPr>
            <w:tcW w:w="3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Provision for loan losses, net of recoveries</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(14,560)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(23,777)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(36,010)</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51.4%</w:t>
            </w:r>
          </w:p>
        </w:tc>
        <w:tc>
          <w:tcPr>
            <w:tcW w:w="30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147.3%</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interest income after provisions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63,134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62,193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50,636</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-18.6%</w:t>
            </w:r>
          </w:p>
        </w:tc>
        <w:tc>
          <w:tcPr>
            <w:tcW w:w="3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-19.8%</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Non-financial income</w:t>
            </w:r>
          </w:p>
        </w:tc>
        <w:tc>
          <w:tcPr>
            <w:tcW w:w="1040" w:type="dxa"/>
            <w:vAlign w:val="bottom"/>
          </w:tcPr>
          <w:p>
            <w:pPr>
              <w:jc w:val="right"/>
              <w:spacing w:after="0"/>
              <w:rPr>
                <w:sz w:val="20"/>
                <w:szCs w:val="20"/>
                <w:color w:val="auto"/>
              </w:rPr>
            </w:pPr>
            <w:r>
              <w:rPr>
                <w:rFonts w:ascii="Arial" w:cs="Arial" w:eastAsia="Arial" w:hAnsi="Arial"/>
                <w:sz w:val="16"/>
                <w:szCs w:val="16"/>
                <w:color w:val="auto"/>
              </w:rPr>
              <w:t>29,012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28,622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26,452</w:t>
            </w:r>
          </w:p>
        </w:tc>
        <w:tc>
          <w:tcPr>
            <w:tcW w:w="22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-7.6%</w:t>
            </w:r>
          </w:p>
        </w:tc>
        <w:tc>
          <w:tcPr>
            <w:tcW w:w="30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-8.8%</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expenses</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(72,995)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(69,055)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(64,025)</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-7.3%</w:t>
            </w:r>
          </w:p>
        </w:tc>
        <w:tc>
          <w:tcPr>
            <w:tcW w:w="3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Translation result</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(27)</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-179.4%</w:t>
            </w:r>
          </w:p>
        </w:tc>
        <w:tc>
          <w:tcPr>
            <w:tcW w:w="30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300.9%</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(6,505)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(6,207)</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-25.3%</w:t>
            </w:r>
          </w:p>
        </w:tc>
        <w:tc>
          <w:tcPr>
            <w:tcW w:w="3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r>
      <w:tr>
        <w:trPr>
          <w:trHeight w:val="211"/>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Net income</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12,640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13,487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6,829</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-49.4%</w:t>
            </w:r>
          </w:p>
        </w:tc>
        <w:tc>
          <w:tcPr>
            <w:tcW w:w="3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b w:val="1"/>
                <w:bCs w:val="1"/>
                <w:color w:val="auto"/>
              </w:rPr>
              <w:t>-46.0%</w:t>
            </w:r>
          </w:p>
        </w:tc>
      </w:tr>
      <w:tr>
        <w:trPr>
          <w:trHeight w:val="196"/>
        </w:trPr>
        <w:tc>
          <w:tcPr>
            <w:tcW w:w="45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Efficiency ratio</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61.8%</w:t>
            </w:r>
          </w:p>
        </w:tc>
        <w:tc>
          <w:tcPr>
            <w:tcW w:w="6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60.1%</w:t>
            </w:r>
          </w:p>
        </w:tc>
        <w:tc>
          <w:tcPr>
            <w:tcW w:w="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57.0%</w:t>
            </w:r>
          </w:p>
        </w:tc>
        <w:tc>
          <w:tcPr>
            <w:tcW w:w="1680" w:type="dxa"/>
            <w:vAlign w:val="bottom"/>
            <w:gridSpan w:val="3"/>
          </w:tcPr>
          <w:p>
            <w:pPr>
              <w:jc w:val="right"/>
              <w:ind w:right="580"/>
              <w:spacing w:after="0"/>
              <w:rPr>
                <w:sz w:val="20"/>
                <w:szCs w:val="20"/>
                <w:color w:val="auto"/>
              </w:rPr>
            </w:pPr>
            <w:r>
              <w:rPr>
                <w:rFonts w:ascii="Arial" w:cs="Arial" w:eastAsia="Arial" w:hAnsi="Arial"/>
                <w:sz w:val="16"/>
                <w:szCs w:val="16"/>
                <w:color w:val="auto"/>
              </w:rPr>
              <w:t>-310 bps</w:t>
            </w: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-480 bps</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ROAE</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7.4%</w:t>
            </w: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w:t>
            </w:r>
          </w:p>
        </w:tc>
        <w:tc>
          <w:tcPr>
            <w:tcW w:w="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-350 bps</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-367 bps</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L/D ratio</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83.4%</w:t>
            </w:r>
          </w:p>
        </w:tc>
        <w:tc>
          <w:tcPr>
            <w:tcW w:w="6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85.0%</w:t>
            </w:r>
          </w:p>
        </w:tc>
        <w:tc>
          <w:tcPr>
            <w:tcW w:w="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81.3%</w:t>
            </w:r>
          </w:p>
        </w:tc>
        <w:tc>
          <w:tcPr>
            <w:tcW w:w="1680" w:type="dxa"/>
            <w:vAlign w:val="bottom"/>
            <w:gridSpan w:val="3"/>
          </w:tcPr>
          <w:p>
            <w:pPr>
              <w:jc w:val="right"/>
              <w:ind w:right="580"/>
              <w:spacing w:after="0"/>
              <w:rPr>
                <w:sz w:val="20"/>
                <w:szCs w:val="20"/>
                <w:color w:val="auto"/>
              </w:rPr>
            </w:pPr>
            <w:r>
              <w:rPr>
                <w:rFonts w:ascii="Arial" w:cs="Arial" w:eastAsia="Arial" w:hAnsi="Arial"/>
                <w:sz w:val="16"/>
                <w:szCs w:val="16"/>
                <w:color w:val="auto"/>
              </w:rPr>
              <w:t>-370 bps</w:t>
            </w: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-204 bps</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IOL ratio</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2.13%</w:t>
            </w: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1.75%</w:t>
            </w:r>
          </w:p>
        </w:tc>
        <w:tc>
          <w:tcPr>
            <w:tcW w:w="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1.86%</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20 bps</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-27 bps</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NPL ratio</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2.47%</w:t>
            </w:r>
          </w:p>
        </w:tc>
        <w:tc>
          <w:tcPr>
            <w:tcW w:w="6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2.04%</w:t>
            </w:r>
          </w:p>
        </w:tc>
        <w:tc>
          <w:tcPr>
            <w:tcW w:w="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2.13%</w:t>
            </w:r>
          </w:p>
        </w:tc>
        <w:tc>
          <w:tcPr>
            <w:tcW w:w="1680" w:type="dxa"/>
            <w:vAlign w:val="bottom"/>
            <w:gridSpan w:val="3"/>
          </w:tcPr>
          <w:p>
            <w:pPr>
              <w:jc w:val="right"/>
              <w:ind w:right="580"/>
              <w:spacing w:after="0"/>
              <w:rPr>
                <w:sz w:val="20"/>
                <w:szCs w:val="20"/>
                <w:color w:val="auto"/>
              </w:rPr>
            </w:pPr>
            <w:r>
              <w:rPr>
                <w:rFonts w:ascii="Arial" w:cs="Arial" w:eastAsia="Arial" w:hAnsi="Arial"/>
                <w:sz w:val="16"/>
                <w:szCs w:val="16"/>
                <w:color w:val="auto"/>
              </w:rPr>
              <w:t>10 bps</w:t>
            </w: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-34 bps</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Coverage of IOLs</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151.5%</w:t>
            </w: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174.1%</w:t>
            </w:r>
          </w:p>
        </w:tc>
        <w:tc>
          <w:tcPr>
            <w:tcW w:w="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178.9%</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480 bps</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2740 bps</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Coverage of NPLs</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130.7%</w:t>
            </w:r>
          </w:p>
        </w:tc>
        <w:tc>
          <w:tcPr>
            <w:tcW w:w="6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149.1%</w:t>
            </w:r>
          </w:p>
        </w:tc>
        <w:tc>
          <w:tcPr>
            <w:tcW w:w="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155.8%</w:t>
            </w:r>
          </w:p>
        </w:tc>
        <w:tc>
          <w:tcPr>
            <w:tcW w:w="1680" w:type="dxa"/>
            <w:vAlign w:val="bottom"/>
            <w:gridSpan w:val="3"/>
          </w:tcPr>
          <w:p>
            <w:pPr>
              <w:jc w:val="right"/>
              <w:ind w:right="580"/>
              <w:spacing w:after="0"/>
              <w:rPr>
                <w:sz w:val="20"/>
                <w:szCs w:val="20"/>
                <w:color w:val="auto"/>
              </w:rPr>
            </w:pPr>
            <w:r>
              <w:rPr>
                <w:rFonts w:ascii="Arial" w:cs="Arial" w:eastAsia="Arial" w:hAnsi="Arial"/>
                <w:sz w:val="16"/>
                <w:szCs w:val="16"/>
                <w:color w:val="auto"/>
              </w:rPr>
              <w:t>670 bps</w:t>
            </w: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2506 bps</w:t>
            </w: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Branches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r>
      <w:tr>
        <w:trPr>
          <w:trHeight w:val="200"/>
        </w:trPr>
        <w:tc>
          <w:tcPr>
            <w:tcW w:w="4620" w:type="dxa"/>
            <w:vAlign w:val="bottom"/>
            <w:gridSpan w:val="2"/>
          </w:tcPr>
          <w:p>
            <w:pPr>
              <w:spacing w:after="0"/>
              <w:rPr>
                <w:sz w:val="20"/>
                <w:szCs w:val="20"/>
                <w:color w:val="auto"/>
              </w:rPr>
            </w:pPr>
            <w:r>
              <w:rPr>
                <w:rFonts w:ascii="Arial" w:cs="Arial" w:eastAsia="Arial" w:hAnsi="Arial"/>
                <w:sz w:val="16"/>
                <w:szCs w:val="16"/>
                <w:color w:val="auto"/>
              </w:rPr>
              <w:t>Agentes</w:t>
            </w:r>
          </w:p>
        </w:tc>
        <w:tc>
          <w:tcPr>
            <w:tcW w:w="1040" w:type="dxa"/>
            <w:vAlign w:val="bottom"/>
          </w:tcPr>
          <w:p>
            <w:pPr>
              <w:jc w:val="right"/>
              <w:spacing w:after="0"/>
              <w:rPr>
                <w:sz w:val="20"/>
                <w:szCs w:val="20"/>
                <w:color w:val="auto"/>
              </w:rPr>
            </w:pPr>
            <w:r>
              <w:rPr>
                <w:rFonts w:ascii="Arial" w:cs="Arial" w:eastAsia="Arial" w:hAnsi="Arial"/>
                <w:sz w:val="16"/>
                <w:szCs w:val="16"/>
                <w:color w:val="auto"/>
              </w:rPr>
              <w:t>363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555</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192</w:t>
            </w:r>
          </w:p>
        </w:tc>
        <w:tc>
          <w:tcPr>
            <w:tcW w:w="140" w:type="dxa"/>
            <w:vAlign w:val="bottom"/>
          </w:tcPr>
          <w:p>
            <w:pPr>
              <w:spacing w:after="0"/>
              <w:rPr>
                <w:sz w:val="17"/>
                <w:szCs w:val="17"/>
                <w:color w:val="auto"/>
              </w:rPr>
            </w:pPr>
          </w:p>
        </w:tc>
      </w:tr>
      <w:tr>
        <w:trPr>
          <w:trHeight w:val="200"/>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ATMs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17"/>
                <w:szCs w:val="17"/>
                <w:color w:val="auto"/>
              </w:rPr>
            </w:pPr>
          </w:p>
        </w:tc>
      </w:tr>
      <w:tr>
        <w:trPr>
          <w:trHeight w:val="211"/>
        </w:trPr>
        <w:tc>
          <w:tcPr>
            <w:tcW w:w="4560" w:type="dxa"/>
            <w:vAlign w:val="bottom"/>
          </w:tcPr>
          <w:p>
            <w:pPr>
              <w:spacing w:after="0"/>
              <w:rPr>
                <w:sz w:val="20"/>
                <w:szCs w:val="20"/>
                <w:color w:val="auto"/>
              </w:rPr>
            </w:pPr>
            <w:r>
              <w:rPr>
                <w:rFonts w:ascii="Arial" w:cs="Arial" w:eastAsia="Arial" w:hAnsi="Arial"/>
                <w:sz w:val="16"/>
                <w:szCs w:val="16"/>
                <w:color w:val="auto"/>
              </w:rPr>
              <w:t>Employees</w:t>
            </w: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85</w:t>
            </w:r>
          </w:p>
        </w:tc>
        <w:tc>
          <w:tcPr>
            <w:tcW w:w="140" w:type="dxa"/>
            <w:vAlign w:val="bottom"/>
          </w:tcPr>
          <w:p>
            <w:pPr>
              <w:spacing w:after="0"/>
              <w:rPr>
                <w:sz w:val="18"/>
                <w:szCs w:val="18"/>
                <w:color w:val="auto"/>
              </w:rPr>
            </w:pPr>
          </w:p>
        </w:tc>
      </w:tr>
    </w:tbl>
    <w:p>
      <w:pPr>
        <w:spacing w:after="0" w:line="200" w:lineRule="exact"/>
        <w:rPr>
          <w:sz w:val="20"/>
          <w:szCs w:val="20"/>
          <w:color w:val="auto"/>
        </w:rPr>
      </w:pPr>
    </w:p>
    <w:p>
      <w:pPr>
        <w:spacing w:after="0" w:line="21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11.5. Credicorp Capital</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80" w:type="dxa"/>
            <w:vAlign w:val="bottom"/>
            <w:gridSpan w:val="2"/>
          </w:tcPr>
          <w:p>
            <w:pPr>
              <w:spacing w:after="0"/>
              <w:rPr>
                <w:sz w:val="20"/>
                <w:szCs w:val="20"/>
                <w:color w:val="auto"/>
              </w:rPr>
            </w:pPr>
            <w:r>
              <w:rPr>
                <w:rFonts w:ascii="Arial" w:cs="Arial" w:eastAsia="Arial" w:hAnsi="Arial"/>
                <w:sz w:val="16"/>
                <w:szCs w:val="16"/>
                <w:b w:val="1"/>
                <w:bCs w:val="1"/>
                <w:color w:val="auto"/>
              </w:rPr>
              <w:t>Credicorp Capital</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Quarter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right"/>
              <w:ind w:right="880"/>
              <w:spacing w:after="0"/>
              <w:rPr>
                <w:sz w:val="20"/>
                <w:szCs w:val="20"/>
                <w:color w:val="auto"/>
              </w:rPr>
            </w:pPr>
            <w:r>
              <w:rPr>
                <w:rFonts w:ascii="Arial" w:cs="Arial" w:eastAsia="Arial" w:hAnsi="Arial"/>
                <w:sz w:val="16"/>
                <w:szCs w:val="16"/>
                <w:b w:val="1"/>
                <w:bCs w:val="1"/>
                <w:color w:val="auto"/>
              </w:rPr>
              <w:t>% change</w:t>
            </w:r>
          </w:p>
        </w:tc>
      </w:tr>
      <w:tr>
        <w:trPr>
          <w:trHeight w:val="210"/>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1Q19</w:t>
            </w:r>
          </w:p>
        </w:tc>
        <w:tc>
          <w:tcPr>
            <w:tcW w:w="20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4Q19</w:t>
            </w:r>
          </w:p>
        </w:tc>
        <w:tc>
          <w:tcPr>
            <w:tcW w:w="22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1Q20</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8"/>
                <w:szCs w:val="18"/>
                <w:color w:val="auto"/>
              </w:rPr>
            </w:pP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Net interest income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-9,091</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-14,922</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-9,443</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0.038719613</w:t>
            </w:r>
          </w:p>
        </w:tc>
        <w:tc>
          <w:tcPr>
            <w:tcW w:w="160" w:type="dxa"/>
            <w:vAlign w:val="bottom"/>
            <w:shd w:val="clear" w:color="auto" w:fill="CCEEFF"/>
          </w:tcPr>
          <w:p>
            <w:pPr>
              <w:spacing w:after="0"/>
              <w:rPr>
                <w:sz w:val="17"/>
                <w:szCs w:val="17"/>
                <w:color w:val="auto"/>
              </w:rPr>
            </w:pPr>
          </w:p>
        </w:tc>
      </w:tr>
      <w:tr>
        <w:trPr>
          <w:trHeight w:val="200"/>
        </w:trPr>
        <w:tc>
          <w:tcPr>
            <w:tcW w:w="5180" w:type="dxa"/>
            <w:vAlign w:val="bottom"/>
            <w:gridSpan w:val="2"/>
          </w:tcPr>
          <w:p>
            <w:pPr>
              <w:spacing w:after="0"/>
              <w:rPr>
                <w:sz w:val="20"/>
                <w:szCs w:val="20"/>
                <w:color w:val="auto"/>
              </w:rPr>
            </w:pPr>
            <w:r>
              <w:rPr>
                <w:rFonts w:ascii="Arial" w:cs="Arial" w:eastAsia="Arial" w:hAnsi="Arial"/>
                <w:sz w:val="16"/>
                <w:szCs w:val="16"/>
                <w:color w:val="auto"/>
              </w:rPr>
              <w:t>Non-financial income</w:t>
            </w:r>
          </w:p>
        </w:tc>
        <w:tc>
          <w:tcPr>
            <w:tcW w:w="1000" w:type="dxa"/>
            <w:vAlign w:val="bottom"/>
          </w:tcPr>
          <w:p>
            <w:pPr>
              <w:jc w:val="right"/>
              <w:spacing w:after="0"/>
              <w:rPr>
                <w:sz w:val="20"/>
                <w:szCs w:val="20"/>
                <w:color w:val="auto"/>
              </w:rPr>
            </w:pPr>
            <w:r>
              <w:rPr>
                <w:rFonts w:ascii="Arial" w:cs="Arial" w:eastAsia="Arial" w:hAnsi="Arial"/>
                <w:sz w:val="16"/>
                <w:szCs w:val="16"/>
                <w:color w:val="auto"/>
              </w:rPr>
              <w:t>151,689</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162,573</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136,964</w:t>
            </w:r>
          </w:p>
        </w:tc>
        <w:tc>
          <w:tcPr>
            <w:tcW w:w="2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-15.8%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-9.7%</w:t>
            </w:r>
          </w:p>
        </w:tc>
      </w:tr>
      <w:tr>
        <w:trPr>
          <w:trHeight w:val="200"/>
        </w:trPr>
        <w:tc>
          <w:tcPr>
            <w:tcW w:w="51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Fee income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94,650</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113,292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104,251</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00"/>
        </w:trPr>
        <w:tc>
          <w:tcPr>
            <w:tcW w:w="5180" w:type="dxa"/>
            <w:vAlign w:val="bottom"/>
            <w:gridSpan w:val="2"/>
          </w:tcPr>
          <w:p>
            <w:pPr>
              <w:ind w:left="160"/>
              <w:spacing w:after="0"/>
              <w:rPr>
                <w:sz w:val="20"/>
                <w:szCs w:val="20"/>
                <w:color w:val="auto"/>
              </w:rPr>
            </w:pPr>
            <w:r>
              <w:rPr>
                <w:rFonts w:ascii="Arial" w:cs="Arial" w:eastAsia="Arial" w:hAnsi="Arial"/>
                <w:sz w:val="16"/>
                <w:szCs w:val="16"/>
                <w:color w:val="auto"/>
              </w:rPr>
              <w:t>Net gain on foreign exchange transactions</w:t>
            </w:r>
          </w:p>
        </w:tc>
        <w:tc>
          <w:tcPr>
            <w:tcW w:w="1000" w:type="dxa"/>
            <w:vAlign w:val="bottom"/>
          </w:tcPr>
          <w:p>
            <w:pPr>
              <w:jc w:val="right"/>
              <w:spacing w:after="0"/>
              <w:rPr>
                <w:sz w:val="20"/>
                <w:szCs w:val="20"/>
                <w:color w:val="auto"/>
              </w:rPr>
            </w:pPr>
            <w:r>
              <w:rPr>
                <w:rFonts w:ascii="Arial" w:cs="Arial" w:eastAsia="Arial" w:hAnsi="Arial"/>
                <w:sz w:val="16"/>
                <w:szCs w:val="16"/>
                <w:color w:val="auto"/>
              </w:rPr>
              <w:t>10,125</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2,746</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1,547</w:t>
            </w:r>
          </w:p>
        </w:tc>
        <w:tc>
          <w:tcPr>
            <w:tcW w:w="2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-43.7%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-84.7%</w:t>
            </w:r>
          </w:p>
        </w:tc>
      </w:tr>
      <w:tr>
        <w:trPr>
          <w:trHeight w:val="200"/>
        </w:trPr>
        <w:tc>
          <w:tcPr>
            <w:tcW w:w="51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Net gain on sales of securities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50,485</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28,974</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-20,475</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-140.6%</w:t>
            </w:r>
          </w:p>
        </w:tc>
      </w:tr>
      <w:tr>
        <w:trPr>
          <w:trHeight w:val="200"/>
        </w:trPr>
        <w:tc>
          <w:tcPr>
            <w:tcW w:w="5180" w:type="dxa"/>
            <w:vAlign w:val="bottom"/>
            <w:gridSpan w:val="2"/>
          </w:tcPr>
          <w:p>
            <w:pPr>
              <w:ind w:left="160"/>
              <w:spacing w:after="0"/>
              <w:rPr>
                <w:sz w:val="20"/>
                <w:szCs w:val="20"/>
                <w:color w:val="auto"/>
              </w:rPr>
            </w:pPr>
            <w:r>
              <w:rPr>
                <w:rFonts w:ascii="Arial" w:cs="Arial" w:eastAsia="Arial" w:hAnsi="Arial"/>
                <w:sz w:val="16"/>
                <w:szCs w:val="16"/>
                <w:color w:val="auto"/>
              </w:rPr>
              <w:t>Derivative Result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-15,470</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11,086</w:t>
            </w:r>
          </w:p>
        </w:tc>
        <w:tc>
          <w:tcPr>
            <w:tcW w:w="1000" w:type="dxa"/>
            <w:vAlign w:val="bottom"/>
          </w:tcPr>
          <w:p>
            <w:pPr>
              <w:jc w:val="right"/>
              <w:spacing w:after="0"/>
              <w:rPr>
                <w:sz w:val="20"/>
                <w:szCs w:val="20"/>
                <w:color w:val="auto"/>
              </w:rPr>
            </w:pPr>
            <w:r>
              <w:rPr>
                <w:rFonts w:ascii="Arial" w:cs="Arial" w:eastAsia="Arial" w:hAnsi="Arial"/>
                <w:sz w:val="16"/>
                <w:szCs w:val="16"/>
                <w:color w:val="auto"/>
              </w:rPr>
              <w:t>43,951</w:t>
            </w:r>
          </w:p>
        </w:tc>
        <w:tc>
          <w:tcPr>
            <w:tcW w:w="2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296.5%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-384.1%</w:t>
            </w:r>
          </w:p>
        </w:tc>
      </w:tr>
      <w:tr>
        <w:trPr>
          <w:trHeight w:val="200"/>
        </w:trPr>
        <w:tc>
          <w:tcPr>
            <w:tcW w:w="51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Result from exposure to the exchange rate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4,947</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-96.6%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-89.9%</w:t>
            </w:r>
          </w:p>
        </w:tc>
      </w:tr>
      <w:tr>
        <w:trPr>
          <w:trHeight w:val="200"/>
        </w:trPr>
        <w:tc>
          <w:tcPr>
            <w:tcW w:w="5180" w:type="dxa"/>
            <w:vAlign w:val="bottom"/>
            <w:gridSpan w:val="2"/>
          </w:tcPr>
          <w:p>
            <w:pPr>
              <w:ind w:left="160"/>
              <w:spacing w:after="0"/>
              <w:rPr>
                <w:sz w:val="20"/>
                <w:szCs w:val="20"/>
                <w:color w:val="auto"/>
              </w:rPr>
            </w:pPr>
            <w:r>
              <w:rPr>
                <w:rFonts w:ascii="Arial" w:cs="Arial" w:eastAsia="Arial" w:hAnsi="Arial"/>
                <w:sz w:val="16"/>
                <w:szCs w:val="16"/>
                <w:color w:val="auto"/>
              </w:rPr>
              <w:t>Other income</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10,211</w:t>
            </w:r>
          </w:p>
        </w:tc>
        <w:tc>
          <w:tcPr>
            <w:tcW w:w="1000" w:type="dxa"/>
            <w:vAlign w:val="bottom"/>
          </w:tcPr>
          <w:p>
            <w:pPr>
              <w:jc w:val="right"/>
              <w:spacing w:after="0"/>
              <w:rPr>
                <w:sz w:val="20"/>
                <w:szCs w:val="20"/>
                <w:color w:val="auto"/>
              </w:rPr>
            </w:pPr>
            <w:r>
              <w:rPr>
                <w:rFonts w:ascii="Arial" w:cs="Arial" w:eastAsia="Arial" w:hAnsi="Arial"/>
                <w:sz w:val="16"/>
                <w:szCs w:val="16"/>
                <w:color w:val="auto"/>
              </w:rPr>
              <w:t>1,528</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7,520</w:t>
            </w:r>
          </w:p>
        </w:tc>
        <w:tc>
          <w:tcPr>
            <w:tcW w:w="2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392.1%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-26.4%</w:t>
            </w:r>
          </w:p>
        </w:tc>
      </w:tr>
      <w:tr>
        <w:trPr>
          <w:trHeight w:val="254"/>
        </w:trPr>
        <w:tc>
          <w:tcPr>
            <w:tcW w:w="5180" w:type="dxa"/>
            <w:vAlign w:val="bottom"/>
            <w:gridSpan w:val="2"/>
            <w:shd w:val="clear" w:color="auto" w:fill="CCEEFF"/>
          </w:tcPr>
          <w:p>
            <w:pPr>
              <w:spacing w:after="0" w:line="253" w:lineRule="exact"/>
              <w:rPr>
                <w:sz w:val="20"/>
                <w:szCs w:val="20"/>
                <w:color w:val="auto"/>
              </w:rPr>
            </w:pPr>
            <w:r>
              <w:rPr>
                <w:rFonts w:ascii="Arial" w:cs="Arial" w:eastAsia="Arial" w:hAnsi="Arial"/>
                <w:sz w:val="16"/>
                <w:szCs w:val="16"/>
                <w:color w:val="auto"/>
              </w:rPr>
              <w:t xml:space="preserve">Operating expenses </w:t>
            </w:r>
            <w:r>
              <w:rPr>
                <w:rFonts w:ascii="Arial" w:cs="Arial" w:eastAsia="Arial" w:hAnsi="Arial"/>
                <w:sz w:val="26"/>
                <w:szCs w:val="26"/>
                <w:color w:val="auto"/>
                <w:vertAlign w:val="superscript"/>
              </w:rPr>
              <w:t>(1)</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-122,277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-139,549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-124,830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193"/>
        </w:trPr>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20,321</w:t>
            </w:r>
          </w:p>
        </w:tc>
        <w:tc>
          <w:tcPr>
            <w:tcW w:w="20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8,102</w:t>
            </w:r>
          </w:p>
        </w:tc>
        <w:tc>
          <w:tcPr>
            <w:tcW w:w="22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2,691</w:t>
            </w:r>
          </w:p>
        </w:tc>
        <w:tc>
          <w:tcPr>
            <w:tcW w:w="22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-66.8</w:t>
            </w:r>
          </w:p>
        </w:tc>
        <w:tc>
          <w:tcPr>
            <w:tcW w:w="2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w w:val="9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-86.8</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98"/>
              </w:rPr>
              <w:t>%</w:t>
            </w:r>
          </w:p>
        </w:tc>
      </w:tr>
      <w:tr>
        <w:trPr>
          <w:trHeight w:val="193"/>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-3,396</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-51.6%</w:t>
            </w:r>
          </w:p>
        </w:tc>
      </w:tr>
      <w:tr>
        <w:trPr>
          <w:trHeight w:val="211"/>
        </w:trPr>
        <w:tc>
          <w:tcPr>
            <w:tcW w:w="5180" w:type="dxa"/>
            <w:vAlign w:val="bottom"/>
            <w:gridSpan w:val="2"/>
          </w:tcPr>
          <w:p>
            <w:pPr>
              <w:spacing w:after="0"/>
              <w:rPr>
                <w:sz w:val="20"/>
                <w:szCs w:val="20"/>
                <w:color w:val="auto"/>
              </w:rPr>
            </w:pPr>
            <w:r>
              <w:rPr>
                <w:rFonts w:ascii="Arial" w:cs="Arial" w:eastAsia="Arial" w:hAnsi="Arial"/>
                <w:sz w:val="16"/>
                <w:szCs w:val="16"/>
                <w:color w:val="auto"/>
              </w:rPr>
              <w:t>Non-controlling interest</w:t>
            </w:r>
          </w:p>
        </w:tc>
        <w:tc>
          <w:tcPr>
            <w:tcW w:w="1000" w:type="dxa"/>
            <w:vAlign w:val="bottom"/>
          </w:tcPr>
          <w:p>
            <w:pPr>
              <w:jc w:val="right"/>
              <w:spacing w:after="0"/>
              <w:rPr>
                <w:sz w:val="20"/>
                <w:szCs w:val="20"/>
                <w:color w:val="auto"/>
              </w:rPr>
            </w:pPr>
            <w:r>
              <w:rPr>
                <w:rFonts w:ascii="Arial" w:cs="Arial" w:eastAsia="Arial" w:hAnsi="Arial"/>
                <w:sz w:val="16"/>
                <w:szCs w:val="16"/>
                <w:color w:val="auto"/>
              </w:rPr>
              <w:t>152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-56.8%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-78.9%</w:t>
            </w:r>
          </w:p>
        </w:tc>
      </w:tr>
      <w:tr>
        <w:trPr>
          <w:trHeight w:val="196"/>
        </w:trPr>
        <w:tc>
          <w:tcPr>
            <w:tcW w:w="5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15,419</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4,632</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358</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-92.3</w:t>
            </w:r>
          </w:p>
        </w:tc>
        <w:tc>
          <w:tcPr>
            <w:tcW w:w="2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Unaudited results.</w:t>
      </w:r>
    </w:p>
    <w:p>
      <w:pPr>
        <w:spacing w:after="0" w:line="19" w:lineRule="exact"/>
        <w:rPr>
          <w:sz w:val="20"/>
          <w:szCs w:val="20"/>
          <w:color w:val="auto"/>
        </w:rPr>
      </w:pPr>
    </w:p>
    <w:p>
      <w:pPr>
        <w:ind w:right="240" w:firstLine="7"/>
        <w:spacing w:after="0" w:line="255" w:lineRule="auto"/>
        <w:tabs>
          <w:tab w:leader="none" w:pos="2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spacing w:after="0" w:line="200" w:lineRule="exact"/>
        <w:rPr>
          <w:sz w:val="20"/>
          <w:szCs w:val="20"/>
          <w:color w:val="auto"/>
        </w:rPr>
      </w:pPr>
    </w:p>
    <w:p>
      <w:pPr>
        <w:spacing w:after="0" w:line="20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11.6. Atlantic Security Bank</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60" w:type="dxa"/>
            <w:vAlign w:val="bottom"/>
            <w:gridSpan w:val="2"/>
          </w:tcPr>
          <w:p>
            <w:pPr>
              <w:spacing w:after="0"/>
              <w:rPr>
                <w:sz w:val="20"/>
                <w:szCs w:val="20"/>
                <w:color w:val="auto"/>
              </w:rPr>
            </w:pPr>
            <w:r>
              <w:rPr>
                <w:rFonts w:ascii="Arial" w:cs="Arial" w:eastAsia="Arial" w:hAnsi="Arial"/>
                <w:sz w:val="16"/>
                <w:szCs w:val="16"/>
                <w:b w:val="1"/>
                <w:bCs w:val="1"/>
                <w:color w:val="auto"/>
              </w:rPr>
              <w:t>ASB</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Quarter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US$ Millions</w:t>
            </w:r>
          </w:p>
        </w:tc>
        <w:tc>
          <w:tcPr>
            <w:tcW w:w="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1Q19</w:t>
            </w:r>
          </w:p>
        </w:tc>
        <w:tc>
          <w:tcPr>
            <w:tcW w:w="1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4Q19</w:t>
            </w:r>
          </w:p>
        </w:tc>
        <w:tc>
          <w:tcPr>
            <w:tcW w:w="14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1Q20</w:t>
            </w:r>
          </w:p>
        </w:tc>
        <w:tc>
          <w:tcPr>
            <w:tcW w:w="14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QoQ</w:t>
            </w:r>
          </w:p>
        </w:tc>
        <w:tc>
          <w:tcPr>
            <w:tcW w:w="2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YoY</w:t>
            </w:r>
          </w:p>
        </w:tc>
        <w:tc>
          <w:tcPr>
            <w:tcW w:w="140" w:type="dxa"/>
            <w:vAlign w:val="bottom"/>
            <w:tcBorders>
              <w:bottom w:val="single" w:sz="8" w:color="CCEEFF"/>
            </w:tcBorders>
          </w:tcPr>
          <w:p>
            <w:pPr>
              <w:spacing w:after="0"/>
              <w:rPr>
                <w:sz w:val="18"/>
                <w:szCs w:val="18"/>
                <w:color w:val="auto"/>
              </w:rPr>
            </w:pPr>
          </w:p>
        </w:tc>
      </w:tr>
      <w:tr>
        <w:trPr>
          <w:trHeight w:val="196"/>
        </w:trPr>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Total loans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732.3</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723.8</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765.0</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0"/>
        </w:trPr>
        <w:tc>
          <w:tcPr>
            <w:tcW w:w="2960" w:type="dxa"/>
            <w:vAlign w:val="bottom"/>
            <w:gridSpan w:val="2"/>
          </w:tcPr>
          <w:p>
            <w:pPr>
              <w:spacing w:after="0"/>
              <w:rPr>
                <w:sz w:val="20"/>
                <w:szCs w:val="20"/>
                <w:color w:val="auto"/>
              </w:rPr>
            </w:pPr>
            <w:r>
              <w:rPr>
                <w:rFonts w:ascii="Arial" w:cs="Arial" w:eastAsia="Arial" w:hAnsi="Arial"/>
                <w:sz w:val="16"/>
                <w:szCs w:val="16"/>
                <w:color w:val="auto"/>
              </w:rPr>
              <w:t>Total investments</w:t>
            </w:r>
          </w:p>
        </w:tc>
        <w:tc>
          <w:tcPr>
            <w:tcW w:w="600" w:type="dxa"/>
            <w:vAlign w:val="bottom"/>
          </w:tcPr>
          <w:p>
            <w:pPr>
              <w:jc w:val="right"/>
              <w:spacing w:after="0"/>
              <w:rPr>
                <w:sz w:val="20"/>
                <w:szCs w:val="20"/>
                <w:color w:val="auto"/>
              </w:rPr>
            </w:pPr>
            <w:r>
              <w:rPr>
                <w:rFonts w:ascii="Arial" w:cs="Arial" w:eastAsia="Arial" w:hAnsi="Arial"/>
                <w:sz w:val="16"/>
                <w:szCs w:val="16"/>
                <w:color w:val="auto"/>
              </w:rPr>
              <w:t>899.7</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747.2</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782.7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-13.0%</w:t>
            </w:r>
          </w:p>
        </w:tc>
      </w:tr>
      <w:tr>
        <w:trPr>
          <w:trHeight w:val="200"/>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1,982.0</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1,694.1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1,903.4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0"/>
        </w:trPr>
        <w:tc>
          <w:tcPr>
            <w:tcW w:w="2960" w:type="dxa"/>
            <w:vAlign w:val="bottom"/>
            <w:gridSpan w:val="2"/>
          </w:tcPr>
          <w:p>
            <w:pPr>
              <w:spacing w:after="0"/>
              <w:rPr>
                <w:sz w:val="20"/>
                <w:szCs w:val="20"/>
                <w:color w:val="auto"/>
              </w:rPr>
            </w:pPr>
            <w:r>
              <w:rPr>
                <w:rFonts w:ascii="Arial" w:cs="Arial" w:eastAsia="Arial" w:hAnsi="Arial"/>
                <w:sz w:val="16"/>
                <w:szCs w:val="16"/>
                <w:color w:val="auto"/>
              </w:rPr>
              <w:t>Total deposits</w:t>
            </w:r>
          </w:p>
        </w:tc>
        <w:tc>
          <w:tcPr>
            <w:tcW w:w="600" w:type="dxa"/>
            <w:vAlign w:val="bottom"/>
          </w:tcPr>
          <w:p>
            <w:pPr>
              <w:jc w:val="right"/>
              <w:spacing w:after="0"/>
              <w:rPr>
                <w:sz w:val="20"/>
                <w:szCs w:val="20"/>
                <w:color w:val="auto"/>
              </w:rPr>
            </w:pPr>
            <w:r>
              <w:rPr>
                <w:rFonts w:ascii="Arial" w:cs="Arial" w:eastAsia="Arial" w:hAnsi="Arial"/>
                <w:sz w:val="16"/>
                <w:szCs w:val="16"/>
                <w:color w:val="auto"/>
              </w:rPr>
              <w:t>1,258.3</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1,320.2</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1,418.3</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12.7%</w:t>
            </w:r>
          </w:p>
        </w:tc>
      </w:tr>
      <w:tr>
        <w:trPr>
          <w:trHeight w:val="213"/>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shareholder's equity</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195.9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193"/>
        </w:trPr>
        <w:tc>
          <w:tcPr>
            <w:tcW w:w="2960" w:type="dxa"/>
            <w:vAlign w:val="bottom"/>
            <w:gridSpan w:val="2"/>
          </w:tcPr>
          <w:p>
            <w:pPr>
              <w:spacing w:after="0"/>
              <w:rPr>
                <w:sz w:val="20"/>
                <w:szCs w:val="20"/>
                <w:color w:val="auto"/>
              </w:rPr>
            </w:pPr>
            <w:r>
              <w:rPr>
                <w:rFonts w:ascii="Arial" w:cs="Arial" w:eastAsia="Arial" w:hAnsi="Arial"/>
                <w:sz w:val="16"/>
                <w:szCs w:val="16"/>
                <w:b w:val="1"/>
                <w:bCs w:val="1"/>
                <w:color w:val="auto"/>
              </w:rPr>
              <w:t>Net income</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w:t>
            </w:r>
          </w:p>
        </w:tc>
        <w:tc>
          <w:tcPr>
            <w:tcW w:w="12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w:t>
            </w:r>
          </w:p>
        </w:tc>
        <w:tc>
          <w:tcPr>
            <w:tcW w:w="14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w:t>
            </w:r>
          </w:p>
        </w:tc>
        <w:tc>
          <w:tcPr>
            <w:tcW w:w="14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w w:val="9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4"/>
              </w:rPr>
              <w:t>%</w:t>
            </w:r>
          </w:p>
        </w:tc>
      </w:tr>
      <w:tr>
        <w:trPr>
          <w:trHeight w:val="419"/>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3"/>
        </w:trPr>
        <w:tc>
          <w:tcPr>
            <w:tcW w:w="2960" w:type="dxa"/>
            <w:vAlign w:val="bottom"/>
            <w:gridSpan w:val="2"/>
          </w:tcPr>
          <w:p>
            <w:pPr>
              <w:spacing w:after="0"/>
              <w:rPr>
                <w:sz w:val="20"/>
                <w:szCs w:val="20"/>
                <w:color w:val="auto"/>
              </w:rPr>
            </w:pPr>
            <w:r>
              <w:rPr>
                <w:rFonts w:ascii="Arial" w:cs="Arial" w:eastAsia="Arial" w:hAnsi="Arial"/>
                <w:sz w:val="16"/>
                <w:szCs w:val="16"/>
                <w:b w:val="1"/>
                <w:bCs w:val="1"/>
                <w:color w:val="auto"/>
              </w:rPr>
              <w:t>Interest earning assets*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Quarter</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US$ 000</w:t>
            </w:r>
          </w:p>
        </w:tc>
        <w:tc>
          <w:tcPr>
            <w:tcW w:w="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1Q19</w:t>
            </w:r>
          </w:p>
        </w:tc>
        <w:tc>
          <w:tcPr>
            <w:tcW w:w="1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4Q19</w:t>
            </w:r>
          </w:p>
        </w:tc>
        <w:tc>
          <w:tcPr>
            <w:tcW w:w="14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1Q20</w:t>
            </w:r>
          </w:p>
        </w:tc>
        <w:tc>
          <w:tcPr>
            <w:tcW w:w="14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QoQ</w:t>
            </w:r>
          </w:p>
        </w:tc>
        <w:tc>
          <w:tcPr>
            <w:tcW w:w="2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YoY</w:t>
            </w:r>
          </w:p>
        </w:tc>
        <w:tc>
          <w:tcPr>
            <w:tcW w:w="140" w:type="dxa"/>
            <w:vAlign w:val="bottom"/>
            <w:tcBorders>
              <w:bottom w:val="single" w:sz="8" w:color="CCEEFF"/>
            </w:tcBorders>
          </w:tcPr>
          <w:p>
            <w:pPr>
              <w:spacing w:after="0"/>
              <w:rPr>
                <w:sz w:val="18"/>
                <w:szCs w:val="18"/>
                <w:color w:val="auto"/>
              </w:rPr>
            </w:pPr>
          </w:p>
        </w:tc>
      </w:tr>
      <w:tr>
        <w:trPr>
          <w:trHeight w:val="196"/>
        </w:trPr>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Due from banks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00"/>
        </w:trPr>
        <w:tc>
          <w:tcPr>
            <w:tcW w:w="2960" w:type="dxa"/>
            <w:vAlign w:val="bottom"/>
            <w:gridSpan w:val="2"/>
          </w:tcPr>
          <w:p>
            <w:pPr>
              <w:spacing w:after="0"/>
              <w:rPr>
                <w:sz w:val="20"/>
                <w:szCs w:val="20"/>
                <w:color w:val="auto"/>
              </w:rPr>
            </w:pPr>
            <w:r>
              <w:rPr>
                <w:rFonts w:ascii="Arial" w:cs="Arial" w:eastAsia="Arial" w:hAnsi="Arial"/>
                <w:sz w:val="16"/>
                <w:szCs w:val="16"/>
                <w:color w:val="auto"/>
              </w:rPr>
              <w:t>Total loans</w:t>
            </w:r>
          </w:p>
        </w:tc>
        <w:tc>
          <w:tcPr>
            <w:tcW w:w="600" w:type="dxa"/>
            <w:vAlign w:val="bottom"/>
          </w:tcPr>
          <w:p>
            <w:pPr>
              <w:jc w:val="right"/>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724</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765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193"/>
        </w:trPr>
        <w:tc>
          <w:tcPr>
            <w:tcW w:w="2960" w:type="dxa"/>
            <w:vAlign w:val="bottom"/>
            <w:gridSpan w:val="2"/>
          </w:tcPr>
          <w:p>
            <w:pPr>
              <w:spacing w:after="0"/>
              <w:rPr>
                <w:sz w:val="20"/>
                <w:szCs w:val="20"/>
                <w:color w:val="auto"/>
              </w:rPr>
            </w:pPr>
            <w:r>
              <w:rPr>
                <w:rFonts w:ascii="Arial" w:cs="Arial" w:eastAsia="Arial" w:hAnsi="Arial"/>
                <w:sz w:val="16"/>
                <w:szCs w:val="16"/>
                <w:b w:val="1"/>
                <w:bCs w:val="1"/>
                <w:color w:val="auto"/>
              </w:rPr>
              <w:t>Total interest earning assets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1,671</w:t>
            </w:r>
          </w:p>
        </w:tc>
        <w:tc>
          <w:tcPr>
            <w:tcW w:w="12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1,533</w:t>
            </w:r>
          </w:p>
        </w:tc>
        <w:tc>
          <w:tcPr>
            <w:tcW w:w="14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1,606</w:t>
            </w:r>
          </w:p>
        </w:tc>
        <w:tc>
          <w:tcPr>
            <w:tcW w:w="14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w w:val="98"/>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4"/>
              </w:rPr>
              <w:t>%</w:t>
            </w:r>
          </w:p>
        </w:tc>
      </w:tr>
      <w:tr>
        <w:trPr>
          <w:trHeight w:val="20"/>
        </w:trPr>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Excludes investments in equities and mutual funds.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60" w:type="dxa"/>
            <w:vAlign w:val="bottom"/>
            <w:gridSpan w:val="2"/>
          </w:tcPr>
          <w:p>
            <w:pPr>
              <w:spacing w:after="0"/>
              <w:rPr>
                <w:sz w:val="20"/>
                <w:szCs w:val="20"/>
                <w:color w:val="auto"/>
              </w:rPr>
            </w:pPr>
            <w:r>
              <w:rPr>
                <w:rFonts w:ascii="Arial" w:cs="Arial" w:eastAsia="Arial" w:hAnsi="Arial"/>
                <w:sz w:val="16"/>
                <w:szCs w:val="16"/>
                <w:b w:val="1"/>
                <w:bCs w:val="1"/>
                <w:color w:val="auto"/>
              </w:rPr>
              <w:t>Liabilities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6"/>
              </w:rPr>
              <w:t>Quarter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US$ 000</w:t>
            </w:r>
          </w:p>
        </w:tc>
        <w:tc>
          <w:tcPr>
            <w:tcW w:w="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1Q19</w:t>
            </w:r>
          </w:p>
        </w:tc>
        <w:tc>
          <w:tcPr>
            <w:tcW w:w="1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4Q19</w:t>
            </w:r>
          </w:p>
        </w:tc>
        <w:tc>
          <w:tcPr>
            <w:tcW w:w="14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1Q20</w:t>
            </w:r>
          </w:p>
        </w:tc>
        <w:tc>
          <w:tcPr>
            <w:tcW w:w="14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QoQ</w:t>
            </w:r>
          </w:p>
        </w:tc>
        <w:tc>
          <w:tcPr>
            <w:tcW w:w="2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YoY</w:t>
            </w:r>
          </w:p>
        </w:tc>
        <w:tc>
          <w:tcPr>
            <w:tcW w:w="140" w:type="dxa"/>
            <w:vAlign w:val="bottom"/>
            <w:tcBorders>
              <w:bottom w:val="single" w:sz="8" w:color="CCEEFF"/>
            </w:tcBorders>
          </w:tcPr>
          <w:p>
            <w:pPr>
              <w:spacing w:after="0"/>
              <w:rPr>
                <w:sz w:val="18"/>
                <w:szCs w:val="18"/>
                <w:color w:val="auto"/>
              </w:rPr>
            </w:pPr>
          </w:p>
        </w:tc>
      </w:tr>
      <w:tr>
        <w:trPr>
          <w:trHeight w:val="196"/>
        </w:trPr>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Deposits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00"/>
        </w:trPr>
        <w:tc>
          <w:tcPr>
            <w:tcW w:w="2960" w:type="dxa"/>
            <w:vAlign w:val="bottom"/>
            <w:gridSpan w:val="2"/>
          </w:tcPr>
          <w:p>
            <w:pPr>
              <w:spacing w:after="0"/>
              <w:rPr>
                <w:sz w:val="20"/>
                <w:szCs w:val="20"/>
                <w:color w:val="auto"/>
              </w:rPr>
            </w:pPr>
            <w:r>
              <w:rPr>
                <w:rFonts w:ascii="Arial" w:cs="Arial" w:eastAsia="Arial" w:hAnsi="Arial"/>
                <w:sz w:val="16"/>
                <w:szCs w:val="16"/>
                <w:color w:val="auto"/>
              </w:rPr>
              <w:t>Borrowed Funds</w:t>
            </w:r>
          </w:p>
        </w:tc>
        <w:tc>
          <w:tcPr>
            <w:tcW w:w="60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34</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89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157.8%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-62.3%</w:t>
            </w:r>
          </w:p>
        </w:tc>
      </w:tr>
      <w:tr>
        <w:trPr>
          <w:trHeight w:val="213"/>
        </w:trPr>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193"/>
        </w:trPr>
        <w:tc>
          <w:tcPr>
            <w:tcW w:w="296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1,754</w:t>
            </w:r>
          </w:p>
        </w:tc>
        <w:tc>
          <w:tcPr>
            <w:tcW w:w="12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1,498</w:t>
            </w:r>
          </w:p>
        </w:tc>
        <w:tc>
          <w:tcPr>
            <w:tcW w:w="14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1,741</w:t>
            </w:r>
          </w:p>
        </w:tc>
        <w:tc>
          <w:tcPr>
            <w:tcW w:w="14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w w:val="98"/>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-0.7</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4"/>
              </w:rPr>
              <w:t>%</w:t>
            </w:r>
          </w:p>
        </w:tc>
      </w:tr>
      <w:tr>
        <w:trPr>
          <w:trHeight w:val="20"/>
        </w:trPr>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p>
      <w:pPr>
        <w:jc w:val="center"/>
        <w:ind w:right="1100"/>
        <w:spacing w:after="0"/>
        <w:rPr>
          <w:sz w:val="20"/>
          <w:szCs w:val="20"/>
          <w:color w:val="auto"/>
        </w:rPr>
      </w:pPr>
      <w:r>
        <w:rPr>
          <w:rFonts w:ascii="Arial" w:cs="Arial" w:eastAsia="Arial" w:hAnsi="Arial"/>
          <w:sz w:val="14"/>
          <w:szCs w:val="14"/>
          <w:b w:val="1"/>
          <w:bCs w:val="1"/>
          <w:color w:val="auto"/>
        </w:rPr>
        <w:t>Assets under management and Deposits</w:t>
      </w:r>
    </w:p>
    <w:p>
      <w:pPr>
        <w:spacing w:after="0" w:line="6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140335</wp:posOffset>
            </wp:positionV>
            <wp:extent cx="4659630" cy="3067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659630" cy="3067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Portfolio distribution as of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151130</wp:posOffset>
            </wp:positionV>
            <wp:extent cx="3702685" cy="269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702685" cy="269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11.7. Grupo Pacifico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GRUPO PACIFICO *</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b w:val="1"/>
                <w:bCs w:val="1"/>
                <w:color w:val="auto"/>
              </w:rPr>
              <w:t>As of</w:t>
            </w: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9"/>
              </w:rPr>
              <w:t>% change</w:t>
            </w: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9"/>
        </w:trPr>
        <w:tc>
          <w:tcPr>
            <w:tcW w:w="51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Mar 19</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Dec 19</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Mar 20</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QoQ</w:t>
            </w: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YoY</w:t>
            </w:r>
          </w:p>
        </w:tc>
        <w:tc>
          <w:tcPr>
            <w:tcW w:w="140" w:type="dxa"/>
            <w:vAlign w:val="bottom"/>
            <w:tcBorders>
              <w:bottom w:val="single" w:sz="8" w:color="CCEEFF"/>
            </w:tcBorders>
          </w:tcPr>
          <w:p>
            <w:pPr>
              <w:spacing w:after="0"/>
              <w:rPr>
                <w:sz w:val="17"/>
                <w:szCs w:val="17"/>
                <w:color w:val="auto"/>
              </w:rPr>
            </w:pPr>
          </w:p>
        </w:tc>
      </w:tr>
      <w:tr>
        <w:trPr>
          <w:trHeight w:val="19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12,695,204</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13,838,009</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13,729,726</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-0.8%</w:t>
            </w:r>
          </w:p>
        </w:tc>
        <w:tc>
          <w:tcPr>
            <w:tcW w:w="3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40"/>
        </w:trPr>
        <w:tc>
          <w:tcPr>
            <w:tcW w:w="5180" w:type="dxa"/>
            <w:vAlign w:val="bottom"/>
          </w:tcPr>
          <w:p>
            <w:pPr>
              <w:spacing w:after="0" w:line="240" w:lineRule="exact"/>
              <w:rPr>
                <w:sz w:val="20"/>
                <w:szCs w:val="20"/>
                <w:color w:val="auto"/>
              </w:rPr>
            </w:pPr>
            <w:r>
              <w:rPr>
                <w:rFonts w:ascii="Arial" w:cs="Arial" w:eastAsia="Arial" w:hAnsi="Arial"/>
                <w:sz w:val="16"/>
                <w:szCs w:val="16"/>
                <w:color w:val="auto"/>
              </w:rPr>
              <w:t xml:space="preserve">Invesment on securities </w:t>
            </w:r>
            <w:r>
              <w:rPr>
                <w:rFonts w:ascii="Arial" w:cs="Arial" w:eastAsia="Arial" w:hAnsi="Arial"/>
                <w:sz w:val="26"/>
                <w:szCs w:val="26"/>
                <w:color w:val="auto"/>
                <w:vertAlign w:val="superscript"/>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9,264,180</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10,758,564</w:t>
            </w:r>
          </w:p>
        </w:tc>
        <w:tc>
          <w:tcPr>
            <w:tcW w:w="2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10,586,838</w:t>
            </w:r>
          </w:p>
        </w:tc>
        <w:tc>
          <w:tcPr>
            <w:tcW w:w="72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w w:val="95"/>
              </w:rPr>
              <w:t>-1.6%</w:t>
            </w: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14.3%</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Technical reserves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8,710,591</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9,953,455</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9,980,047</w:t>
            </w:r>
          </w:p>
        </w:tc>
        <w:tc>
          <w:tcPr>
            <w:tcW w:w="7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05"/>
        </w:trPr>
        <w:tc>
          <w:tcPr>
            <w:tcW w:w="5180" w:type="dxa"/>
            <w:vAlign w:val="bottom"/>
          </w:tcPr>
          <w:p>
            <w:pPr>
              <w:spacing w:after="0"/>
              <w:rPr>
                <w:sz w:val="20"/>
                <w:szCs w:val="20"/>
                <w:color w:val="auto"/>
              </w:rPr>
            </w:pPr>
            <w:r>
              <w:rPr>
                <w:rFonts w:ascii="Arial" w:cs="Arial" w:eastAsia="Arial" w:hAnsi="Arial"/>
                <w:sz w:val="16"/>
                <w:szCs w:val="16"/>
                <w:color w:val="auto"/>
              </w:rPr>
              <w:t>Net equity</w:t>
            </w:r>
          </w:p>
        </w:tc>
        <w:tc>
          <w:tcPr>
            <w:tcW w:w="1040" w:type="dxa"/>
            <w:vAlign w:val="bottom"/>
          </w:tcPr>
          <w:p>
            <w:pPr>
              <w:jc w:val="right"/>
              <w:spacing w:after="0"/>
              <w:rPr>
                <w:sz w:val="20"/>
                <w:szCs w:val="20"/>
                <w:color w:val="auto"/>
              </w:rPr>
            </w:pPr>
            <w:r>
              <w:rPr>
                <w:rFonts w:ascii="Arial" w:cs="Arial" w:eastAsia="Arial" w:hAnsi="Arial"/>
                <w:sz w:val="16"/>
                <w:szCs w:val="16"/>
                <w:color w:val="auto"/>
              </w:rPr>
              <w:t>2,663,129</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2,801,556</w:t>
            </w:r>
          </w:p>
        </w:tc>
        <w:tc>
          <w:tcPr>
            <w:tcW w:w="2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2,724,095</w:t>
            </w:r>
          </w:p>
        </w:tc>
        <w:tc>
          <w:tcPr>
            <w:tcW w:w="72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w w:val="95"/>
              </w:rPr>
              <w:t>-2.8%</w:t>
            </w:r>
          </w:p>
        </w:tc>
        <w:tc>
          <w:tcPr>
            <w:tcW w:w="3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2.3%</w:t>
            </w: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Quarter</w:t>
            </w:r>
          </w:p>
        </w:tc>
        <w:tc>
          <w:tcPr>
            <w:tcW w:w="10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w w:val="99"/>
              </w:rPr>
              <w:t>% change</w:t>
            </w:r>
          </w:p>
        </w:tc>
        <w:tc>
          <w:tcPr>
            <w:tcW w:w="7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50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1Q19</w:t>
            </w:r>
          </w:p>
        </w:tc>
        <w:tc>
          <w:tcPr>
            <w:tcW w:w="2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4Q19</w:t>
            </w:r>
          </w:p>
        </w:tc>
        <w:tc>
          <w:tcPr>
            <w:tcW w:w="2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1Q20</w:t>
            </w:r>
          </w:p>
        </w:tc>
        <w:tc>
          <w:tcPr>
            <w:tcW w:w="2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7"/>
                <w:szCs w:val="17"/>
                <w:color w:val="auto"/>
              </w:rPr>
            </w:pPr>
          </w:p>
        </w:tc>
      </w:tr>
      <w:tr>
        <w:trPr>
          <w:trHeight w:val="193"/>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Net earned premiums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588,942</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630,804</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640,707</w:t>
            </w:r>
          </w:p>
        </w:tc>
        <w:tc>
          <w:tcPr>
            <w:tcW w:w="2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w:t>
            </w:r>
          </w:p>
        </w:tc>
      </w:tr>
      <w:tr>
        <w:trPr>
          <w:trHeight w:val="200"/>
        </w:trPr>
        <w:tc>
          <w:tcPr>
            <w:tcW w:w="5020" w:type="dxa"/>
            <w:vAlign w:val="bottom"/>
          </w:tcPr>
          <w:p>
            <w:pPr>
              <w:spacing w:after="0"/>
              <w:rPr>
                <w:sz w:val="20"/>
                <w:szCs w:val="20"/>
                <w:color w:val="auto"/>
              </w:rPr>
            </w:pPr>
            <w:r>
              <w:rPr>
                <w:rFonts w:ascii="Arial" w:cs="Arial" w:eastAsia="Arial" w:hAnsi="Arial"/>
                <w:sz w:val="16"/>
                <w:szCs w:val="16"/>
                <w:color w:val="auto"/>
              </w:rPr>
              <w:t>Net claims</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386,521</w:t>
            </w:r>
          </w:p>
        </w:tc>
        <w:tc>
          <w:tcPr>
            <w:tcW w:w="1000" w:type="dxa"/>
            <w:vAlign w:val="bottom"/>
          </w:tcPr>
          <w:p>
            <w:pPr>
              <w:jc w:val="right"/>
              <w:spacing w:after="0"/>
              <w:rPr>
                <w:sz w:val="20"/>
                <w:szCs w:val="20"/>
                <w:color w:val="auto"/>
              </w:rPr>
            </w:pPr>
            <w:r>
              <w:rPr>
                <w:rFonts w:ascii="Arial" w:cs="Arial" w:eastAsia="Arial" w:hAnsi="Arial"/>
                <w:sz w:val="16"/>
                <w:szCs w:val="16"/>
                <w:color w:val="auto"/>
              </w:rPr>
              <w:t>395,718</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383,525</w:t>
            </w:r>
          </w:p>
        </w:tc>
        <w:tc>
          <w:tcPr>
            <w:tcW w:w="28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r>
      <w:tr>
        <w:trPr>
          <w:trHeight w:val="200"/>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Net fees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134,507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152,229</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156,165</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16.1%</w:t>
            </w:r>
          </w:p>
        </w:tc>
      </w:tr>
      <w:tr>
        <w:trPr>
          <w:trHeight w:val="200"/>
        </w:trPr>
        <w:tc>
          <w:tcPr>
            <w:tcW w:w="5020" w:type="dxa"/>
            <w:vAlign w:val="bottom"/>
          </w:tcPr>
          <w:p>
            <w:pPr>
              <w:spacing w:after="0"/>
              <w:rPr>
                <w:sz w:val="20"/>
                <w:szCs w:val="20"/>
                <w:color w:val="auto"/>
              </w:rPr>
            </w:pPr>
            <w:r>
              <w:rPr>
                <w:rFonts w:ascii="Arial" w:cs="Arial" w:eastAsia="Arial" w:hAnsi="Arial"/>
                <w:sz w:val="16"/>
                <w:szCs w:val="16"/>
                <w:color w:val="auto"/>
              </w:rPr>
              <w:t>Net underwriting expenses</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37,011</w:t>
            </w:r>
          </w:p>
        </w:tc>
        <w:tc>
          <w:tcPr>
            <w:tcW w:w="1000" w:type="dxa"/>
            <w:vAlign w:val="bottom"/>
          </w:tcPr>
          <w:p>
            <w:pPr>
              <w:jc w:val="right"/>
              <w:spacing w:after="0"/>
              <w:rPr>
                <w:sz w:val="20"/>
                <w:szCs w:val="20"/>
                <w:color w:val="auto"/>
              </w:rPr>
            </w:pPr>
            <w:r>
              <w:rPr>
                <w:rFonts w:ascii="Arial" w:cs="Arial" w:eastAsia="Arial" w:hAnsi="Arial"/>
                <w:sz w:val="16"/>
                <w:szCs w:val="16"/>
                <w:color w:val="auto"/>
              </w:rPr>
              <w:t>26,644</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50,159</w:t>
            </w:r>
          </w:p>
        </w:tc>
        <w:tc>
          <w:tcPr>
            <w:tcW w:w="28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88.3%</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35.5%</w:t>
            </w:r>
          </w:p>
        </w:tc>
      </w:tr>
      <w:tr>
        <w:trPr>
          <w:trHeight w:val="200"/>
        </w:trPr>
        <w:tc>
          <w:tcPr>
            <w:tcW w:w="5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Underwriting result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30,902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56,213</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50,858</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-9.5%</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64.6%</w:t>
            </w:r>
          </w:p>
        </w:tc>
      </w:tr>
      <w:tr>
        <w:trPr>
          <w:trHeight w:val="200"/>
        </w:trPr>
        <w:tc>
          <w:tcPr>
            <w:tcW w:w="5020" w:type="dxa"/>
            <w:vAlign w:val="bottom"/>
          </w:tcPr>
          <w:p>
            <w:pPr>
              <w:spacing w:after="0"/>
              <w:rPr>
                <w:sz w:val="20"/>
                <w:szCs w:val="20"/>
                <w:color w:val="auto"/>
              </w:rPr>
            </w:pPr>
            <w:r>
              <w:rPr>
                <w:rFonts w:ascii="Arial" w:cs="Arial" w:eastAsia="Arial" w:hAnsi="Arial"/>
                <w:sz w:val="16"/>
                <w:szCs w:val="16"/>
                <w:color w:val="auto"/>
              </w:rPr>
              <w:t>Net financial income</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143,356</w:t>
            </w:r>
          </w:p>
        </w:tc>
        <w:tc>
          <w:tcPr>
            <w:tcW w:w="1000" w:type="dxa"/>
            <w:vAlign w:val="bottom"/>
          </w:tcPr>
          <w:p>
            <w:pPr>
              <w:jc w:val="right"/>
              <w:spacing w:after="0"/>
              <w:rPr>
                <w:sz w:val="20"/>
                <w:szCs w:val="20"/>
                <w:color w:val="auto"/>
              </w:rPr>
            </w:pPr>
            <w:r>
              <w:rPr>
                <w:rFonts w:ascii="Arial" w:cs="Arial" w:eastAsia="Arial" w:hAnsi="Arial"/>
                <w:sz w:val="16"/>
                <w:szCs w:val="16"/>
                <w:color w:val="auto"/>
              </w:rPr>
              <w:t>158,259</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135,099</w:t>
            </w:r>
          </w:p>
        </w:tc>
        <w:tc>
          <w:tcPr>
            <w:tcW w:w="28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-14.6%</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-5.8%</w:t>
            </w:r>
          </w:p>
        </w:tc>
      </w:tr>
      <w:tr>
        <w:trPr>
          <w:trHeight w:val="200"/>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Total expenses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107,450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118,004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105,254</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-10.8%</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r>
      <w:tr>
        <w:trPr>
          <w:trHeight w:val="200"/>
        </w:trPr>
        <w:tc>
          <w:tcPr>
            <w:tcW w:w="5020" w:type="dxa"/>
            <w:vAlign w:val="bottom"/>
          </w:tcPr>
          <w:p>
            <w:pPr>
              <w:spacing w:after="0"/>
              <w:rPr>
                <w:sz w:val="20"/>
                <w:szCs w:val="20"/>
                <w:color w:val="auto"/>
              </w:rPr>
            </w:pPr>
            <w:r>
              <w:rPr>
                <w:rFonts w:ascii="Arial" w:cs="Arial" w:eastAsia="Arial" w:hAnsi="Arial"/>
                <w:sz w:val="16"/>
                <w:szCs w:val="16"/>
                <w:color w:val="auto"/>
              </w:rPr>
              <w:t>Other income</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7,098</w:t>
            </w:r>
          </w:p>
        </w:tc>
        <w:tc>
          <w:tcPr>
            <w:tcW w:w="1000" w:type="dxa"/>
            <w:vAlign w:val="bottom"/>
          </w:tcPr>
          <w:p>
            <w:pPr>
              <w:jc w:val="right"/>
              <w:spacing w:after="0"/>
              <w:rPr>
                <w:sz w:val="20"/>
                <w:szCs w:val="20"/>
                <w:color w:val="auto"/>
              </w:rPr>
            </w:pPr>
            <w:r>
              <w:rPr>
                <w:rFonts w:ascii="Arial" w:cs="Arial" w:eastAsia="Arial" w:hAnsi="Arial"/>
                <w:sz w:val="16"/>
                <w:szCs w:val="16"/>
                <w:color w:val="auto"/>
              </w:rPr>
              <w:t>13,776</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8,339</w:t>
            </w:r>
          </w:p>
        </w:tc>
        <w:tc>
          <w:tcPr>
            <w:tcW w:w="28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-39.5%</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17.5%</w:t>
            </w:r>
          </w:p>
        </w:tc>
      </w:tr>
      <w:tr>
        <w:trPr>
          <w:trHeight w:val="200"/>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Traslations results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-501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-925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-271.8%</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-417.5%</w:t>
            </w:r>
          </w:p>
        </w:tc>
      </w:tr>
      <w:tr>
        <w:trPr>
          <w:trHeight w:val="200"/>
        </w:trPr>
        <w:tc>
          <w:tcPr>
            <w:tcW w:w="5020" w:type="dxa"/>
            <w:vAlign w:val="bottom"/>
          </w:tcPr>
          <w:p>
            <w:pPr>
              <w:spacing w:after="0"/>
              <w:rPr>
                <w:sz w:val="20"/>
                <w:szCs w:val="20"/>
                <w:color w:val="auto"/>
              </w:rPr>
            </w:pPr>
            <w:r>
              <w:rPr>
                <w:rFonts w:ascii="Arial" w:cs="Arial" w:eastAsia="Arial" w:hAnsi="Arial"/>
                <w:sz w:val="16"/>
                <w:szCs w:val="16"/>
                <w:color w:val="auto"/>
              </w:rPr>
              <w:t>Net gain on associates - EPS business and medical services</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8,918</w:t>
            </w:r>
          </w:p>
        </w:tc>
        <w:tc>
          <w:tcPr>
            <w:tcW w:w="1000" w:type="dxa"/>
            <w:vAlign w:val="bottom"/>
          </w:tcPr>
          <w:p>
            <w:pPr>
              <w:jc w:val="right"/>
              <w:spacing w:after="0"/>
              <w:rPr>
                <w:sz w:val="20"/>
                <w:szCs w:val="20"/>
                <w:color w:val="auto"/>
              </w:rPr>
            </w:pPr>
            <w:r>
              <w:rPr>
                <w:rFonts w:ascii="Arial" w:cs="Arial" w:eastAsia="Arial" w:hAnsi="Arial"/>
                <w:sz w:val="16"/>
                <w:szCs w:val="16"/>
                <w:color w:val="auto"/>
              </w:rPr>
              <w:t>17,263</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17,186</w:t>
            </w:r>
          </w:p>
        </w:tc>
        <w:tc>
          <w:tcPr>
            <w:tcW w:w="28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-0.4%</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92.7%</w:t>
            </w:r>
          </w:p>
        </w:tc>
      </w:tr>
      <w:tr>
        <w:trPr>
          <w:trHeight w:val="200"/>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Medical Assistance insurance deduction</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2,736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9,806</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6,430</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-34.4%</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135.0%</w:t>
            </w:r>
          </w:p>
        </w:tc>
      </w:tr>
      <w:tr>
        <w:trPr>
          <w:trHeight w:val="200"/>
        </w:trPr>
        <w:tc>
          <w:tcPr>
            <w:tcW w:w="5020" w:type="dxa"/>
            <w:vAlign w:val="bottom"/>
          </w:tcPr>
          <w:p>
            <w:pPr>
              <w:spacing w:after="0"/>
              <w:rPr>
                <w:sz w:val="20"/>
                <w:szCs w:val="20"/>
                <w:color w:val="auto"/>
              </w:rPr>
            </w:pPr>
            <w:r>
              <w:rPr>
                <w:rFonts w:ascii="Arial" w:cs="Arial" w:eastAsia="Arial" w:hAnsi="Arial"/>
                <w:sz w:val="16"/>
                <w:szCs w:val="16"/>
                <w:color w:val="auto"/>
              </w:rPr>
              <w:t>Income tax</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1,517</w:t>
            </w:r>
          </w:p>
        </w:tc>
        <w:tc>
          <w:tcPr>
            <w:tcW w:w="1000" w:type="dxa"/>
            <w:vAlign w:val="bottom"/>
          </w:tcPr>
          <w:p>
            <w:pPr>
              <w:jc w:val="right"/>
              <w:spacing w:after="0"/>
              <w:rPr>
                <w:sz w:val="20"/>
                <w:szCs w:val="20"/>
                <w:color w:val="auto"/>
              </w:rPr>
            </w:pPr>
            <w:r>
              <w:rPr>
                <w:rFonts w:ascii="Arial" w:cs="Arial" w:eastAsia="Arial" w:hAnsi="Arial"/>
                <w:sz w:val="16"/>
                <w:szCs w:val="16"/>
                <w:color w:val="auto"/>
              </w:rPr>
              <w:t>1,654</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1,550</w:t>
            </w:r>
          </w:p>
        </w:tc>
        <w:tc>
          <w:tcPr>
            <w:tcW w:w="28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-6.3%</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r>
      <w:tr>
        <w:trPr>
          <w:trHeight w:val="200"/>
        </w:trPr>
        <w:tc>
          <w:tcPr>
            <w:tcW w:w="5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before minority interest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78,070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115,121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99,838</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-13.3%</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27.9%</w:t>
            </w:r>
          </w:p>
        </w:tc>
      </w:tr>
      <w:tr>
        <w:trPr>
          <w:trHeight w:val="200"/>
        </w:trPr>
        <w:tc>
          <w:tcPr>
            <w:tcW w:w="50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2,592</w:t>
            </w:r>
          </w:p>
        </w:tc>
        <w:tc>
          <w:tcPr>
            <w:tcW w:w="1000" w:type="dxa"/>
            <w:vAlign w:val="bottom"/>
          </w:tcPr>
          <w:p>
            <w:pPr>
              <w:jc w:val="right"/>
              <w:spacing w:after="0"/>
              <w:rPr>
                <w:sz w:val="20"/>
                <w:szCs w:val="20"/>
                <w:color w:val="auto"/>
              </w:rPr>
            </w:pPr>
            <w:r>
              <w:rPr>
                <w:rFonts w:ascii="Arial" w:cs="Arial" w:eastAsia="Arial" w:hAnsi="Arial"/>
                <w:sz w:val="16"/>
                <w:szCs w:val="16"/>
                <w:color w:val="auto"/>
              </w:rPr>
              <w:t>2,594</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2,523</w:t>
            </w:r>
          </w:p>
        </w:tc>
        <w:tc>
          <w:tcPr>
            <w:tcW w:w="28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r>
      <w:tr>
        <w:trPr>
          <w:trHeight w:val="200"/>
        </w:trPr>
        <w:tc>
          <w:tcPr>
            <w:tcW w:w="5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75,478</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112,527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97,315</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-13.5%</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28.9%</w:t>
            </w: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Ratios</w:t>
            </w:r>
          </w:p>
        </w:tc>
        <w:tc>
          <w:tcPr>
            <w:tcW w:w="1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6"/>
                <w:szCs w:val="16"/>
                <w:color w:val="auto"/>
              </w:rPr>
              <w:t>Ceded</w:t>
            </w:r>
          </w:p>
        </w:tc>
        <w:tc>
          <w:tcPr>
            <w:tcW w:w="1920" w:type="dxa"/>
            <w:vAlign w:val="bottom"/>
          </w:tcPr>
          <w:p>
            <w:pPr>
              <w:jc w:val="right"/>
              <w:ind w:right="360"/>
              <w:spacing w:after="0"/>
              <w:rPr>
                <w:sz w:val="20"/>
                <w:szCs w:val="20"/>
                <w:color w:val="auto"/>
              </w:rPr>
            </w:pPr>
            <w:r>
              <w:rPr>
                <w:rFonts w:ascii="Arial" w:cs="Arial" w:eastAsia="Arial" w:hAnsi="Arial"/>
                <w:sz w:val="16"/>
                <w:szCs w:val="16"/>
                <w:color w:val="auto"/>
              </w:rPr>
              <w:t>12.2%</w:t>
            </w:r>
          </w:p>
        </w:tc>
        <w:tc>
          <w:tcPr>
            <w:tcW w:w="1280" w:type="dxa"/>
            <w:vAlign w:val="bottom"/>
          </w:tcPr>
          <w:p>
            <w:pPr>
              <w:ind w:left="420"/>
              <w:spacing w:after="0"/>
              <w:rPr>
                <w:sz w:val="20"/>
                <w:szCs w:val="20"/>
                <w:color w:val="auto"/>
              </w:rPr>
            </w:pPr>
            <w:r>
              <w:rPr>
                <w:rFonts w:ascii="Arial" w:cs="Arial" w:eastAsia="Arial" w:hAnsi="Arial"/>
                <w:sz w:val="16"/>
                <w:szCs w:val="16"/>
                <w:color w:val="auto"/>
              </w:rPr>
              <w:t>16.5%</w:t>
            </w:r>
          </w:p>
        </w:tc>
        <w:tc>
          <w:tcPr>
            <w:tcW w:w="1120" w:type="dxa"/>
            <w:vAlign w:val="bottom"/>
          </w:tcPr>
          <w:p>
            <w:pPr>
              <w:ind w:left="400"/>
              <w:spacing w:after="0"/>
              <w:rPr>
                <w:sz w:val="20"/>
                <w:szCs w:val="20"/>
                <w:color w:val="auto"/>
              </w:rPr>
            </w:pPr>
            <w:r>
              <w:rPr>
                <w:rFonts w:ascii="Arial" w:cs="Arial" w:eastAsia="Arial" w:hAnsi="Arial"/>
                <w:sz w:val="16"/>
                <w:szCs w:val="16"/>
                <w:color w:val="auto"/>
              </w:rPr>
              <w:t>13.0%</w:t>
            </w:r>
          </w:p>
        </w:tc>
        <w:tc>
          <w:tcPr>
            <w:tcW w:w="1140" w:type="dxa"/>
            <w:vAlign w:val="bottom"/>
          </w:tcPr>
          <w:p>
            <w:pPr>
              <w:jc w:val="right"/>
              <w:ind w:right="220"/>
              <w:spacing w:after="0"/>
              <w:rPr>
                <w:sz w:val="20"/>
                <w:szCs w:val="20"/>
                <w:color w:val="auto"/>
              </w:rPr>
            </w:pPr>
            <w:r>
              <w:rPr>
                <w:rFonts w:ascii="Arial" w:cs="Arial" w:eastAsia="Arial" w:hAnsi="Arial"/>
                <w:sz w:val="16"/>
                <w:szCs w:val="16"/>
                <w:color w:val="auto"/>
              </w:rPr>
              <w:t>-350 bps</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80 bps</w:t>
            </w:r>
          </w:p>
        </w:tc>
      </w:tr>
      <w:tr>
        <w:trPr>
          <w:trHeight w:val="240"/>
        </w:trPr>
        <w:tc>
          <w:tcPr>
            <w:tcW w:w="4660" w:type="dxa"/>
            <w:vAlign w:val="bottom"/>
            <w:shd w:val="clear" w:color="auto" w:fill="CCEEFF"/>
          </w:tcPr>
          <w:p>
            <w:pPr>
              <w:spacing w:after="0" w:line="240" w:lineRule="exact"/>
              <w:rPr>
                <w:sz w:val="20"/>
                <w:szCs w:val="20"/>
                <w:color w:val="auto"/>
              </w:rPr>
            </w:pPr>
            <w:r>
              <w:rPr>
                <w:rFonts w:ascii="Arial" w:cs="Arial" w:eastAsia="Arial" w:hAnsi="Arial"/>
                <w:sz w:val="16"/>
                <w:szCs w:val="16"/>
                <w:color w:val="auto"/>
              </w:rPr>
              <w:t xml:space="preserve">Loss ratio </w:t>
            </w:r>
            <w:r>
              <w:rPr>
                <w:rFonts w:ascii="Arial" w:cs="Arial" w:eastAsia="Arial" w:hAnsi="Arial"/>
                <w:sz w:val="26"/>
                <w:szCs w:val="26"/>
                <w:color w:val="auto"/>
                <w:vertAlign w:val="superscript"/>
              </w:rPr>
              <w:t>(2)</w:t>
            </w:r>
          </w:p>
        </w:tc>
        <w:tc>
          <w:tcPr>
            <w:tcW w:w="192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65.6%</w:t>
            </w:r>
          </w:p>
        </w:tc>
        <w:tc>
          <w:tcPr>
            <w:tcW w:w="12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62.7%</w:t>
            </w:r>
          </w:p>
        </w:tc>
        <w:tc>
          <w:tcPr>
            <w:tcW w:w="11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59.9%</w:t>
            </w:r>
          </w:p>
        </w:tc>
        <w:tc>
          <w:tcPr>
            <w:tcW w:w="11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-280 bps</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-570 bps</w:t>
            </w:r>
          </w:p>
        </w:tc>
      </w:tr>
      <w:tr>
        <w:trPr>
          <w:trHeight w:val="200"/>
        </w:trPr>
        <w:tc>
          <w:tcPr>
            <w:tcW w:w="4660" w:type="dxa"/>
            <w:vAlign w:val="bottom"/>
          </w:tcPr>
          <w:p>
            <w:pPr>
              <w:spacing w:after="0"/>
              <w:rPr>
                <w:sz w:val="20"/>
                <w:szCs w:val="20"/>
                <w:color w:val="auto"/>
              </w:rPr>
            </w:pPr>
            <w:r>
              <w:rPr>
                <w:rFonts w:ascii="Arial" w:cs="Arial" w:eastAsia="Arial" w:hAnsi="Arial"/>
                <w:sz w:val="16"/>
                <w:szCs w:val="16"/>
                <w:color w:val="auto"/>
              </w:rPr>
              <w:t>Fees + underwriting expenses, net / net earned premiums</w:t>
            </w:r>
          </w:p>
        </w:tc>
        <w:tc>
          <w:tcPr>
            <w:tcW w:w="1920" w:type="dxa"/>
            <w:vAlign w:val="bottom"/>
          </w:tcPr>
          <w:p>
            <w:pPr>
              <w:jc w:val="right"/>
              <w:ind w:right="360"/>
              <w:spacing w:after="0"/>
              <w:rPr>
                <w:sz w:val="20"/>
                <w:szCs w:val="20"/>
                <w:color w:val="auto"/>
              </w:rPr>
            </w:pPr>
            <w:r>
              <w:rPr>
                <w:rFonts w:ascii="Arial" w:cs="Arial" w:eastAsia="Arial" w:hAnsi="Arial"/>
                <w:sz w:val="16"/>
                <w:szCs w:val="16"/>
                <w:color w:val="auto"/>
              </w:rPr>
              <w:t>29.1%</w:t>
            </w:r>
          </w:p>
        </w:tc>
        <w:tc>
          <w:tcPr>
            <w:tcW w:w="1280" w:type="dxa"/>
            <w:vAlign w:val="bottom"/>
          </w:tcPr>
          <w:p>
            <w:pPr>
              <w:ind w:left="420"/>
              <w:spacing w:after="0"/>
              <w:rPr>
                <w:sz w:val="20"/>
                <w:szCs w:val="20"/>
                <w:color w:val="auto"/>
              </w:rPr>
            </w:pPr>
            <w:r>
              <w:rPr>
                <w:rFonts w:ascii="Arial" w:cs="Arial" w:eastAsia="Arial" w:hAnsi="Arial"/>
                <w:sz w:val="16"/>
                <w:szCs w:val="16"/>
                <w:color w:val="auto"/>
              </w:rPr>
              <w:t>28.4%</w:t>
            </w:r>
          </w:p>
        </w:tc>
        <w:tc>
          <w:tcPr>
            <w:tcW w:w="1120" w:type="dxa"/>
            <w:vAlign w:val="bottom"/>
          </w:tcPr>
          <w:p>
            <w:pPr>
              <w:ind w:left="400"/>
              <w:spacing w:after="0"/>
              <w:rPr>
                <w:sz w:val="20"/>
                <w:szCs w:val="20"/>
                <w:color w:val="auto"/>
              </w:rPr>
            </w:pPr>
            <w:r>
              <w:rPr>
                <w:rFonts w:ascii="Arial" w:cs="Arial" w:eastAsia="Arial" w:hAnsi="Arial"/>
                <w:sz w:val="16"/>
                <w:szCs w:val="16"/>
                <w:color w:val="auto"/>
              </w:rPr>
              <w:t>32.2%</w:t>
            </w:r>
          </w:p>
        </w:tc>
        <w:tc>
          <w:tcPr>
            <w:tcW w:w="1140" w:type="dxa"/>
            <w:vAlign w:val="bottom"/>
          </w:tcPr>
          <w:p>
            <w:pPr>
              <w:jc w:val="right"/>
              <w:ind w:right="220"/>
              <w:spacing w:after="0"/>
              <w:rPr>
                <w:sz w:val="20"/>
                <w:szCs w:val="20"/>
                <w:color w:val="auto"/>
              </w:rPr>
            </w:pPr>
            <w:r>
              <w:rPr>
                <w:rFonts w:ascii="Arial" w:cs="Arial" w:eastAsia="Arial" w:hAnsi="Arial"/>
                <w:sz w:val="16"/>
                <w:szCs w:val="16"/>
                <w:color w:val="auto"/>
              </w:rPr>
              <w:t>380 bps</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310 bps</w:t>
            </w:r>
          </w:p>
        </w:tc>
      </w:tr>
      <w:tr>
        <w:trPr>
          <w:trHeight w:val="200"/>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 / net earned premiums</w:t>
            </w:r>
          </w:p>
        </w:tc>
        <w:tc>
          <w:tcPr>
            <w:tcW w:w="192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18.2%</w:t>
            </w:r>
          </w:p>
        </w:tc>
        <w:tc>
          <w:tcPr>
            <w:tcW w:w="12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18.7%</w:t>
            </w:r>
          </w:p>
        </w:tc>
        <w:tc>
          <w:tcPr>
            <w:tcW w:w="11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16.4%</w:t>
            </w:r>
          </w:p>
        </w:tc>
        <w:tc>
          <w:tcPr>
            <w:tcW w:w="11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-230 bps</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-180 bps</w:t>
            </w:r>
          </w:p>
        </w:tc>
      </w:tr>
      <w:tr>
        <w:trPr>
          <w:trHeight w:val="240"/>
        </w:trPr>
        <w:tc>
          <w:tcPr>
            <w:tcW w:w="4660" w:type="dxa"/>
            <w:vAlign w:val="bottom"/>
          </w:tcPr>
          <w:p>
            <w:pPr>
              <w:spacing w:after="0" w:line="240" w:lineRule="exact"/>
              <w:rPr>
                <w:sz w:val="20"/>
                <w:szCs w:val="20"/>
                <w:color w:val="auto"/>
              </w:rPr>
            </w:pPr>
            <w:r>
              <w:rPr>
                <w:rFonts w:ascii="Arial" w:cs="Arial" w:eastAsia="Arial" w:hAnsi="Arial"/>
                <w:sz w:val="27"/>
                <w:szCs w:val="27"/>
                <w:color w:val="auto"/>
                <w:vertAlign w:val="subscript"/>
              </w:rPr>
              <w:t>ROAE</w:t>
            </w:r>
            <w:r>
              <w:rPr>
                <w:rFonts w:ascii="Arial" w:cs="Arial" w:eastAsia="Arial" w:hAnsi="Arial"/>
                <w:sz w:val="12"/>
                <w:szCs w:val="12"/>
                <w:color w:val="auto"/>
              </w:rPr>
              <w:t xml:space="preserve"> (3)(4)</w:t>
            </w:r>
          </w:p>
        </w:tc>
        <w:tc>
          <w:tcPr>
            <w:tcW w:w="1920" w:type="dxa"/>
            <w:vAlign w:val="bottom"/>
          </w:tcPr>
          <w:p>
            <w:pPr>
              <w:jc w:val="right"/>
              <w:ind w:right="360"/>
              <w:spacing w:after="0"/>
              <w:rPr>
                <w:sz w:val="20"/>
                <w:szCs w:val="20"/>
                <w:color w:val="auto"/>
              </w:rPr>
            </w:pPr>
            <w:r>
              <w:rPr>
                <w:rFonts w:ascii="Arial" w:cs="Arial" w:eastAsia="Arial" w:hAnsi="Arial"/>
                <w:sz w:val="16"/>
                <w:szCs w:val="16"/>
                <w:color w:val="auto"/>
              </w:rPr>
              <w:t>11.8%</w:t>
            </w:r>
          </w:p>
        </w:tc>
        <w:tc>
          <w:tcPr>
            <w:tcW w:w="1280" w:type="dxa"/>
            <w:vAlign w:val="bottom"/>
          </w:tcPr>
          <w:p>
            <w:pPr>
              <w:ind w:left="420"/>
              <w:spacing w:after="0"/>
              <w:rPr>
                <w:sz w:val="20"/>
                <w:szCs w:val="20"/>
                <w:color w:val="auto"/>
              </w:rPr>
            </w:pPr>
            <w:r>
              <w:rPr>
                <w:rFonts w:ascii="Arial" w:cs="Arial" w:eastAsia="Arial" w:hAnsi="Arial"/>
                <w:sz w:val="16"/>
                <w:szCs w:val="16"/>
                <w:color w:val="auto"/>
              </w:rPr>
              <w:t>14.8%</w:t>
            </w:r>
          </w:p>
        </w:tc>
        <w:tc>
          <w:tcPr>
            <w:tcW w:w="1120" w:type="dxa"/>
            <w:vAlign w:val="bottom"/>
          </w:tcPr>
          <w:p>
            <w:pPr>
              <w:ind w:left="400"/>
              <w:spacing w:after="0"/>
              <w:rPr>
                <w:sz w:val="20"/>
                <w:szCs w:val="20"/>
                <w:color w:val="auto"/>
              </w:rPr>
            </w:pPr>
            <w:r>
              <w:rPr>
                <w:rFonts w:ascii="Arial" w:cs="Arial" w:eastAsia="Arial" w:hAnsi="Arial"/>
                <w:sz w:val="16"/>
                <w:szCs w:val="16"/>
                <w:color w:val="auto"/>
              </w:rPr>
              <w:t>14.5%</w:t>
            </w:r>
          </w:p>
        </w:tc>
        <w:tc>
          <w:tcPr>
            <w:tcW w:w="1140" w:type="dxa"/>
            <w:vAlign w:val="bottom"/>
          </w:tcPr>
          <w:p>
            <w:pPr>
              <w:jc w:val="right"/>
              <w:ind w:right="220"/>
              <w:spacing w:after="0"/>
              <w:rPr>
                <w:sz w:val="20"/>
                <w:szCs w:val="20"/>
                <w:color w:val="auto"/>
              </w:rPr>
            </w:pPr>
            <w:r>
              <w:rPr>
                <w:rFonts w:ascii="Arial" w:cs="Arial" w:eastAsia="Arial" w:hAnsi="Arial"/>
                <w:sz w:val="16"/>
                <w:szCs w:val="16"/>
                <w:color w:val="auto"/>
              </w:rPr>
              <w:t>-30 bps</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270 bps</w:t>
            </w:r>
          </w:p>
        </w:tc>
      </w:tr>
      <w:tr>
        <w:trPr>
          <w:trHeight w:val="200"/>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Return on written premiums</w:t>
            </w:r>
          </w:p>
        </w:tc>
        <w:tc>
          <w:tcPr>
            <w:tcW w:w="192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8.4%</w:t>
            </w:r>
          </w:p>
        </w:tc>
        <w:tc>
          <w:tcPr>
            <w:tcW w:w="12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11.7%</w:t>
            </w:r>
          </w:p>
        </w:tc>
        <w:tc>
          <w:tcPr>
            <w:tcW w:w="11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10.6%</w:t>
            </w:r>
          </w:p>
        </w:tc>
        <w:tc>
          <w:tcPr>
            <w:tcW w:w="11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-110 bps</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220 bps</w:t>
            </w:r>
          </w:p>
        </w:tc>
      </w:tr>
      <w:tr>
        <w:trPr>
          <w:trHeight w:val="240"/>
        </w:trPr>
        <w:tc>
          <w:tcPr>
            <w:tcW w:w="4660" w:type="dxa"/>
            <w:vAlign w:val="bottom"/>
          </w:tcPr>
          <w:p>
            <w:pPr>
              <w:spacing w:after="0" w:line="240" w:lineRule="exact"/>
              <w:rPr>
                <w:sz w:val="20"/>
                <w:szCs w:val="20"/>
                <w:color w:val="auto"/>
              </w:rPr>
            </w:pPr>
            <w:r>
              <w:rPr>
                <w:rFonts w:ascii="Arial" w:cs="Arial" w:eastAsia="Arial" w:hAnsi="Arial"/>
                <w:sz w:val="16"/>
                <w:szCs w:val="16"/>
                <w:color w:val="auto"/>
              </w:rPr>
              <w:t xml:space="preserve">Combined ratio of Life </w:t>
            </w:r>
            <w:r>
              <w:rPr>
                <w:rFonts w:ascii="Arial" w:cs="Arial" w:eastAsia="Arial" w:hAnsi="Arial"/>
                <w:sz w:val="26"/>
                <w:szCs w:val="26"/>
                <w:color w:val="auto"/>
                <w:vertAlign w:val="superscript"/>
              </w:rPr>
              <w:t>(5)</w:t>
            </w:r>
          </w:p>
        </w:tc>
        <w:tc>
          <w:tcPr>
            <w:tcW w:w="1920" w:type="dxa"/>
            <w:vAlign w:val="bottom"/>
          </w:tcPr>
          <w:p>
            <w:pPr>
              <w:jc w:val="right"/>
              <w:ind w:right="360"/>
              <w:spacing w:after="0"/>
              <w:rPr>
                <w:sz w:val="20"/>
                <w:szCs w:val="20"/>
                <w:color w:val="auto"/>
              </w:rPr>
            </w:pPr>
            <w:r>
              <w:rPr>
                <w:rFonts w:ascii="Arial" w:cs="Arial" w:eastAsia="Arial" w:hAnsi="Arial"/>
                <w:sz w:val="16"/>
                <w:szCs w:val="16"/>
                <w:color w:val="auto"/>
              </w:rPr>
              <w:t>87.3%</w:t>
            </w:r>
          </w:p>
        </w:tc>
        <w:tc>
          <w:tcPr>
            <w:tcW w:w="1280" w:type="dxa"/>
            <w:vAlign w:val="bottom"/>
          </w:tcPr>
          <w:p>
            <w:pPr>
              <w:ind w:left="420"/>
              <w:spacing w:after="0"/>
              <w:rPr>
                <w:sz w:val="20"/>
                <w:szCs w:val="20"/>
                <w:color w:val="auto"/>
              </w:rPr>
            </w:pPr>
            <w:r>
              <w:rPr>
                <w:rFonts w:ascii="Arial" w:cs="Arial" w:eastAsia="Arial" w:hAnsi="Arial"/>
                <w:sz w:val="16"/>
                <w:szCs w:val="16"/>
                <w:color w:val="auto"/>
              </w:rPr>
              <w:t>89.6%</w:t>
            </w:r>
          </w:p>
        </w:tc>
        <w:tc>
          <w:tcPr>
            <w:tcW w:w="1120" w:type="dxa"/>
            <w:vAlign w:val="bottom"/>
          </w:tcPr>
          <w:p>
            <w:pPr>
              <w:ind w:left="400"/>
              <w:spacing w:after="0"/>
              <w:rPr>
                <w:sz w:val="20"/>
                <w:szCs w:val="20"/>
                <w:color w:val="auto"/>
              </w:rPr>
            </w:pPr>
            <w:r>
              <w:rPr>
                <w:rFonts w:ascii="Arial" w:cs="Arial" w:eastAsia="Arial" w:hAnsi="Arial"/>
                <w:sz w:val="16"/>
                <w:szCs w:val="16"/>
                <w:color w:val="auto"/>
              </w:rPr>
              <w:t>87.6%</w:t>
            </w:r>
          </w:p>
        </w:tc>
        <w:tc>
          <w:tcPr>
            <w:tcW w:w="1140" w:type="dxa"/>
            <w:vAlign w:val="bottom"/>
          </w:tcPr>
          <w:p>
            <w:pPr>
              <w:jc w:val="right"/>
              <w:ind w:right="220"/>
              <w:spacing w:after="0"/>
              <w:rPr>
                <w:sz w:val="20"/>
                <w:szCs w:val="20"/>
                <w:color w:val="auto"/>
              </w:rPr>
            </w:pPr>
            <w:r>
              <w:rPr>
                <w:rFonts w:ascii="Arial" w:cs="Arial" w:eastAsia="Arial" w:hAnsi="Arial"/>
                <w:sz w:val="16"/>
                <w:szCs w:val="16"/>
                <w:color w:val="auto"/>
              </w:rPr>
              <w:t>-200 bps</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30 bps</w:t>
            </w:r>
          </w:p>
        </w:tc>
      </w:tr>
      <w:tr>
        <w:trPr>
          <w:trHeight w:val="240"/>
        </w:trPr>
        <w:tc>
          <w:tcPr>
            <w:tcW w:w="4660" w:type="dxa"/>
            <w:vAlign w:val="bottom"/>
            <w:shd w:val="clear" w:color="auto" w:fill="CCEEFF"/>
          </w:tcPr>
          <w:p>
            <w:pPr>
              <w:spacing w:after="0" w:line="240" w:lineRule="exact"/>
              <w:rPr>
                <w:sz w:val="20"/>
                <w:szCs w:val="20"/>
                <w:color w:val="auto"/>
              </w:rPr>
            </w:pPr>
            <w:r>
              <w:rPr>
                <w:rFonts w:ascii="Arial" w:cs="Arial" w:eastAsia="Arial" w:hAnsi="Arial"/>
                <w:sz w:val="16"/>
                <w:szCs w:val="16"/>
                <w:color w:val="auto"/>
              </w:rPr>
              <w:t xml:space="preserve">Combined ratio of P&amp;C </w:t>
            </w:r>
            <w:r>
              <w:rPr>
                <w:rFonts w:ascii="Arial" w:cs="Arial" w:eastAsia="Arial" w:hAnsi="Arial"/>
                <w:sz w:val="26"/>
                <w:szCs w:val="26"/>
                <w:color w:val="auto"/>
                <w:vertAlign w:val="superscript"/>
              </w:rPr>
              <w:t>(6)</w:t>
            </w:r>
          </w:p>
        </w:tc>
        <w:tc>
          <w:tcPr>
            <w:tcW w:w="1920" w:type="dxa"/>
            <w:vAlign w:val="bottom"/>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104.4%</w:t>
            </w:r>
          </w:p>
        </w:tc>
        <w:tc>
          <w:tcPr>
            <w:tcW w:w="12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94.1%</w:t>
            </w:r>
          </w:p>
        </w:tc>
        <w:tc>
          <w:tcPr>
            <w:tcW w:w="112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94.4%</w:t>
            </w:r>
          </w:p>
        </w:tc>
        <w:tc>
          <w:tcPr>
            <w:tcW w:w="114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30 bps</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-1000 bps</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without consolidation adjustments.</w:t>
      </w:r>
    </w:p>
    <w:p>
      <w:pPr>
        <w:spacing w:after="0" w:line="19" w:lineRule="exact"/>
        <w:rPr>
          <w:sz w:val="20"/>
          <w:szCs w:val="20"/>
          <w:color w:val="auto"/>
        </w:rPr>
      </w:pPr>
    </w:p>
    <w:p>
      <w:pPr>
        <w:ind w:left="260" w:hanging="253"/>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6" w:lineRule="exact"/>
        <w:rPr>
          <w:rFonts w:ascii="Arial" w:cs="Arial" w:eastAsia="Arial" w:hAnsi="Arial"/>
          <w:sz w:val="18"/>
          <w:szCs w:val="18"/>
          <w:color w:val="auto"/>
        </w:rPr>
      </w:pPr>
    </w:p>
    <w:p>
      <w:pPr>
        <w:ind w:right="20" w:firstLine="7"/>
        <w:spacing w:after="0" w:line="247" w:lineRule="auto"/>
        <w:tabs>
          <w:tab w:leader="none" w:pos="261"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(Net claims / Net earned premiums) + Reserves / Net earned premiums) + [(Acquisition cost + total expenses) / Net earned premiums] - (Net Financial Income without real estate sales, securities sales, impairment loss and fluctuation / Net earned premiums).</w:t>
      </w:r>
    </w:p>
    <w:p>
      <w:pPr>
        <w:ind w:left="260" w:hanging="253"/>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(Net claims / Net earned premiums) + [(Acquisition cost + total expenses) / Net earned premiums].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From 1Q15 and on, Grupo Pacifico’s financial statements reflect the association with Banmedica. This partnership includes:</w:t>
      </w:r>
    </w:p>
    <w:p>
      <w:pPr>
        <w:spacing w:after="0" w:line="220" w:lineRule="exact"/>
        <w:rPr>
          <w:sz w:val="20"/>
          <w:szCs w:val="20"/>
          <w:color w:val="auto"/>
        </w:rPr>
      </w:pPr>
    </w:p>
    <w:p>
      <w:pPr>
        <w:ind w:left="880" w:right="20" w:hanging="500"/>
        <w:spacing w:after="0" w:line="270"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private health insurance business, which is managed by Grupo Pacifico and incorporated in each line of Grupo Pacifico’s financial statements;</w:t>
      </w:r>
    </w:p>
    <w:p>
      <w:pPr>
        <w:spacing w:after="0" w:line="174" w:lineRule="exact"/>
        <w:rPr>
          <w:rFonts w:ascii="Arial" w:cs="Arial" w:eastAsia="Arial" w:hAnsi="Arial"/>
          <w:sz w:val="18"/>
          <w:szCs w:val="18"/>
          <w:color w:val="auto"/>
        </w:rPr>
      </w:pPr>
    </w:p>
    <w:p>
      <w:pPr>
        <w:ind w:left="880" w:hanging="500"/>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19" w:lineRule="exact"/>
        <w:rPr>
          <w:rFonts w:ascii="Arial" w:cs="Arial" w:eastAsia="Arial" w:hAnsi="Arial"/>
          <w:sz w:val="18"/>
          <w:szCs w:val="18"/>
          <w:color w:val="auto"/>
        </w:rPr>
      </w:pPr>
    </w:p>
    <w:p>
      <w:pPr>
        <w:ind w:left="880" w:hanging="500"/>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00" w:lineRule="exact"/>
        <w:rPr>
          <w:sz w:val="20"/>
          <w:szCs w:val="20"/>
          <w:color w:val="auto"/>
        </w:rPr>
      </w:pPr>
    </w:p>
    <w:p>
      <w:pPr>
        <w:spacing w:after="0" w:line="23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ind w:left="60"/>
        <w:spacing w:after="0" w:line="300"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48" w:lineRule="exact"/>
        <w:rPr>
          <w:sz w:val="20"/>
          <w:szCs w:val="20"/>
          <w:color w:val="auto"/>
        </w:rPr>
      </w:pPr>
    </w:p>
    <w:p>
      <w:pPr>
        <w:ind w:left="60"/>
        <w:spacing w:after="0" w:line="274"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Quarter</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w w:val="99"/>
              </w:rPr>
              <w:t>% change</w:t>
            </w:r>
          </w:p>
        </w:tc>
        <w:tc>
          <w:tcPr>
            <w:tcW w:w="7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5180" w:type="dxa"/>
            <w:vAlign w:val="bottom"/>
          </w:tcPr>
          <w:p>
            <w:pPr>
              <w:spacing w:after="0"/>
              <w:rPr>
                <w:sz w:val="17"/>
                <w:szCs w:val="17"/>
                <w:color w:val="auto"/>
              </w:rPr>
            </w:pPr>
          </w:p>
        </w:tc>
        <w:tc>
          <w:tcPr>
            <w:tcW w:w="1200" w:type="dxa"/>
            <w:vAlign w:val="bottom"/>
            <w:gridSpan w:val="2"/>
          </w:tcPr>
          <w:p>
            <w:pPr>
              <w:ind w:left="300"/>
              <w:spacing w:after="0"/>
              <w:rPr>
                <w:sz w:val="20"/>
                <w:szCs w:val="20"/>
                <w:color w:val="auto"/>
              </w:rPr>
            </w:pPr>
            <w:r>
              <w:rPr>
                <w:rFonts w:ascii="Arial" w:cs="Arial" w:eastAsia="Arial" w:hAnsi="Arial"/>
                <w:sz w:val="16"/>
                <w:szCs w:val="16"/>
                <w:b w:val="1"/>
                <w:bCs w:val="1"/>
                <w:color w:val="auto"/>
              </w:rPr>
              <w:t>1Q19</w:t>
            </w:r>
          </w:p>
        </w:tc>
        <w:tc>
          <w:tcPr>
            <w:tcW w:w="12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4Q19</w:t>
            </w:r>
          </w:p>
        </w:tc>
        <w:tc>
          <w:tcPr>
            <w:tcW w:w="1000" w:type="dxa"/>
            <w:vAlign w:val="bottom"/>
          </w:tcPr>
          <w:p>
            <w:pPr>
              <w:jc w:val="right"/>
              <w:ind w:right="240"/>
              <w:spacing w:after="0"/>
              <w:rPr>
                <w:sz w:val="20"/>
                <w:szCs w:val="20"/>
                <w:color w:val="auto"/>
              </w:rPr>
            </w:pPr>
            <w:r>
              <w:rPr>
                <w:rFonts w:ascii="Arial" w:cs="Arial" w:eastAsia="Arial" w:hAnsi="Arial"/>
                <w:sz w:val="16"/>
                <w:szCs w:val="16"/>
                <w:b w:val="1"/>
                <w:bCs w:val="1"/>
                <w:color w:val="auto"/>
              </w:rPr>
              <w:t>1Q20</w:t>
            </w:r>
          </w:p>
        </w:tc>
        <w:tc>
          <w:tcPr>
            <w:tcW w:w="220" w:type="dxa"/>
            <w:vAlign w:val="bottom"/>
          </w:tcPr>
          <w:p>
            <w:pPr>
              <w:spacing w:after="0"/>
              <w:rPr>
                <w:sz w:val="17"/>
                <w:szCs w:val="17"/>
                <w:color w:val="auto"/>
              </w:rPr>
            </w:pPr>
          </w:p>
        </w:tc>
        <w:tc>
          <w:tcPr>
            <w:tcW w:w="1540" w:type="dxa"/>
            <w:vAlign w:val="bottom"/>
            <w:gridSpan w:val="3"/>
          </w:tcPr>
          <w:p>
            <w:pPr>
              <w:ind w:left="320"/>
              <w:spacing w:after="0"/>
              <w:rPr>
                <w:sz w:val="20"/>
                <w:szCs w:val="20"/>
                <w:color w:val="auto"/>
              </w:rPr>
            </w:pPr>
            <w:r>
              <w:rPr>
                <w:rFonts w:ascii="Arial" w:cs="Arial" w:eastAsia="Arial" w:hAnsi="Arial"/>
                <w:sz w:val="16"/>
                <w:szCs w:val="16"/>
                <w:b w:val="1"/>
                <w:bCs w:val="1"/>
                <w:color w:val="auto"/>
              </w:rPr>
              <w:t>QoQ</w:t>
            </w:r>
          </w:p>
        </w:tc>
        <w:tc>
          <w:tcPr>
            <w:tcW w:w="720" w:type="dxa"/>
            <w:vAlign w:val="bottom"/>
          </w:tcPr>
          <w:p>
            <w:pPr>
              <w:ind w:left="80"/>
              <w:spacing w:after="0"/>
              <w:rPr>
                <w:sz w:val="20"/>
                <w:szCs w:val="20"/>
                <w:color w:val="auto"/>
              </w:rPr>
            </w:pPr>
            <w:r>
              <w:rPr>
                <w:rFonts w:ascii="Arial" w:cs="Arial" w:eastAsia="Arial" w:hAnsi="Arial"/>
                <w:sz w:val="16"/>
                <w:szCs w:val="16"/>
                <w:b w:val="1"/>
                <w:bCs w:val="1"/>
                <w:color w:val="auto"/>
              </w:rPr>
              <w:t>YoY</w:t>
            </w:r>
          </w:p>
        </w:tc>
        <w:tc>
          <w:tcPr>
            <w:tcW w:w="160" w:type="dxa"/>
            <w:vAlign w:val="bottom"/>
          </w:tcPr>
          <w:p>
            <w:pPr>
              <w:spacing w:after="0"/>
              <w:rPr>
                <w:sz w:val="17"/>
                <w:szCs w:val="17"/>
                <w:color w:val="auto"/>
              </w:rPr>
            </w:pPr>
          </w:p>
        </w:tc>
      </w:tr>
      <w:tr>
        <w:trPr>
          <w:trHeight w:val="193"/>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Results</w:t>
            </w: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Net earned premiums</w:t>
            </w:r>
          </w:p>
        </w:tc>
        <w:tc>
          <w:tcPr>
            <w:tcW w:w="1000" w:type="dxa"/>
            <w:vAlign w:val="bottom"/>
          </w:tcPr>
          <w:p>
            <w:pPr>
              <w:jc w:val="right"/>
              <w:spacing w:after="0"/>
              <w:rPr>
                <w:sz w:val="20"/>
                <w:szCs w:val="20"/>
                <w:color w:val="auto"/>
              </w:rPr>
            </w:pPr>
            <w:r>
              <w:rPr>
                <w:rFonts w:ascii="Arial" w:cs="Arial" w:eastAsia="Arial" w:hAnsi="Arial"/>
                <w:sz w:val="16"/>
                <w:szCs w:val="16"/>
                <w:color w:val="auto"/>
              </w:rPr>
              <w:t>258,455</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279,050</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278,256</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7.7%</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Net claims</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-233,597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-228,400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-213,978</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Net fees</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-11,879</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-12,335</w:t>
            </w:r>
          </w:p>
        </w:tc>
        <w:tc>
          <w:tcPr>
            <w:tcW w:w="1000" w:type="dxa"/>
            <w:vAlign w:val="bottom"/>
          </w:tcPr>
          <w:p>
            <w:pPr>
              <w:jc w:val="right"/>
              <w:spacing w:after="0"/>
              <w:rPr>
                <w:sz w:val="20"/>
                <w:szCs w:val="20"/>
                <w:color w:val="auto"/>
              </w:rPr>
            </w:pPr>
            <w:r>
              <w:rPr>
                <w:rFonts w:ascii="Arial" w:cs="Arial" w:eastAsia="Arial" w:hAnsi="Arial"/>
                <w:sz w:val="16"/>
                <w:szCs w:val="16"/>
                <w:color w:val="auto"/>
              </w:rPr>
              <w:t>-12,118</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Net underwriting expenses</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-2,912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-1,693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-2,845</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68.1%</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r>
      <w:tr>
        <w:trPr>
          <w:trHeight w:val="200"/>
        </w:trPr>
        <w:tc>
          <w:tcPr>
            <w:tcW w:w="5180" w:type="dxa"/>
            <w:vAlign w:val="bottom"/>
          </w:tcPr>
          <w:p>
            <w:pPr>
              <w:spacing w:after="0"/>
              <w:rPr>
                <w:sz w:val="20"/>
                <w:szCs w:val="20"/>
                <w:color w:val="auto"/>
              </w:rPr>
            </w:pPr>
            <w:r>
              <w:rPr>
                <w:rFonts w:ascii="Arial" w:cs="Arial" w:eastAsia="Arial" w:hAnsi="Arial"/>
                <w:sz w:val="16"/>
                <w:szCs w:val="16"/>
                <w:b w:val="1"/>
                <w:bCs w:val="1"/>
                <w:color w:val="auto"/>
              </w:rPr>
              <w:t>Underwriting result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10,068</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36,622</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49,315</w:t>
            </w:r>
          </w:p>
        </w:tc>
        <w:tc>
          <w:tcPr>
            <w:tcW w:w="2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34.7%</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389.8%</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Net financial income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-66.2%</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-64.6%</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Total expenses</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-17,535</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-20,715</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-19,659</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-5.1%</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12.1%</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Other income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-73.1%</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-75.9%</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Traslations results</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-17</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-716</w:t>
            </w:r>
          </w:p>
        </w:tc>
        <w:tc>
          <w:tcPr>
            <w:tcW w:w="1000" w:type="dxa"/>
            <w:vAlign w:val="bottom"/>
          </w:tcPr>
          <w:p>
            <w:pPr>
              <w:jc w:val="right"/>
              <w:spacing w:after="0"/>
              <w:rPr>
                <w:sz w:val="20"/>
                <w:szCs w:val="20"/>
                <w:color w:val="auto"/>
              </w:rPr>
            </w:pPr>
            <w:r>
              <w:rPr>
                <w:rFonts w:ascii="Arial" w:cs="Arial" w:eastAsia="Arial" w:hAnsi="Arial"/>
                <w:sz w:val="16"/>
                <w:szCs w:val="16"/>
                <w:color w:val="auto"/>
              </w:rPr>
              <w:t>919</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-228.4%</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-5603.0%</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Income tax</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-5,804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-9,825</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69.3%</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-708.4%</w:t>
            </w:r>
          </w:p>
        </w:tc>
      </w:tr>
      <w:tr>
        <w:trPr>
          <w:trHeight w:val="200"/>
        </w:trPr>
        <w:tc>
          <w:tcPr>
            <w:tcW w:w="5180" w:type="dxa"/>
            <w:vAlign w:val="bottom"/>
          </w:tcPr>
          <w:p>
            <w:pPr>
              <w:spacing w:after="0"/>
              <w:rPr>
                <w:sz w:val="20"/>
                <w:szCs w:val="20"/>
                <w:color w:val="auto"/>
              </w:rPr>
            </w:pPr>
            <w:r>
              <w:rPr>
                <w:rFonts w:ascii="Arial" w:cs="Arial" w:eastAsia="Arial" w:hAnsi="Arial"/>
                <w:sz w:val="16"/>
                <w:szCs w:val="16"/>
                <w:b w:val="1"/>
                <w:bCs w:val="1"/>
                <w:color w:val="auto"/>
              </w:rPr>
              <w:t>Net income before Medical services</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-3,353</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11,866</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21,526</w:t>
            </w:r>
          </w:p>
        </w:tc>
        <w:tc>
          <w:tcPr>
            <w:tcW w:w="2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81.4%</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-742.0%</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of Medical services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21,108</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22,577</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12,765</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-43.5%</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-39.5%</w:t>
            </w:r>
          </w:p>
        </w:tc>
      </w:tr>
      <w:tr>
        <w:trPr>
          <w:trHeight w:val="209"/>
        </w:trPr>
        <w:tc>
          <w:tcPr>
            <w:tcW w:w="518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17,756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34,443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34,290</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-0.4%</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93.1%</w:t>
            </w:r>
          </w:p>
        </w:tc>
      </w:tr>
    </w:tbl>
    <w:p>
      <w:pPr>
        <w:spacing w:after="0" w:line="200" w:lineRule="exact"/>
        <w:rPr>
          <w:sz w:val="20"/>
          <w:szCs w:val="20"/>
          <w:color w:val="auto"/>
        </w:rPr>
      </w:pPr>
    </w:p>
    <w:p>
      <w:pPr>
        <w:spacing w:after="0" w:line="20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11.8. Prima AFP</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5"/>
          </w:tcPr>
          <w:p>
            <w:pPr>
              <w:ind w:left="740"/>
              <w:spacing w:after="0"/>
              <w:rPr>
                <w:sz w:val="20"/>
                <w:szCs w:val="20"/>
                <w:color w:val="auto"/>
              </w:rPr>
            </w:pPr>
            <w:r>
              <w:rPr>
                <w:rFonts w:ascii="Arial" w:cs="Arial" w:eastAsia="Arial" w:hAnsi="Arial"/>
                <w:sz w:val="16"/>
                <w:szCs w:val="16"/>
                <w:b w:val="1"/>
                <w:bCs w:val="1"/>
                <w:color w:val="auto"/>
              </w:rPr>
              <w:t>% change</w:t>
            </w:r>
          </w:p>
        </w:tc>
        <w:tc>
          <w:tcPr>
            <w:tcW w:w="7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7"/>
        </w:trPr>
        <w:tc>
          <w:tcPr>
            <w:tcW w:w="50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1Q19</w:t>
            </w:r>
          </w:p>
        </w:tc>
        <w:tc>
          <w:tcPr>
            <w:tcW w:w="260" w:type="dxa"/>
            <w:vAlign w:val="bottom"/>
            <w:tcBorders>
              <w:bottom w:val="single" w:sz="8" w:color="CCEEFF"/>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4Q19</w:t>
            </w: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bottom w:val="single" w:sz="8" w:color="CCEEFF"/>
            </w:tcBorders>
            <w:gridSpan w:val="2"/>
          </w:tcPr>
          <w:p>
            <w:pPr>
              <w:spacing w:after="0"/>
              <w:rPr>
                <w:sz w:val="18"/>
                <w:szCs w:val="18"/>
                <w:color w:val="auto"/>
              </w:rPr>
            </w:pPr>
          </w:p>
        </w:tc>
        <w:tc>
          <w:tcPr>
            <w:tcW w:w="300" w:type="dxa"/>
            <w:vAlign w:val="bottom"/>
            <w:tcBorders>
              <w:bottom w:val="single" w:sz="8" w:color="auto"/>
            </w:tcBorders>
            <w:gridSpan w:val="2"/>
          </w:tcPr>
          <w:p>
            <w:pPr>
              <w:spacing w:after="0"/>
              <w:rPr>
                <w:sz w:val="18"/>
                <w:szCs w:val="18"/>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YoY</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196"/>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Income from commissions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99,758</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100,567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103,233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2.7%</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00"/>
        </w:trPr>
        <w:tc>
          <w:tcPr>
            <w:tcW w:w="5020" w:type="dxa"/>
            <w:vAlign w:val="bottom"/>
          </w:tcPr>
          <w:p>
            <w:pPr>
              <w:spacing w:after="0"/>
              <w:rPr>
                <w:sz w:val="20"/>
                <w:szCs w:val="20"/>
                <w:color w:val="auto"/>
              </w:rPr>
            </w:pPr>
            <w:r>
              <w:rPr>
                <w:rFonts w:ascii="Arial" w:cs="Arial" w:eastAsia="Arial" w:hAnsi="Arial"/>
                <w:sz w:val="16"/>
                <w:szCs w:val="16"/>
                <w:color w:val="auto"/>
              </w:rPr>
              <w:t>Administrative and sale expenses</w:t>
            </w:r>
          </w:p>
        </w:tc>
        <w:tc>
          <w:tcPr>
            <w:tcW w:w="1200" w:type="dxa"/>
            <w:vAlign w:val="bottom"/>
            <w:gridSpan w:val="3"/>
          </w:tcPr>
          <w:p>
            <w:pPr>
              <w:jc w:val="right"/>
              <w:ind w:right="80"/>
              <w:spacing w:after="0"/>
              <w:rPr>
                <w:sz w:val="20"/>
                <w:szCs w:val="20"/>
                <w:color w:val="auto"/>
              </w:rPr>
            </w:pPr>
            <w:r>
              <w:rPr>
                <w:rFonts w:ascii="Arial" w:cs="Arial" w:eastAsia="Arial" w:hAnsi="Arial"/>
                <w:sz w:val="16"/>
                <w:szCs w:val="16"/>
                <w:color w:val="auto"/>
              </w:rPr>
              <w:t>(37,292)</w:t>
            </w:r>
          </w:p>
        </w:tc>
        <w:tc>
          <w:tcPr>
            <w:tcW w:w="60" w:type="dxa"/>
            <w:vAlign w:val="bottom"/>
          </w:tcPr>
          <w:p>
            <w:pPr>
              <w:spacing w:after="0"/>
              <w:rPr>
                <w:sz w:val="17"/>
                <w:szCs w:val="17"/>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6"/>
                <w:szCs w:val="16"/>
                <w:color w:val="auto"/>
              </w:rPr>
              <w:t>(39,639)</w:t>
            </w:r>
          </w:p>
        </w:tc>
        <w:tc>
          <w:tcPr>
            <w:tcW w:w="10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(35,807)</w:t>
            </w:r>
          </w:p>
        </w:tc>
        <w:tc>
          <w:tcPr>
            <w:tcW w:w="160" w:type="dxa"/>
            <w:vAlign w:val="bottom"/>
          </w:tcPr>
          <w:p>
            <w:pPr>
              <w:spacing w:after="0"/>
              <w:rPr>
                <w:sz w:val="17"/>
                <w:szCs w:val="17"/>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-4.0%</w:t>
            </w:r>
          </w:p>
        </w:tc>
      </w:tr>
      <w:tr>
        <w:trPr>
          <w:trHeight w:val="200"/>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(4,473)</w:t>
            </w:r>
          </w:p>
        </w:tc>
        <w:tc>
          <w:tcPr>
            <w:tcW w:w="6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(5,801)</w:t>
            </w: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16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5.1%</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36.4%</w:t>
            </w:r>
          </w:p>
        </w:tc>
      </w:tr>
      <w:tr>
        <w:trPr>
          <w:trHeight w:val="200"/>
        </w:trPr>
        <w:tc>
          <w:tcPr>
            <w:tcW w:w="502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57,993</w:t>
            </w:r>
          </w:p>
        </w:tc>
        <w:tc>
          <w:tcPr>
            <w:tcW w:w="6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b w:val="1"/>
                <w:bCs w:val="1"/>
                <w:color w:val="auto"/>
              </w:rPr>
              <w:t>55,126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61,326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11.2%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b w:val="1"/>
                <w:bCs w:val="1"/>
                <w:color w:val="auto"/>
              </w:rPr>
              <w:t>5.7%</w:t>
            </w:r>
          </w:p>
        </w:tc>
      </w:tr>
      <w:tr>
        <w:trPr>
          <w:trHeight w:val="200"/>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Other income and expenses, net (profitability of lace)</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17,712</w:t>
            </w: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,991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(44,933)</w:t>
            </w:r>
          </w:p>
        </w:tc>
        <w:tc>
          <w:tcPr>
            <w:tcW w:w="16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-599.7%</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-353.7%</w:t>
            </w:r>
          </w:p>
        </w:tc>
      </w:tr>
      <w:tr>
        <w:trPr>
          <w:trHeight w:val="200"/>
        </w:trPr>
        <w:tc>
          <w:tcPr>
            <w:tcW w:w="5020" w:type="dxa"/>
            <w:vAlign w:val="bottom"/>
          </w:tcPr>
          <w:p>
            <w:pPr>
              <w:spacing w:after="0"/>
              <w:rPr>
                <w:sz w:val="20"/>
                <w:szCs w:val="20"/>
                <w:color w:val="auto"/>
              </w:rPr>
            </w:pPr>
            <w:r>
              <w:rPr>
                <w:rFonts w:ascii="Arial" w:cs="Arial" w:eastAsia="Arial" w:hAnsi="Arial"/>
                <w:sz w:val="16"/>
                <w:szCs w:val="16"/>
                <w:color w:val="auto"/>
              </w:rPr>
              <w:t>Income tax</w:t>
            </w:r>
          </w:p>
        </w:tc>
        <w:tc>
          <w:tcPr>
            <w:tcW w:w="1200" w:type="dxa"/>
            <w:vAlign w:val="bottom"/>
            <w:gridSpan w:val="3"/>
          </w:tcPr>
          <w:p>
            <w:pPr>
              <w:jc w:val="right"/>
              <w:ind w:right="80"/>
              <w:spacing w:after="0"/>
              <w:rPr>
                <w:sz w:val="20"/>
                <w:szCs w:val="20"/>
                <w:color w:val="auto"/>
              </w:rPr>
            </w:pPr>
            <w:r>
              <w:rPr>
                <w:rFonts w:ascii="Arial" w:cs="Arial" w:eastAsia="Arial" w:hAnsi="Arial"/>
                <w:sz w:val="16"/>
                <w:szCs w:val="16"/>
                <w:color w:val="auto"/>
              </w:rPr>
              <w:t>(18,829)</w:t>
            </w:r>
          </w:p>
        </w:tc>
        <w:tc>
          <w:tcPr>
            <w:tcW w:w="60" w:type="dxa"/>
            <w:vAlign w:val="bottom"/>
          </w:tcPr>
          <w:p>
            <w:pPr>
              <w:spacing w:after="0"/>
              <w:rPr>
                <w:sz w:val="17"/>
                <w:szCs w:val="17"/>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6"/>
                <w:szCs w:val="16"/>
                <w:color w:val="auto"/>
              </w:rPr>
              <w:t>(17,415)</w:t>
            </w:r>
          </w:p>
        </w:tc>
        <w:tc>
          <w:tcPr>
            <w:tcW w:w="10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(20,155)</w:t>
            </w:r>
          </w:p>
        </w:tc>
        <w:tc>
          <w:tcPr>
            <w:tcW w:w="160" w:type="dxa"/>
            <w:vAlign w:val="bottom"/>
          </w:tcPr>
          <w:p>
            <w:pPr>
              <w:spacing w:after="0"/>
              <w:rPr>
                <w:sz w:val="17"/>
                <w:szCs w:val="17"/>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16"/>
                <w:szCs w:val="16"/>
                <w:color w:val="auto"/>
              </w:rPr>
              <w:t>15.7%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7.0%</w:t>
            </w:r>
          </w:p>
        </w:tc>
      </w:tr>
      <w:tr>
        <w:trPr>
          <w:trHeight w:val="200"/>
        </w:trPr>
        <w:tc>
          <w:tcPr>
            <w:tcW w:w="5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before translation results</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56,876</w:t>
            </w:r>
          </w:p>
        </w:tc>
        <w:tc>
          <w:tcPr>
            <w:tcW w:w="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46,703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(3,762)</w:t>
            </w:r>
          </w:p>
        </w:tc>
        <w:tc>
          <w:tcPr>
            <w:tcW w:w="16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-108.1%</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-106.6%</w:t>
            </w:r>
          </w:p>
        </w:tc>
      </w:tr>
      <w:tr>
        <w:trPr>
          <w:trHeight w:val="200"/>
        </w:trPr>
        <w:tc>
          <w:tcPr>
            <w:tcW w:w="5020" w:type="dxa"/>
            <w:vAlign w:val="bottom"/>
          </w:tcPr>
          <w:p>
            <w:pPr>
              <w:spacing w:after="0"/>
              <w:rPr>
                <w:sz w:val="20"/>
                <w:szCs w:val="20"/>
                <w:color w:val="auto"/>
              </w:rPr>
            </w:pPr>
            <w:r>
              <w:rPr>
                <w:rFonts w:ascii="Arial" w:cs="Arial" w:eastAsia="Arial" w:hAnsi="Arial"/>
                <w:sz w:val="16"/>
                <w:szCs w:val="16"/>
                <w:color w:val="auto"/>
              </w:rPr>
              <w:t>Translations results</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124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(317)</w:t>
            </w:r>
          </w:p>
        </w:tc>
        <w:tc>
          <w:tcPr>
            <w:tcW w:w="160" w:type="dxa"/>
            <w:vAlign w:val="bottom"/>
          </w:tcPr>
          <w:p>
            <w:pPr>
              <w:spacing w:after="0"/>
              <w:rPr>
                <w:sz w:val="17"/>
                <w:szCs w:val="17"/>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16"/>
                <w:szCs w:val="16"/>
                <w:color w:val="auto"/>
              </w:rPr>
              <w:t>-353.0%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-356.3%</w:t>
            </w:r>
          </w:p>
        </w:tc>
      </w:tr>
      <w:tr>
        <w:trPr>
          <w:trHeight w:val="213"/>
        </w:trPr>
        <w:tc>
          <w:tcPr>
            <w:tcW w:w="5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57,000</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46,828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(4,079)</w:t>
            </w:r>
          </w:p>
        </w:tc>
        <w:tc>
          <w:tcPr>
            <w:tcW w:w="1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-108.7%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-107.2%</w:t>
            </w:r>
          </w:p>
        </w:tc>
      </w:tr>
      <w:tr>
        <w:trPr>
          <w:trHeight w:val="193"/>
        </w:trPr>
        <w:tc>
          <w:tcPr>
            <w:tcW w:w="5020" w:type="dxa"/>
            <w:vAlign w:val="bottom"/>
          </w:tcPr>
          <w:p>
            <w:pPr>
              <w:spacing w:after="0"/>
              <w:rPr>
                <w:sz w:val="20"/>
                <w:szCs w:val="20"/>
                <w:color w:val="auto"/>
              </w:rPr>
            </w:pPr>
            <w:r>
              <w:rPr>
                <w:rFonts w:ascii="Arial" w:cs="Arial" w:eastAsia="Arial" w:hAnsi="Arial"/>
                <w:sz w:val="16"/>
                <w:szCs w:val="16"/>
                <w:b w:val="1"/>
                <w:bCs w:val="1"/>
                <w:color w:val="auto"/>
              </w:rPr>
              <w:t>ROAE</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37.6</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w w:val="98"/>
              </w:rPr>
              <w:t>%</w:t>
            </w: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27.3</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98"/>
              </w:rPr>
              <w:t>%</w:t>
            </w:r>
          </w:p>
        </w:tc>
        <w:tc>
          <w:tcPr>
            <w:tcW w:w="100" w:type="dxa"/>
            <w:vAlign w:val="bottom"/>
          </w:tcPr>
          <w:p>
            <w:pPr>
              <w:spacing w:after="0"/>
              <w:rPr>
                <w:sz w:val="16"/>
                <w:szCs w:val="16"/>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-2.6</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8"/>
              </w:rPr>
              <w:t>%</w:t>
            </w:r>
          </w:p>
        </w:tc>
        <w:tc>
          <w:tcPr>
            <w:tcW w:w="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6"/>
                <w:szCs w:val="16"/>
                <w:b w:val="1"/>
                <w:bCs w:val="1"/>
                <w:color w:val="auto"/>
                <w:w w:val="86"/>
              </w:rPr>
              <w:t>-2996 pbs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w w:val="86"/>
              </w:rPr>
              <w:t>-4021 pbs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02"/>
        </w:trPr>
        <w:tc>
          <w:tcPr>
            <w:tcW w:w="5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As of</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Borders>
              <w:bottom w:val="single" w:sz="8" w:color="auto"/>
            </w:tcBorders>
            <w:gridSpan w:val="5"/>
          </w:tcPr>
          <w:p>
            <w:pPr>
              <w:ind w:left="780"/>
              <w:spacing w:after="0"/>
              <w:rPr>
                <w:sz w:val="20"/>
                <w:szCs w:val="20"/>
                <w:color w:val="auto"/>
              </w:rPr>
            </w:pPr>
            <w:r>
              <w:rPr>
                <w:rFonts w:ascii="Arial" w:cs="Arial" w:eastAsia="Arial" w:hAnsi="Arial"/>
                <w:sz w:val="16"/>
                <w:szCs w:val="16"/>
                <w:b w:val="1"/>
                <w:bCs w:val="1"/>
                <w:color w:val="auto"/>
                <w:w w:val="96"/>
              </w:rPr>
              <w:t>% change</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9"/>
        </w:trPr>
        <w:tc>
          <w:tcPr>
            <w:tcW w:w="50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Mar 19</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Dec 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Mar 20</w:t>
            </w: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QoQ</w:t>
            </w:r>
          </w:p>
        </w:tc>
        <w:tc>
          <w:tcPr>
            <w:tcW w:w="240" w:type="dxa"/>
            <w:vAlign w:val="bottom"/>
            <w:tcBorders>
              <w:bottom w:val="single" w:sz="8" w:color="CCEEFF"/>
            </w:tcBorders>
            <w:gridSpan w:val="2"/>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YoY</w:t>
            </w:r>
          </w:p>
        </w:tc>
        <w:tc>
          <w:tcPr>
            <w:tcW w:w="140" w:type="dxa"/>
            <w:vAlign w:val="bottom"/>
            <w:tcBorders>
              <w:bottom w:val="single" w:sz="8" w:color="CCEEFF"/>
            </w:tcBorders>
          </w:tcPr>
          <w:p>
            <w:pPr>
              <w:spacing w:after="0"/>
              <w:rPr>
                <w:sz w:val="17"/>
                <w:szCs w:val="17"/>
                <w:color w:val="auto"/>
              </w:rPr>
            </w:pPr>
          </w:p>
        </w:tc>
      </w:tr>
      <w:tr>
        <w:trPr>
          <w:trHeight w:val="193"/>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982,264</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82,591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9 73,862</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-0.9%</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00"/>
        </w:trPr>
        <w:tc>
          <w:tcPr>
            <w:tcW w:w="5020" w:type="dxa"/>
            <w:vAlign w:val="bottom"/>
          </w:tcPr>
          <w:p>
            <w:pPr>
              <w:spacing w:after="0"/>
              <w:rPr>
                <w:sz w:val="20"/>
                <w:szCs w:val="20"/>
                <w:color w:val="auto"/>
              </w:rPr>
            </w:pPr>
            <w:r>
              <w:rPr>
                <w:rFonts w:ascii="Arial" w:cs="Arial" w:eastAsia="Arial" w:hAnsi="Arial"/>
                <w:sz w:val="16"/>
                <w:szCs w:val="16"/>
                <w:color w:val="auto"/>
              </w:rPr>
              <w:t>Total liabilities</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402,446</w:t>
            </w:r>
          </w:p>
        </w:tc>
        <w:tc>
          <w:tcPr>
            <w:tcW w:w="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84,643</w:t>
            </w:r>
          </w:p>
        </w:tc>
        <w:tc>
          <w:tcPr>
            <w:tcW w:w="100" w:type="dxa"/>
            <w:vAlign w:val="bottom"/>
          </w:tcPr>
          <w:p>
            <w:pPr>
              <w:spacing w:after="0"/>
              <w:rPr>
                <w:sz w:val="17"/>
                <w:szCs w:val="17"/>
                <w:color w:val="auto"/>
              </w:rPr>
            </w:pPr>
          </w:p>
        </w:tc>
        <w:tc>
          <w:tcPr>
            <w:tcW w:w="1280" w:type="dxa"/>
            <w:vAlign w:val="bottom"/>
            <w:gridSpan w:val="4"/>
          </w:tcPr>
          <w:p>
            <w:pPr>
              <w:jc w:val="right"/>
              <w:ind w:right="160"/>
              <w:spacing w:after="0"/>
              <w:rPr>
                <w:sz w:val="20"/>
                <w:szCs w:val="20"/>
                <w:color w:val="auto"/>
              </w:rPr>
            </w:pPr>
            <w:r>
              <w:rPr>
                <w:rFonts w:ascii="Arial" w:cs="Arial" w:eastAsia="Arial" w:hAnsi="Arial"/>
                <w:sz w:val="16"/>
                <w:szCs w:val="16"/>
                <w:color w:val="auto"/>
              </w:rPr>
              <w:t>4 26,510</w:t>
            </w:r>
          </w:p>
        </w:tc>
        <w:tc>
          <w:tcPr>
            <w:tcW w:w="1260" w:type="dxa"/>
            <w:vAlign w:val="bottom"/>
            <w:gridSpan w:val="4"/>
          </w:tcPr>
          <w:p>
            <w:pPr>
              <w:jc w:val="right"/>
              <w:ind w:right="80"/>
              <w:spacing w:after="0"/>
              <w:rPr>
                <w:sz w:val="20"/>
                <w:szCs w:val="20"/>
                <w:color w:val="auto"/>
              </w:rPr>
            </w:pPr>
            <w:r>
              <w:rPr>
                <w:rFonts w:ascii="Arial" w:cs="Arial" w:eastAsia="Arial" w:hAnsi="Arial"/>
                <w:sz w:val="16"/>
                <w:szCs w:val="16"/>
                <w:color w:val="auto"/>
              </w:rPr>
              <w:t>49.8%</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6.0%</w:t>
            </w:r>
          </w:p>
        </w:tc>
      </w:tr>
      <w:tr>
        <w:trPr>
          <w:trHeight w:val="240"/>
        </w:trPr>
        <w:tc>
          <w:tcPr>
            <w:tcW w:w="5020" w:type="dxa"/>
            <w:vAlign w:val="bottom"/>
            <w:shd w:val="clear" w:color="auto" w:fill="CCEEFF"/>
          </w:tcPr>
          <w:p>
            <w:pPr>
              <w:spacing w:after="0" w:line="240" w:lineRule="exact"/>
              <w:rPr>
                <w:sz w:val="20"/>
                <w:szCs w:val="20"/>
                <w:color w:val="auto"/>
              </w:rPr>
            </w:pPr>
            <w:r>
              <w:rPr>
                <w:rFonts w:ascii="Arial" w:cs="Arial" w:eastAsia="Arial" w:hAnsi="Arial"/>
                <w:sz w:val="16"/>
                <w:szCs w:val="16"/>
                <w:color w:val="auto"/>
              </w:rPr>
              <w:t xml:space="preserve">Net shareholders' equity </w:t>
            </w:r>
            <w:r>
              <w:rPr>
                <w:rFonts w:ascii="Arial" w:cs="Arial" w:eastAsia="Arial" w:hAnsi="Arial"/>
                <w:sz w:val="26"/>
                <w:szCs w:val="26"/>
                <w:color w:val="auto"/>
                <w:vertAlign w:val="superscript"/>
              </w:rPr>
              <w:t>(1)</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579,818</w:t>
            </w:r>
          </w:p>
        </w:tc>
        <w:tc>
          <w:tcPr>
            <w:tcW w:w="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97,948</w:t>
            </w:r>
          </w:p>
        </w:tc>
        <w:tc>
          <w:tcPr>
            <w:tcW w:w="10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5 47,352</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-21.6%</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-5.6%</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(1) Net shareholders' equity includes unrealized gains from Prima's investment portfolio.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Funds under management</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w:t>
            </w:r>
          </w:p>
        </w:tc>
        <w:tc>
          <w:tcPr>
            <w:tcW w:w="8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Dec 19</w:t>
            </w:r>
          </w:p>
        </w:tc>
        <w:tc>
          <w:tcPr>
            <w:tcW w:w="1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 share</w:t>
            </w:r>
          </w:p>
        </w:tc>
        <w:tc>
          <w:tcPr>
            <w:tcW w:w="24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Mar 20</w:t>
            </w: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EEFF"/>
            </w:tcBorders>
          </w:tcPr>
          <w:p>
            <w:pPr>
              <w:spacing w:after="0"/>
              <w:rPr>
                <w:sz w:val="24"/>
                <w:szCs w:val="24"/>
                <w:color w:val="auto"/>
              </w:rPr>
            </w:pPr>
          </w:p>
        </w:tc>
      </w:tr>
      <w:tr>
        <w:trPr>
          <w:trHeight w:val="20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3"/>
        </w:trPr>
        <w:tc>
          <w:tcPr>
            <w:tcW w:w="4360" w:type="dxa"/>
            <w:vAlign w:val="bottom"/>
            <w:gridSpan w:val="2"/>
          </w:tcPr>
          <w:p>
            <w:pPr>
              <w:spacing w:after="0"/>
              <w:rPr>
                <w:sz w:val="20"/>
                <w:szCs w:val="20"/>
                <w:color w:val="auto"/>
              </w:rPr>
            </w:pPr>
            <w:r>
              <w:rPr>
                <w:rFonts w:ascii="Arial" w:cs="Arial" w:eastAsia="Arial" w:hAnsi="Arial"/>
                <w:sz w:val="18"/>
                <w:szCs w:val="18"/>
                <w:color w:val="auto"/>
              </w:rPr>
              <w:t>Fund 1</w:t>
            </w:r>
          </w:p>
        </w:tc>
        <w:tc>
          <w:tcPr>
            <w:tcW w:w="980" w:type="dxa"/>
            <w:vAlign w:val="bottom"/>
          </w:tcPr>
          <w:p>
            <w:pPr>
              <w:jc w:val="right"/>
              <w:spacing w:after="0"/>
              <w:rPr>
                <w:sz w:val="20"/>
                <w:szCs w:val="20"/>
                <w:color w:val="auto"/>
              </w:rPr>
            </w:pPr>
            <w:r>
              <w:rPr>
                <w:rFonts w:ascii="Arial" w:cs="Arial" w:eastAsia="Arial" w:hAnsi="Arial"/>
                <w:sz w:val="18"/>
                <w:szCs w:val="18"/>
                <w:color w:val="auto"/>
              </w:rPr>
              <w:t>6,418</w:t>
            </w:r>
          </w:p>
        </w:tc>
        <w:tc>
          <w:tcPr>
            <w:tcW w:w="160" w:type="dxa"/>
            <w:vAlign w:val="bottom"/>
          </w:tcPr>
          <w:p>
            <w:pPr>
              <w:spacing w:after="0"/>
              <w:rPr>
                <w:sz w:val="18"/>
                <w:szCs w:val="18"/>
                <w:color w:val="auto"/>
              </w:rPr>
            </w:pPr>
          </w:p>
        </w:tc>
        <w:tc>
          <w:tcPr>
            <w:tcW w:w="1220" w:type="dxa"/>
            <w:vAlign w:val="bottom"/>
            <w:gridSpan w:val="2"/>
          </w:tcPr>
          <w:p>
            <w:pPr>
              <w:jc w:val="right"/>
              <w:ind w:right="11"/>
              <w:spacing w:after="0"/>
              <w:rPr>
                <w:sz w:val="20"/>
                <w:szCs w:val="20"/>
                <w:color w:val="auto"/>
              </w:rPr>
            </w:pPr>
            <w:r>
              <w:rPr>
                <w:rFonts w:ascii="Arial" w:cs="Arial" w:eastAsia="Arial" w:hAnsi="Arial"/>
                <w:sz w:val="18"/>
                <w:szCs w:val="18"/>
                <w:color w:val="auto"/>
              </w:rPr>
              <w:t>11.8%</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5,842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213"/>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 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40,657</w:t>
            </w:r>
          </w:p>
        </w:tc>
        <w:tc>
          <w:tcPr>
            <w:tcW w:w="12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Fund 3</w:t>
            </w:r>
          </w:p>
        </w:tc>
        <w:tc>
          <w:tcPr>
            <w:tcW w:w="980" w:type="dxa"/>
            <w:vAlign w:val="bottom"/>
          </w:tcPr>
          <w:p>
            <w:pPr>
              <w:jc w:val="right"/>
              <w:spacing w:after="0"/>
              <w:rPr>
                <w:sz w:val="20"/>
                <w:szCs w:val="20"/>
                <w:color w:val="auto"/>
              </w:rPr>
            </w:pPr>
            <w:r>
              <w:rPr>
                <w:rFonts w:ascii="Arial" w:cs="Arial" w:eastAsia="Arial" w:hAnsi="Arial"/>
                <w:sz w:val="18"/>
                <w:szCs w:val="18"/>
                <w:color w:val="auto"/>
              </w:rPr>
              <w:t>6,385</w:t>
            </w:r>
          </w:p>
        </w:tc>
        <w:tc>
          <w:tcPr>
            <w:tcW w:w="160" w:type="dxa"/>
            <w:vAlign w:val="bottom"/>
          </w:tcPr>
          <w:p>
            <w:pPr>
              <w:spacing w:after="0"/>
              <w:rPr>
                <w:sz w:val="19"/>
                <w:szCs w:val="19"/>
                <w:color w:val="auto"/>
              </w:rPr>
            </w:pPr>
          </w:p>
        </w:tc>
        <w:tc>
          <w:tcPr>
            <w:tcW w:w="1220" w:type="dxa"/>
            <w:vAlign w:val="bottom"/>
            <w:gridSpan w:val="2"/>
          </w:tcPr>
          <w:p>
            <w:pPr>
              <w:jc w:val="right"/>
              <w:ind w:right="11"/>
              <w:spacing w:after="0"/>
              <w:rPr>
                <w:sz w:val="20"/>
                <w:szCs w:val="20"/>
                <w:color w:val="auto"/>
              </w:rPr>
            </w:pPr>
            <w:r>
              <w:rPr>
                <w:rFonts w:ascii="Arial" w:cs="Arial" w:eastAsia="Arial" w:hAnsi="Arial"/>
                <w:sz w:val="18"/>
                <w:szCs w:val="18"/>
                <w:color w:val="auto"/>
              </w:rPr>
              <w:t>11.8%</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4,910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20"/>
        </w:trPr>
        <w:tc>
          <w:tcPr>
            <w:tcW w:w="4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 Millions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54,211</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46,864</w:t>
            </w:r>
          </w:p>
        </w:tc>
        <w:tc>
          <w:tcPr>
            <w:tcW w:w="1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360" w:type="dxa"/>
            <w:vAlign w:val="bottom"/>
          </w:tcPr>
          <w:p>
            <w:pPr>
              <w:spacing w:after="0"/>
              <w:rPr>
                <w:sz w:val="20"/>
                <w:szCs w:val="20"/>
                <w:color w:val="auto"/>
              </w:rPr>
            </w:pPr>
            <w:r>
              <w:rPr>
                <w:rFonts w:ascii="Arial" w:cs="Arial" w:eastAsia="Arial" w:hAnsi="Arial"/>
                <w:sz w:val="18"/>
                <w:szCs w:val="18"/>
                <w:i w:val="1"/>
                <w:iCs w:val="1"/>
                <w:color w:val="auto"/>
              </w:rPr>
              <w:t>Source: SBS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220" w:type="dxa"/>
            <w:vAlign w:val="bottom"/>
            <w:gridSpan w:val="7"/>
          </w:tcPr>
          <w:p>
            <w:pPr>
              <w:spacing w:after="0"/>
              <w:rPr>
                <w:sz w:val="20"/>
                <w:szCs w:val="20"/>
                <w:color w:val="auto"/>
              </w:rPr>
            </w:pPr>
            <w:r>
              <w:rPr>
                <w:rFonts w:ascii="Arial" w:cs="Arial" w:eastAsia="Arial" w:hAnsi="Arial"/>
                <w:sz w:val="18"/>
                <w:szCs w:val="18"/>
                <w:b w:val="1"/>
                <w:bCs w:val="1"/>
                <w:color w:val="auto"/>
              </w:rPr>
              <w:t>Nominal profitability over the last 12 months</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60" w:type="dxa"/>
            <w:vAlign w:val="bottom"/>
            <w:gridSpan w:val="10"/>
          </w:tcPr>
          <w:p>
            <w:pPr>
              <w:jc w:val="right"/>
              <w:ind w:right="540"/>
              <w:spacing w:after="0"/>
              <w:rPr>
                <w:sz w:val="20"/>
                <w:szCs w:val="20"/>
                <w:color w:val="auto"/>
              </w:rPr>
            </w:pPr>
            <w:r>
              <w:rPr>
                <w:rFonts w:ascii="Arial" w:cs="Arial" w:eastAsia="Arial" w:hAnsi="Arial"/>
                <w:sz w:val="18"/>
                <w:szCs w:val="18"/>
                <w:b w:val="1"/>
                <w:bCs w:val="1"/>
                <w:color w:val="auto"/>
                <w:w w:val="94"/>
              </w:rPr>
              <w:t>Dec 19 / Dec 18   Mar 20 / Mar 19</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Fund 0</w:t>
            </w:r>
          </w:p>
        </w:tc>
        <w:tc>
          <w:tcPr>
            <w:tcW w:w="5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36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20"/>
                <w:szCs w:val="20"/>
                <w:color w:val="auto"/>
              </w:rPr>
            </w:pPr>
            <w:r>
              <w:rPr>
                <w:rFonts w:ascii="Arial" w:cs="Arial" w:eastAsia="Arial" w:hAnsi="Arial"/>
                <w:sz w:val="18"/>
                <w:szCs w:val="18"/>
                <w:color w:val="auto"/>
              </w:rPr>
              <w:t>Fund 1</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60" w:type="dxa"/>
            <w:vAlign w:val="bottom"/>
          </w:tcPr>
          <w:p>
            <w:pPr>
              <w:spacing w:after="0"/>
              <w:rPr>
                <w:sz w:val="20"/>
                <w:szCs w:val="20"/>
                <w:color w:val="auto"/>
              </w:rPr>
            </w:pPr>
            <w:r>
              <w:rPr>
                <w:rFonts w:ascii="Arial" w:cs="Arial" w:eastAsia="Arial" w:hAnsi="Arial"/>
                <w:sz w:val="18"/>
                <w:szCs w:val="18"/>
                <w:color w:val="auto"/>
              </w:rPr>
              <w:t>Fund 3</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360" w:type="dxa"/>
            <w:vAlign w:val="bottom"/>
          </w:tcPr>
          <w:p>
            <w:pPr>
              <w:spacing w:after="0"/>
              <w:rPr>
                <w:sz w:val="20"/>
                <w:szCs w:val="20"/>
                <w:color w:val="auto"/>
              </w:rPr>
            </w:pPr>
            <w:r>
              <w:rPr>
                <w:rFonts w:ascii="Arial" w:cs="Arial" w:eastAsia="Arial" w:hAnsi="Arial"/>
                <w:sz w:val="18"/>
                <w:szCs w:val="18"/>
                <w:b w:val="1"/>
                <w:bCs w:val="1"/>
                <w:color w:val="auto"/>
              </w:rPr>
              <w:t>AFP fees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Fee based on</w:t>
            </w: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flow</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w:t>
            </w:r>
          </w:p>
        </w:tc>
        <w:tc>
          <w:tcPr>
            <w:tcW w:w="3560" w:type="dxa"/>
            <w:vAlign w:val="bottom"/>
            <w:gridSpan w:val="9"/>
            <w:shd w:val="clear" w:color="auto" w:fill="CCEEFF"/>
          </w:tcPr>
          <w:p>
            <w:pPr>
              <w:ind w:left="60"/>
              <w:spacing w:after="0"/>
              <w:rPr>
                <w:sz w:val="20"/>
                <w:szCs w:val="20"/>
                <w:color w:val="auto"/>
              </w:rPr>
            </w:pPr>
            <w:r>
              <w:rPr>
                <w:rFonts w:ascii="Arial" w:cs="Arial" w:eastAsia="Arial" w:hAnsi="Arial"/>
                <w:sz w:val="18"/>
                <w:szCs w:val="18"/>
                <w:color w:val="auto"/>
                <w:w w:val="94"/>
              </w:rPr>
              <w:t>Applied to the affiliates' monthly remuneration.</w:t>
            </w: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Flow</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0.18%</w:t>
            </w:r>
          </w:p>
        </w:tc>
        <w:tc>
          <w:tcPr>
            <w:tcW w:w="7220" w:type="dxa"/>
            <w:vAlign w:val="bottom"/>
            <w:gridSpan w:val="17"/>
            <w:shd w:val="clear" w:color="auto" w:fill="CCEEFF"/>
          </w:tcPr>
          <w:p>
            <w:pPr>
              <w:ind w:left="60"/>
              <w:spacing w:after="0"/>
              <w:rPr>
                <w:sz w:val="20"/>
                <w:szCs w:val="20"/>
                <w:color w:val="auto"/>
              </w:rPr>
            </w:pPr>
            <w:r>
              <w:rPr>
                <w:rFonts w:ascii="Arial" w:cs="Arial" w:eastAsia="Arial" w:hAnsi="Arial"/>
                <w:sz w:val="18"/>
                <w:szCs w:val="18"/>
                <w:color w:val="auto"/>
              </w:rPr>
              <w:t>Applied to the affiliates' monthly remuneration since June 2017. Feb 17- may 17 =0.87%.</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360" w:type="dxa"/>
            <w:vAlign w:val="bottom"/>
            <w:gridSpan w:val="19"/>
          </w:tcPr>
          <w:p>
            <w:pPr>
              <w:ind w:left="60"/>
              <w:spacing w:after="0" w:line="199" w:lineRule="exact"/>
              <w:rPr>
                <w:sz w:val="20"/>
                <w:szCs w:val="20"/>
                <w:color w:val="auto"/>
              </w:rPr>
            </w:pPr>
            <w:r>
              <w:rPr>
                <w:rFonts w:ascii="Arial" w:cs="Arial" w:eastAsia="Arial" w:hAnsi="Arial"/>
                <w:sz w:val="18"/>
                <w:szCs w:val="18"/>
                <w:color w:val="auto"/>
                <w:w w:val="93"/>
              </w:rPr>
              <w:t>Applies annualy to the new balance since February 2013 for new affiliates to the system and beginning on June</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20"/>
                <w:szCs w:val="20"/>
                <w:color w:val="auto"/>
              </w:rPr>
            </w:pPr>
            <w:r>
              <w:rPr>
                <w:rFonts w:ascii="Arial" w:cs="Arial" w:eastAsia="Arial" w:hAnsi="Arial"/>
                <w:sz w:val="18"/>
                <w:szCs w:val="18"/>
                <w:color w:val="auto"/>
              </w:rPr>
              <w:t>Balance</w:t>
            </w:r>
          </w:p>
        </w:tc>
        <w:tc>
          <w:tcPr>
            <w:tcW w:w="520" w:type="dxa"/>
            <w:vAlign w:val="bottom"/>
          </w:tcPr>
          <w:p>
            <w:pPr>
              <w:jc w:val="right"/>
              <w:spacing w:after="0"/>
              <w:rPr>
                <w:sz w:val="20"/>
                <w:szCs w:val="20"/>
                <w:color w:val="auto"/>
              </w:rPr>
            </w:pPr>
            <w:r>
              <w:rPr>
                <w:rFonts w:ascii="Arial" w:cs="Arial" w:eastAsia="Arial" w:hAnsi="Arial"/>
                <w:sz w:val="18"/>
                <w:szCs w:val="18"/>
                <w:color w:val="auto"/>
                <w:w w:val="86"/>
              </w:rPr>
              <w:t>1.25%</w:t>
            </w:r>
          </w:p>
        </w:tc>
        <w:tc>
          <w:tcPr>
            <w:tcW w:w="4800" w:type="dxa"/>
            <w:vAlign w:val="bottom"/>
            <w:gridSpan w:val="13"/>
          </w:tcPr>
          <w:p>
            <w:pPr>
              <w:ind w:left="60"/>
              <w:spacing w:after="0"/>
              <w:rPr>
                <w:sz w:val="20"/>
                <w:szCs w:val="20"/>
                <w:color w:val="auto"/>
              </w:rPr>
            </w:pPr>
            <w:r>
              <w:rPr>
                <w:rFonts w:ascii="Arial" w:cs="Arial" w:eastAsia="Arial" w:hAnsi="Arial"/>
                <w:sz w:val="18"/>
                <w:szCs w:val="18"/>
                <w:color w:val="auto"/>
                <w:w w:val="91"/>
              </w:rPr>
              <w:t>2013 for old affiliates who have chosen this commission scheme.</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360" w:type="dxa"/>
            <w:vAlign w:val="bottom"/>
          </w:tcPr>
          <w:p>
            <w:pPr>
              <w:spacing w:after="0"/>
              <w:rPr>
                <w:sz w:val="20"/>
                <w:szCs w:val="20"/>
                <w:color w:val="auto"/>
              </w:rPr>
            </w:pPr>
            <w:r>
              <w:rPr>
                <w:rFonts w:ascii="Arial" w:cs="Arial" w:eastAsia="Arial" w:hAnsi="Arial"/>
                <w:sz w:val="18"/>
                <w:szCs w:val="18"/>
                <w:b w:val="1"/>
                <w:bCs w:val="1"/>
                <w:color w:val="auto"/>
              </w:rPr>
              <w:t>Main indicators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Prima</w:t>
            </w:r>
          </w:p>
        </w:tc>
        <w:tc>
          <w:tcPr>
            <w:tcW w:w="1220" w:type="dxa"/>
            <w:vAlign w:val="bottom"/>
            <w:gridSpan w:val="4"/>
          </w:tcPr>
          <w:p>
            <w:pPr>
              <w:ind w:left="260"/>
              <w:spacing w:after="0"/>
              <w:rPr>
                <w:sz w:val="20"/>
                <w:szCs w:val="20"/>
                <w:color w:val="auto"/>
              </w:rPr>
            </w:pPr>
            <w:r>
              <w:rPr>
                <w:rFonts w:ascii="Arial" w:cs="Arial" w:eastAsia="Arial" w:hAnsi="Arial"/>
                <w:sz w:val="16"/>
                <w:szCs w:val="16"/>
                <w:b w:val="1"/>
                <w:bCs w:val="1"/>
                <w:color w:val="auto"/>
              </w:rPr>
              <w:t>System</w:t>
            </w:r>
          </w:p>
        </w:tc>
        <w:tc>
          <w:tcPr>
            <w:tcW w:w="124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1"/>
              </w:rPr>
              <w:t>% share</w:t>
            </w:r>
          </w:p>
        </w:tc>
        <w:tc>
          <w:tcPr>
            <w:tcW w:w="1220" w:type="dxa"/>
            <w:vAlign w:val="bottom"/>
            <w:gridSpan w:val="2"/>
          </w:tcPr>
          <w:p>
            <w:pPr>
              <w:ind w:left="280"/>
              <w:spacing w:after="0"/>
              <w:rPr>
                <w:sz w:val="20"/>
                <w:szCs w:val="20"/>
                <w:color w:val="auto"/>
              </w:rPr>
            </w:pPr>
            <w:r>
              <w:rPr>
                <w:rFonts w:ascii="Arial" w:cs="Arial" w:eastAsia="Arial" w:hAnsi="Arial"/>
                <w:sz w:val="16"/>
                <w:szCs w:val="16"/>
                <w:b w:val="1"/>
                <w:bCs w:val="1"/>
                <w:color w:val="auto"/>
              </w:rPr>
              <w:t>Prima</w:t>
            </w: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System</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 share</w:t>
            </w:r>
          </w:p>
        </w:tc>
        <w:tc>
          <w:tcPr>
            <w:tcW w:w="0" w:type="dxa"/>
            <w:vAlign w:val="bottom"/>
          </w:tcPr>
          <w:p>
            <w:pPr>
              <w:spacing w:after="0"/>
              <w:rPr>
                <w:sz w:val="1"/>
                <w:szCs w:val="1"/>
                <w:color w:val="auto"/>
              </w:rPr>
            </w:pPr>
          </w:p>
        </w:tc>
      </w:tr>
      <w:tr>
        <w:trPr>
          <w:trHeight w:val="211"/>
        </w:trPr>
        <w:tc>
          <w:tcPr>
            <w:tcW w:w="2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1"/>
              </w:rPr>
              <w:t>Main indicators and market share</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16"/>
                <w:szCs w:val="16"/>
                <w:b w:val="1"/>
                <w:bCs w:val="1"/>
                <w:color w:val="auto"/>
              </w:rPr>
              <w:t>4Q19</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6"/>
                <w:szCs w:val="16"/>
                <w:b w:val="1"/>
                <w:bCs w:val="1"/>
                <w:color w:val="auto"/>
              </w:rPr>
              <w:t>4Q19</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4Q19</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1Q20</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1Q20</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1Q20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Affiliates</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2,355,005</w:t>
            </w:r>
          </w:p>
        </w:tc>
        <w:tc>
          <w:tcPr>
            <w:tcW w:w="2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7,426,667</w:t>
            </w:r>
          </w:p>
        </w:tc>
        <w:tc>
          <w:tcPr>
            <w:tcW w:w="22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31.7%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2,365,347</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7,521,916</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40"/>
        </w:trPr>
        <w:tc>
          <w:tcPr>
            <w:tcW w:w="2360" w:type="dxa"/>
            <w:vAlign w:val="bottom"/>
          </w:tcPr>
          <w:p>
            <w:pPr>
              <w:spacing w:after="0" w:line="240" w:lineRule="exact"/>
              <w:rPr>
                <w:sz w:val="20"/>
                <w:szCs w:val="20"/>
                <w:color w:val="auto"/>
              </w:rPr>
            </w:pPr>
            <w:r>
              <w:rPr>
                <w:rFonts w:ascii="Arial" w:cs="Arial" w:eastAsia="Arial" w:hAnsi="Arial"/>
                <w:sz w:val="16"/>
                <w:szCs w:val="16"/>
                <w:color w:val="auto"/>
              </w:rPr>
              <w:t xml:space="preserve">New affiliations </w:t>
            </w:r>
            <w:r>
              <w:rPr>
                <w:rFonts w:ascii="Arial" w:cs="Arial" w:eastAsia="Arial" w:hAnsi="Arial"/>
                <w:sz w:val="26"/>
                <w:szCs w:val="26"/>
                <w:color w:val="auto"/>
                <w:vertAlign w:val="superscript"/>
              </w:rPr>
              <w:t>(1)</w:t>
            </w:r>
          </w:p>
        </w:tc>
        <w:tc>
          <w:tcPr>
            <w:tcW w:w="520" w:type="dxa"/>
            <w:vAlign w:val="bottom"/>
          </w:tcPr>
          <w:p>
            <w:pPr>
              <w:spacing w:after="0"/>
              <w:rPr>
                <w:sz w:val="20"/>
                <w:szCs w:val="20"/>
                <w:color w:val="auto"/>
              </w:rPr>
            </w:pPr>
          </w:p>
        </w:tc>
        <w:tc>
          <w:tcPr>
            <w:tcW w:w="2340" w:type="dxa"/>
            <w:vAlign w:val="bottom"/>
            <w:gridSpan w:val="5"/>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111,398</w:t>
            </w:r>
          </w:p>
        </w:tc>
        <w:tc>
          <w:tcPr>
            <w:tcW w:w="220" w:type="dxa"/>
            <w:vAlign w:val="bottom"/>
          </w:tcPr>
          <w:p>
            <w:pPr>
              <w:spacing w:after="0"/>
              <w:rPr>
                <w:sz w:val="20"/>
                <w:szCs w:val="20"/>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6"/>
                <w:szCs w:val="16"/>
                <w:color w:val="auto"/>
              </w:rPr>
              <w:t>0.0%</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100,553</w:t>
            </w:r>
          </w:p>
        </w:tc>
        <w:tc>
          <w:tcPr>
            <w:tcW w:w="2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0"/>
        </w:trPr>
        <w:tc>
          <w:tcPr>
            <w:tcW w:w="2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Funds under management (S/ Millions)</w:t>
            </w:r>
          </w:p>
        </w:tc>
        <w:tc>
          <w:tcPr>
            <w:tcW w:w="2340" w:type="dxa"/>
            <w:vAlign w:val="bottom"/>
            <w:gridSpan w:val="5"/>
            <w:shd w:val="clear" w:color="auto" w:fill="CCEEFF"/>
          </w:tcPr>
          <w:p>
            <w:pPr>
              <w:jc w:val="right"/>
              <w:ind w:right="240"/>
              <w:spacing w:after="0"/>
              <w:rPr>
                <w:sz w:val="20"/>
                <w:szCs w:val="20"/>
                <w:color w:val="auto"/>
              </w:rPr>
            </w:pPr>
            <w:r>
              <w:rPr>
                <w:rFonts w:ascii="Arial" w:cs="Arial" w:eastAsia="Arial" w:hAnsi="Arial"/>
                <w:sz w:val="16"/>
                <w:szCs w:val="16"/>
                <w:color w:val="auto"/>
              </w:rPr>
              <w:t>54,211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174,823</w:t>
            </w:r>
          </w:p>
        </w:tc>
        <w:tc>
          <w:tcPr>
            <w:tcW w:w="22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31.0%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46,864</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154,044</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20"/>
                <w:szCs w:val="20"/>
                <w:color w:val="auto"/>
              </w:rPr>
            </w:pPr>
            <w:r>
              <w:rPr>
                <w:rFonts w:ascii="Arial" w:cs="Arial" w:eastAsia="Arial" w:hAnsi="Arial"/>
                <w:sz w:val="16"/>
                <w:szCs w:val="16"/>
                <w:color w:val="auto"/>
              </w:rPr>
              <w:t>Collections (S/ Millions)</w:t>
            </w:r>
          </w:p>
        </w:tc>
        <w:tc>
          <w:tcPr>
            <w:tcW w:w="520" w:type="dxa"/>
            <w:vAlign w:val="bottom"/>
          </w:tcPr>
          <w:p>
            <w:pPr>
              <w:spacing w:after="0"/>
              <w:rPr>
                <w:sz w:val="17"/>
                <w:szCs w:val="17"/>
                <w:color w:val="auto"/>
              </w:rPr>
            </w:pPr>
          </w:p>
        </w:tc>
        <w:tc>
          <w:tcPr>
            <w:tcW w:w="2340" w:type="dxa"/>
            <w:vAlign w:val="bottom"/>
            <w:gridSpan w:val="5"/>
          </w:tcPr>
          <w:p>
            <w:pPr>
              <w:jc w:val="right"/>
              <w:ind w:right="240"/>
              <w:spacing w:after="0"/>
              <w:rPr>
                <w:sz w:val="20"/>
                <w:szCs w:val="20"/>
                <w:color w:val="auto"/>
              </w:rPr>
            </w:pPr>
            <w:r>
              <w:rPr>
                <w:rFonts w:ascii="Arial" w:cs="Arial" w:eastAsia="Arial" w:hAnsi="Arial"/>
                <w:sz w:val="16"/>
                <w:szCs w:val="16"/>
                <w:color w:val="auto"/>
              </w:rPr>
              <w:t>661</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1,982</w:t>
            </w:r>
          </w:p>
        </w:tc>
        <w:tc>
          <w:tcPr>
            <w:tcW w:w="220" w:type="dxa"/>
            <w:vAlign w:val="bottom"/>
          </w:tcPr>
          <w:p>
            <w:pPr>
              <w:spacing w:after="0"/>
              <w:rPr>
                <w:sz w:val="17"/>
                <w:szCs w:val="17"/>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6"/>
                <w:szCs w:val="16"/>
                <w:color w:val="auto"/>
              </w:rPr>
              <w:t>33.3%</w:t>
            </w:r>
          </w:p>
        </w:tc>
        <w:tc>
          <w:tcPr>
            <w:tcW w:w="1000" w:type="dxa"/>
            <w:vAlign w:val="bottom"/>
          </w:tcPr>
          <w:p>
            <w:pPr>
              <w:jc w:val="right"/>
              <w:spacing w:after="0"/>
              <w:rPr>
                <w:sz w:val="20"/>
                <w:szCs w:val="20"/>
                <w:color w:val="auto"/>
              </w:rPr>
            </w:pPr>
            <w:r>
              <w:rPr>
                <w:rFonts w:ascii="Arial" w:cs="Arial" w:eastAsia="Arial" w:hAnsi="Arial"/>
                <w:sz w:val="16"/>
                <w:szCs w:val="16"/>
                <w:color w:val="auto"/>
              </w:rPr>
              <w:t>1,002</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3,089</w:t>
            </w: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0"/>
        </w:trPr>
        <w:tc>
          <w:tcPr>
            <w:tcW w:w="2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Voluntary contributions (S/ Millions)</w:t>
            </w:r>
          </w:p>
        </w:tc>
        <w:tc>
          <w:tcPr>
            <w:tcW w:w="2340" w:type="dxa"/>
            <w:vAlign w:val="bottom"/>
            <w:gridSpan w:val="5"/>
            <w:shd w:val="clear" w:color="auto" w:fill="CCEEFF"/>
          </w:tcPr>
          <w:p>
            <w:pPr>
              <w:jc w:val="right"/>
              <w:ind w:right="240"/>
              <w:spacing w:after="0"/>
              <w:rPr>
                <w:sz w:val="20"/>
                <w:szCs w:val="20"/>
                <w:color w:val="auto"/>
              </w:rPr>
            </w:pPr>
            <w:r>
              <w:rPr>
                <w:rFonts w:ascii="Arial" w:cs="Arial" w:eastAsia="Arial" w:hAnsi="Arial"/>
                <w:sz w:val="16"/>
                <w:szCs w:val="16"/>
                <w:color w:val="auto"/>
              </w:rPr>
              <w:t>1,103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2 ,295</w:t>
            </w:r>
          </w:p>
        </w:tc>
        <w:tc>
          <w:tcPr>
            <w:tcW w:w="22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48.1%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349"/>
        </w:trPr>
        <w:tc>
          <w:tcPr>
            <w:tcW w:w="2360" w:type="dxa"/>
            <w:vAlign w:val="bottom"/>
          </w:tcPr>
          <w:p>
            <w:pPr>
              <w:spacing w:after="0"/>
              <w:rPr>
                <w:sz w:val="20"/>
                <w:szCs w:val="20"/>
                <w:color w:val="auto"/>
              </w:rPr>
            </w:pPr>
            <w:r>
              <w:rPr>
                <w:rFonts w:ascii="Arial" w:cs="Arial" w:eastAsia="Arial" w:hAnsi="Arial"/>
                <w:sz w:val="16"/>
                <w:szCs w:val="16"/>
                <w:color w:val="auto"/>
              </w:rPr>
              <w:t xml:space="preserve">RAM (S/ Millions) </w:t>
            </w:r>
            <w:r>
              <w:rPr>
                <w:rFonts w:ascii="Arial" w:cs="Arial" w:eastAsia="Arial" w:hAnsi="Arial"/>
                <w:sz w:val="26"/>
                <w:szCs w:val="26"/>
                <w:color w:val="auto"/>
                <w:vertAlign w:val="superscript"/>
              </w:rPr>
              <w:t>(2)</w:t>
            </w:r>
          </w:p>
        </w:tc>
        <w:tc>
          <w:tcPr>
            <w:tcW w:w="520" w:type="dxa"/>
            <w:vAlign w:val="bottom"/>
          </w:tcPr>
          <w:p>
            <w:pPr>
              <w:spacing w:after="0"/>
              <w:rPr>
                <w:sz w:val="24"/>
                <w:szCs w:val="24"/>
                <w:color w:val="auto"/>
              </w:rPr>
            </w:pPr>
          </w:p>
        </w:tc>
        <w:tc>
          <w:tcPr>
            <w:tcW w:w="2340" w:type="dxa"/>
            <w:vAlign w:val="bottom"/>
            <w:gridSpan w:val="5"/>
          </w:tcPr>
          <w:p>
            <w:pPr>
              <w:jc w:val="right"/>
              <w:ind w:right="240"/>
              <w:spacing w:after="0"/>
              <w:rPr>
                <w:sz w:val="20"/>
                <w:szCs w:val="20"/>
                <w:color w:val="auto"/>
              </w:rPr>
            </w:pPr>
            <w:r>
              <w:rPr>
                <w:rFonts w:ascii="Arial" w:cs="Arial" w:eastAsia="Arial" w:hAnsi="Arial"/>
                <w:sz w:val="16"/>
                <w:szCs w:val="16"/>
                <w:color w:val="auto"/>
              </w:rPr>
              <w:t>2,868</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7,422</w:t>
            </w:r>
          </w:p>
        </w:tc>
        <w:tc>
          <w:tcPr>
            <w:tcW w:w="220" w:type="dxa"/>
            <w:vAlign w:val="bottom"/>
          </w:tcPr>
          <w:p>
            <w:pPr>
              <w:spacing w:after="0"/>
              <w:rPr>
                <w:sz w:val="24"/>
                <w:szCs w:val="24"/>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6"/>
                <w:szCs w:val="16"/>
                <w:color w:val="auto"/>
              </w:rPr>
              <w:t>38.6%</w:t>
            </w:r>
          </w:p>
        </w:tc>
        <w:tc>
          <w:tcPr>
            <w:tcW w:w="1000" w:type="dxa"/>
            <w:vAlign w:val="bottom"/>
          </w:tcPr>
          <w:p>
            <w:pPr>
              <w:jc w:val="right"/>
              <w:spacing w:after="0"/>
              <w:rPr>
                <w:sz w:val="20"/>
                <w:szCs w:val="20"/>
                <w:color w:val="auto"/>
              </w:rPr>
            </w:pPr>
            <w:r>
              <w:rPr>
                <w:rFonts w:ascii="Arial" w:cs="Arial" w:eastAsia="Arial" w:hAnsi="Arial"/>
                <w:sz w:val="16"/>
                <w:szCs w:val="16"/>
                <w:color w:val="auto"/>
              </w:rPr>
              <w:t>2,827</w:t>
            </w:r>
          </w:p>
        </w:tc>
        <w:tc>
          <w:tcPr>
            <w:tcW w:w="2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7,411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SBS</w:t>
      </w:r>
    </w:p>
    <w:p>
      <w:pPr>
        <w:spacing w:after="0" w:line="220" w:lineRule="exact"/>
        <w:rPr>
          <w:sz w:val="20"/>
          <w:szCs w:val="20"/>
          <w:color w:val="auto"/>
        </w:rPr>
      </w:pPr>
    </w:p>
    <w:p>
      <w:pPr>
        <w:ind w:left="260" w:hanging="253"/>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of June 2019, another AFP has the exclusivity of affiliations.</w:t>
      </w:r>
    </w:p>
    <w:p>
      <w:pPr>
        <w:spacing w:after="0" w:line="19" w:lineRule="exact"/>
        <w:rPr>
          <w:rFonts w:ascii="Arial" w:cs="Arial" w:eastAsia="Arial" w:hAnsi="Arial"/>
          <w:sz w:val="18"/>
          <w:szCs w:val="18"/>
          <w:color w:val="auto"/>
        </w:rPr>
      </w:pPr>
    </w:p>
    <w:p>
      <w:pPr>
        <w:ind w:right="1060" w:firstLine="7"/>
        <w:spacing w:after="0" w:line="255" w:lineRule="auto"/>
        <w:tabs>
          <w:tab w:leader="none" w:pos="2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Prima AFP estimate: Average of aggregated income during the last 4 months, excluding special collections and voluntary contribution fees. Information available to February.</w:t>
      </w:r>
    </w:p>
    <w:p>
      <w:pPr>
        <w:spacing w:after="0" w:line="200" w:lineRule="exact"/>
        <w:rPr>
          <w:sz w:val="20"/>
          <w:szCs w:val="20"/>
          <w:color w:val="auto"/>
        </w:rPr>
      </w:pPr>
    </w:p>
    <w:p>
      <w:pPr>
        <w:spacing w:after="0" w:line="20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46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11.9.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6532245" cy="73374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32245" cy="733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0" w:hanging="253"/>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total deposits, due to banks and correspondents, BCRP instruments, repurchase agreements and bonds and notes issued.</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Does not include Life insurance business.</w:t>
      </w:r>
    </w:p>
    <w:p>
      <w:pPr>
        <w:spacing w:after="0" w:line="6" w:lineRule="exact"/>
        <w:rPr>
          <w:rFonts w:ascii="Arial" w:cs="Arial" w:eastAsia="Arial" w:hAnsi="Arial"/>
          <w:sz w:val="18"/>
          <w:szCs w:val="18"/>
          <w:color w:val="auto"/>
        </w:rPr>
      </w:pPr>
    </w:p>
    <w:p>
      <w:pPr>
        <w:jc w:val="both"/>
        <w:ind w:right="20" w:firstLine="7"/>
        <w:spacing w:after="0" w:line="262" w:lineRule="auto"/>
        <w:tabs>
          <w:tab w:leader="none" w:pos="263" w:val="left"/>
        </w:tabs>
        <w:numPr>
          <w:ilvl w:val="0"/>
          <w:numId w:val="90"/>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3"/>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investment in subsidiaries, goodwill, intangibles and deferred tax that rely on future profitability.</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895" w:right="339" w:bottom="99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1)"/>
      <w:numFmt w:val="decimal"/>
      <w:start w:val="1"/>
    </w:lvl>
  </w:abstractNum>
  <w:abstractNum w:abstractNumId="2">
    <w:nsid w:val="542289EC"/>
    <w:multiLevelType w:val="hybridMultilevel"/>
    <w:lvl w:ilvl="0">
      <w:lvlJc w:val="left"/>
      <w:lvlText w:val="(%1)"/>
      <w:numFmt w:val="decimal"/>
      <w:start w:val="13"/>
    </w:lvl>
  </w:abstractNum>
  <w:abstractNum w:abstractNumId="3">
    <w:nsid w:val="6DE91B18"/>
    <w:multiLevelType w:val="hybridMultilevel"/>
    <w:lvl w:ilvl="0">
      <w:lvlJc w:val="left"/>
      <w:lvlText w:val="(%1)"/>
      <w:numFmt w:val="decimal"/>
      <w:start w:val="1"/>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1."/>
      <w:numFmt w:val="decimal"/>
      <w:start w:val="1"/>
    </w:lvl>
  </w:abstractNum>
  <w:abstractNum w:abstractNumId="6">
    <w:nsid w:val="32FFF902"/>
    <w:multiLevelType w:val="hybridMultilevel"/>
    <w:lvl w:ilvl="0">
      <w:lvlJc w:val="left"/>
      <w:lvlText w:val="(%1)"/>
      <w:numFmt w:val="decimal"/>
      <w:start w:val="1"/>
    </w:lvl>
  </w:abstractNum>
  <w:abstractNum w:abstractNumId="7">
    <w:nsid w:val="684A481A"/>
    <w:multiLevelType w:val="hybridMultilevel"/>
    <w:lvl w:ilvl="0">
      <w:lvlJc w:val="left"/>
      <w:lvlText w:val="(%1)"/>
      <w:numFmt w:val="lowerRoman"/>
      <w:start w:val="1"/>
    </w:lvl>
  </w:abstractNum>
  <w:abstractNum w:abstractNumId="8">
    <w:nsid w:val="579478FE"/>
    <w:multiLevelType w:val="hybridMultilevel"/>
    <w:lvl w:ilvl="0">
      <w:lvlJc w:val="left"/>
      <w:lvlText w:val="(%1)"/>
      <w:numFmt w:val="lowerRoman"/>
      <w:start w:val="1"/>
    </w:lvl>
  </w:abstractNum>
  <w:abstractNum w:abstractNumId="9">
    <w:nsid w:val="749ABB43"/>
    <w:multiLevelType w:val="hybridMultilevel"/>
    <w:lvl w:ilvl="0">
      <w:lvlJc w:val="left"/>
      <w:lvlText w:val="(%1)"/>
      <w:numFmt w:val="decimal"/>
      <w:start w:val="1"/>
    </w:lvl>
  </w:abstractNum>
  <w:abstractNum w:abstractNumId="10">
    <w:nsid w:val="3DC240FB"/>
    <w:multiLevelType w:val="hybridMultilevel"/>
    <w:lvl w:ilvl="0">
      <w:lvlJc w:val="left"/>
      <w:lvlText w:val="(%1)"/>
      <w:numFmt w:val="lowerRoman"/>
      <w:start w:val="1"/>
    </w:lvl>
  </w:abstractNum>
  <w:abstractNum w:abstractNumId="11">
    <w:nsid w:val="1BA026FA"/>
    <w:multiLevelType w:val="hybridMultilevel"/>
    <w:lvl w:ilvl="0">
      <w:lvlJc w:val="left"/>
      <w:lvlText w:val="(%1)"/>
      <w:numFmt w:val="lowerRoman"/>
      <w:start w:val="1"/>
    </w:lvl>
  </w:abstractNum>
  <w:abstractNum w:abstractNumId="12">
    <w:nsid w:val="79A1DEAA"/>
    <w:multiLevelType w:val="hybridMultilevel"/>
    <w:lvl w:ilvl="0">
      <w:lvlJc w:val="left"/>
      <w:lvlText w:val="(%1)"/>
      <w:numFmt w:val="decimal"/>
      <w:start w:val="1"/>
    </w:lvl>
  </w:abstractNum>
  <w:abstractNum w:abstractNumId="13">
    <w:nsid w:val="75C6C33A"/>
    <w:multiLevelType w:val="hybridMultilevel"/>
    <w:lvl w:ilvl="0">
      <w:lvlJc w:val="left"/>
      <w:lvlText w:val="(%1)"/>
      <w:numFmt w:val="decimal"/>
      <w:start w:val="1"/>
    </w:lvl>
  </w:abstractNum>
  <w:abstractNum w:abstractNumId="14">
    <w:nsid w:val="12E685FB"/>
    <w:multiLevelType w:val="hybridMultilevel"/>
    <w:lvl w:ilvl="0">
      <w:lvlJc w:val="left"/>
      <w:lvlText w:val="%1."/>
      <w:numFmt w:val="decimal"/>
      <w:start w:val="2"/>
    </w:lvl>
  </w:abstractNum>
  <w:abstractNum w:abstractNumId="15">
    <w:nsid w:val="70C6A529"/>
    <w:multiLevelType w:val="hybridMultilevel"/>
    <w:lvl w:ilvl="0">
      <w:lvlJc w:val="left"/>
      <w:lvlText w:val="%1"/>
      <w:numFmt w:val="lowerRoman"/>
      <w:start w:val="1"/>
    </w:lvl>
    <w:lvl w:ilvl="1">
      <w:lvlJc w:val="left"/>
      <w:lvlText w:val="(%2)"/>
      <w:numFmt w:val="decimal"/>
      <w:start w:val="1"/>
    </w:lvl>
  </w:abstractNum>
  <w:abstractNum w:abstractNumId="16">
    <w:nsid w:val="520EEDD1"/>
    <w:multiLevelType w:val="hybridMultilevel"/>
    <w:lvl w:ilvl="0">
      <w:lvlJc w:val="left"/>
      <w:lvlText w:val="(%1)"/>
      <w:numFmt w:val="lowerRoman"/>
      <w:start w:val="1"/>
    </w:lvl>
    <w:lvl w:ilvl="1">
      <w:lvlJc w:val="left"/>
      <w:lvlText w:val="%2"/>
      <w:numFmt w:val="decimal"/>
      <w:start w:val="1"/>
    </w:lvl>
  </w:abstractNum>
  <w:abstractNum w:abstractNumId="17">
    <w:nsid w:val="374A3FE6"/>
    <w:multiLevelType w:val="hybridMultilevel"/>
    <w:lvl w:ilvl="0">
      <w:lvlJc w:val="left"/>
      <w:lvlText w:val="(%1)"/>
      <w:numFmt w:val="lowerRoman"/>
      <w:start w:val="3"/>
    </w:lvl>
  </w:abstractNum>
  <w:abstractNum w:abstractNumId="18">
    <w:nsid w:val="4F4EF005"/>
    <w:multiLevelType w:val="hybridMultilevel"/>
    <w:lvl w:ilvl="0">
      <w:lvlJc w:val="left"/>
      <w:lvlText w:val="(%1)"/>
      <w:numFmt w:val="lowerRoman"/>
      <w:start w:val="1"/>
    </w:lvl>
    <w:lvl w:ilvl="1">
      <w:lvlJc w:val="left"/>
      <w:lvlText w:val="(%2)"/>
      <w:numFmt w:val="lowerRoman"/>
      <w:start w:val="2"/>
    </w:lvl>
  </w:abstractNum>
  <w:abstractNum w:abstractNumId="19">
    <w:nsid w:val="23F9C13C"/>
    <w:multiLevelType w:val="hybridMultilevel"/>
    <w:lvl w:ilvl="0">
      <w:lvlJc w:val="left"/>
      <w:lvlText w:val="(%1)"/>
      <w:numFmt w:val="lowerRoman"/>
      <w:start w:val="1"/>
    </w:lvl>
  </w:abstractNum>
  <w:abstractNum w:abstractNumId="20">
    <w:nsid w:val="649BB77C"/>
    <w:multiLevelType w:val="hybridMultilevel"/>
    <w:lvl w:ilvl="0">
      <w:lvlJc w:val="left"/>
      <w:lvlText w:val="(%1)"/>
      <w:numFmt w:val="lowerRoman"/>
      <w:start w:val="1"/>
    </w:lvl>
  </w:abstractNum>
  <w:abstractNum w:abstractNumId="21">
    <w:nsid w:val="275AC794"/>
    <w:multiLevelType w:val="hybridMultilevel"/>
    <w:lvl w:ilvl="0">
      <w:lvlJc w:val="left"/>
      <w:lvlText w:val="(%1)"/>
      <w:numFmt w:val="decimal"/>
      <w:start w:val="1"/>
    </w:lvl>
  </w:abstractNum>
  <w:abstractNum w:abstractNumId="22">
    <w:nsid w:val="39386575"/>
    <w:multiLevelType w:val="hybridMultilevel"/>
    <w:lvl w:ilvl="0">
      <w:lvlJc w:val="left"/>
      <w:lvlText w:val="(%1)"/>
      <w:numFmt w:val="lowerRoman"/>
      <w:start w:val="1"/>
    </w:lvl>
  </w:abstractNum>
  <w:abstractNum w:abstractNumId="23">
    <w:nsid w:val="1CF10FD8"/>
    <w:multiLevelType w:val="hybridMultilevel"/>
    <w:lvl w:ilvl="0">
      <w:lvlJc w:val="left"/>
      <w:lvlText w:val="(%1)"/>
      <w:numFmt w:val="lowerRoman"/>
      <w:start w:val="1"/>
    </w:lvl>
  </w:abstractNum>
  <w:abstractNum w:abstractNumId="24">
    <w:nsid w:val="180115BE"/>
    <w:multiLevelType w:val="hybridMultilevel"/>
    <w:lvl w:ilvl="0">
      <w:lvlJc w:val="left"/>
      <w:lvlText w:val="(%1)"/>
      <w:numFmt w:val="decimal"/>
      <w:start w:val="1"/>
    </w:lvl>
    <w:lvl w:ilvl="1">
      <w:lvlJc w:val="left"/>
      <w:lvlText w:val="(%2)"/>
      <w:numFmt w:val="lowerRoman"/>
      <w:start w:val="1"/>
    </w:lvl>
  </w:abstractNum>
  <w:abstractNum w:abstractNumId="25">
    <w:nsid w:val="235BA861"/>
    <w:multiLevelType w:val="hybridMultilevel"/>
    <w:lvl w:ilvl="0">
      <w:lvlJc w:val="left"/>
      <w:lvlText w:val="%1."/>
      <w:numFmt w:val="decimal"/>
      <w:start w:val="3"/>
    </w:lvl>
  </w:abstractNum>
  <w:abstractNum w:abstractNumId="26">
    <w:nsid w:val="47398C89"/>
    <w:multiLevelType w:val="hybridMultilevel"/>
    <w:lvl w:ilvl="0">
      <w:lvlJc w:val="left"/>
      <w:lvlText w:val="(%1)"/>
      <w:numFmt w:val="lowerRoman"/>
      <w:start w:val="1"/>
    </w:lvl>
  </w:abstractNum>
  <w:abstractNum w:abstractNumId="27">
    <w:nsid w:val="354FE9F9"/>
    <w:multiLevelType w:val="hybridMultilevel"/>
    <w:lvl w:ilvl="0">
      <w:lvlJc w:val="left"/>
      <w:lvlText w:val="(%1)"/>
      <w:numFmt w:val="lowerRoman"/>
      <w:start w:val="1"/>
    </w:lvl>
  </w:abstractNum>
  <w:abstractNum w:abstractNumId="28">
    <w:nsid w:val="15B5AF5C"/>
    <w:multiLevelType w:val="hybridMultilevel"/>
    <w:lvl w:ilvl="0">
      <w:lvlJc w:val="left"/>
      <w:lvlText w:val="(%1)"/>
      <w:numFmt w:val="decimal"/>
      <w:start w:val="1"/>
    </w:lvl>
  </w:abstractNum>
  <w:abstractNum w:abstractNumId="29">
    <w:nsid w:val="741226BB"/>
    <w:multiLevelType w:val="hybridMultilevel"/>
    <w:lvl w:ilvl="0">
      <w:lvlJc w:val="left"/>
      <w:lvlText w:val="(%1)"/>
      <w:numFmt w:val="decimal"/>
      <w:start w:val="1"/>
    </w:lvl>
  </w:abstractNum>
  <w:abstractNum w:abstractNumId="30">
    <w:nsid w:val="D34B6A8"/>
    <w:multiLevelType w:val="hybridMultilevel"/>
    <w:lvl w:ilvl="0">
      <w:lvlJc w:val="left"/>
      <w:lvlText w:val="(%1)"/>
      <w:numFmt w:val="lowerRoman"/>
      <w:start w:val="1"/>
    </w:lvl>
  </w:abstractNum>
  <w:abstractNum w:abstractNumId="31">
    <w:nsid w:val="10233C99"/>
    <w:multiLevelType w:val="hybridMultilevel"/>
    <w:lvl w:ilvl="0">
      <w:lvlJc w:val="left"/>
      <w:lvlText w:val="(%1)"/>
      <w:numFmt w:val="lowerRoman"/>
      <w:start w:val="1"/>
    </w:lvl>
  </w:abstractNum>
  <w:abstractNum w:abstractNumId="32">
    <w:nsid w:val="3F6AB60F"/>
    <w:multiLevelType w:val="hybridMultilevel"/>
    <w:lvl w:ilvl="0">
      <w:lvlJc w:val="left"/>
      <w:lvlText w:val="(%1)"/>
      <w:numFmt w:val="decimal"/>
      <w:start w:val="1"/>
    </w:lvl>
  </w:abstractNum>
  <w:abstractNum w:abstractNumId="33">
    <w:nsid w:val="61574095"/>
    <w:multiLevelType w:val="hybridMultilevel"/>
    <w:lvl w:ilvl="0">
      <w:lvlJc w:val="left"/>
      <w:lvlText w:val="(%1)"/>
      <w:numFmt w:val="lowerRoman"/>
      <w:start w:val="1"/>
    </w:lvl>
  </w:abstractNum>
  <w:abstractNum w:abstractNumId="34">
    <w:nsid w:val="7E0C57B1"/>
    <w:multiLevelType w:val="hybridMultilevel"/>
    <w:lvl w:ilvl="0">
      <w:lvlJc w:val="left"/>
      <w:lvlText w:val="(%1)"/>
      <w:numFmt w:val="lowerRoman"/>
      <w:start w:val="2"/>
    </w:lvl>
  </w:abstractNum>
  <w:abstractNum w:abstractNumId="35">
    <w:nsid w:val="77AE35EB"/>
    <w:multiLevelType w:val="hybridMultilevel"/>
    <w:lvl w:ilvl="0">
      <w:lvlJc w:val="left"/>
      <w:lvlText w:val="(%1)"/>
      <w:numFmt w:val="lowerRoman"/>
      <w:start w:val="3"/>
    </w:lvl>
  </w:abstractNum>
  <w:abstractNum w:abstractNumId="36">
    <w:nsid w:val="579BE4F1"/>
    <w:multiLevelType w:val="hybridMultilevel"/>
    <w:lvl w:ilvl="0">
      <w:lvlJc w:val="left"/>
      <w:lvlText w:val="(%1)"/>
      <w:numFmt w:val="lowerRoman"/>
      <w:start w:val="4"/>
    </w:lvl>
  </w:abstractNum>
  <w:abstractNum w:abstractNumId="37">
    <w:nsid w:val="310C50B3"/>
    <w:multiLevelType w:val="hybridMultilevel"/>
    <w:lvl w:ilvl="0">
      <w:lvlJc w:val="left"/>
      <w:lvlText w:val="(%1)"/>
      <w:numFmt w:val="lowerRoman"/>
      <w:start w:val="5"/>
    </w:lvl>
  </w:abstractNum>
  <w:abstractNum w:abstractNumId="38">
    <w:nsid w:val="5FF87E05"/>
    <w:multiLevelType w:val="hybridMultilevel"/>
    <w:lvl w:ilvl="0">
      <w:lvlJc w:val="left"/>
      <w:lvlText w:val="(%1)"/>
      <w:numFmt w:val="lowerRoman"/>
      <w:start w:val="6"/>
    </w:lvl>
  </w:abstractNum>
  <w:abstractNum w:abstractNumId="39">
    <w:nsid w:val="2F305DEF"/>
    <w:multiLevelType w:val="hybridMultilevel"/>
    <w:lvl w:ilvl="0">
      <w:lvlJc w:val="left"/>
      <w:lvlText w:val="(%1)"/>
      <w:numFmt w:val="lowerRoman"/>
      <w:start w:val="7"/>
    </w:lvl>
  </w:abstractNum>
  <w:abstractNum w:abstractNumId="40">
    <w:nsid w:val="25A70BF7"/>
    <w:multiLevelType w:val="hybridMultilevel"/>
    <w:lvl w:ilvl="0">
      <w:lvlJc w:val="left"/>
      <w:lvlText w:val="(%1)"/>
      <w:numFmt w:val="lowerRoman"/>
      <w:start w:val="8"/>
    </w:lvl>
  </w:abstractNum>
  <w:abstractNum w:abstractNumId="41">
    <w:nsid w:val="1DBABF00"/>
    <w:multiLevelType w:val="hybridMultilevel"/>
    <w:lvl w:ilvl="0">
      <w:lvlJc w:val="left"/>
      <w:lvlText w:val="(%1)"/>
      <w:numFmt w:val="decimal"/>
      <w:start w:val="1"/>
    </w:lvl>
  </w:abstractNum>
  <w:abstractNum w:abstractNumId="42">
    <w:nsid w:val="4AD084E9"/>
    <w:multiLevelType w:val="hybridMultilevel"/>
    <w:lvl w:ilvl="0">
      <w:lvlJc w:val="left"/>
      <w:lvlText w:val="(%1)"/>
      <w:numFmt w:val="lowerRoman"/>
      <w:start w:val="1"/>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1)"/>
      <w:numFmt w:val="lowerRoman"/>
      <w:start w:val="1"/>
    </w:lvl>
  </w:abstractNum>
  <w:abstractNum w:abstractNumId="45">
    <w:nsid w:val="5DB70AE5"/>
    <w:multiLevelType w:val="hybridMultilevel"/>
    <w:lvl w:ilvl="0">
      <w:lvlJc w:val="left"/>
      <w:lvlText w:val="(%1)"/>
      <w:numFmt w:val="decimal"/>
      <w:start w:val="1"/>
    </w:lvl>
  </w:abstractNum>
  <w:abstractNum w:abstractNumId="46">
    <w:nsid w:val="100F8FCA"/>
    <w:multiLevelType w:val="hybridMultilevel"/>
    <w:lvl w:ilvl="0">
      <w:lvlJc w:val="left"/>
      <w:lvlText w:val="(%1)"/>
      <w:numFmt w:val="decimal"/>
      <w:start w:val="1"/>
    </w:lvl>
  </w:abstractNum>
  <w:abstractNum w:abstractNumId="47">
    <w:nsid w:val="6590700B"/>
    <w:multiLevelType w:val="hybridMultilevel"/>
    <w:lvl w:ilvl="0">
      <w:lvlJc w:val="left"/>
      <w:lvlText w:val="(%1)"/>
      <w:numFmt w:val="decimal"/>
      <w:start w:val="1"/>
    </w:lvl>
  </w:abstractNum>
  <w:abstractNum w:abstractNumId="48">
    <w:nsid w:val="15014ACB"/>
    <w:multiLevelType w:val="hybridMultilevel"/>
    <w:lvl w:ilvl="0">
      <w:lvlJc w:val="left"/>
      <w:lvlText w:val="%1."/>
      <w:numFmt w:val="decimal"/>
      <w:start w:val="5"/>
    </w:lvl>
  </w:abstractNum>
  <w:abstractNum w:abstractNumId="49">
    <w:nsid w:val="5F5E7FD0"/>
    <w:multiLevelType w:val="hybridMultilevel"/>
    <w:lvl w:ilvl="0">
      <w:lvlJc w:val="left"/>
      <w:lvlText w:val="(%1)"/>
      <w:numFmt w:val="decimal"/>
      <w:start w:val="1"/>
    </w:lvl>
  </w:abstractNum>
  <w:abstractNum w:abstractNumId="50">
    <w:nsid w:val="98A3148"/>
    <w:multiLevelType w:val="hybridMultilevel"/>
    <w:lvl w:ilvl="0">
      <w:lvlJc w:val="left"/>
      <w:lvlText w:val="(%1)"/>
      <w:numFmt w:val="lowerRoman"/>
      <w:start w:val="1"/>
    </w:lvl>
  </w:abstractNum>
  <w:abstractNum w:abstractNumId="51">
    <w:nsid w:val="799D0247"/>
    <w:multiLevelType w:val="hybridMultilevel"/>
    <w:lvl w:ilvl="0">
      <w:lvlJc w:val="left"/>
      <w:lvlText w:val="(%1)"/>
      <w:numFmt w:val="lowerRoman"/>
      <w:start w:val="1"/>
    </w:lvl>
  </w:abstractNum>
  <w:abstractNum w:abstractNumId="52">
    <w:nsid w:val="6B94764"/>
    <w:multiLevelType w:val="hybridMultilevel"/>
    <w:lvl w:ilvl="0">
      <w:lvlJc w:val="left"/>
      <w:lvlText w:val="(%1)"/>
      <w:numFmt w:val="lowerRoman"/>
      <w:start w:val="2"/>
    </w:lvl>
  </w:abstractNum>
  <w:abstractNum w:abstractNumId="53">
    <w:nsid w:val="42C296BD"/>
    <w:multiLevelType w:val="hybridMultilevel"/>
    <w:lvl w:ilvl="0">
      <w:lvlJc w:val="left"/>
      <w:lvlText w:val="(%1)"/>
      <w:numFmt w:val="lowerRoman"/>
      <w:start w:val="1"/>
    </w:lvl>
  </w:abstractNum>
  <w:abstractNum w:abstractNumId="54">
    <w:nsid w:val="168E121F"/>
    <w:multiLevelType w:val="hybridMultilevel"/>
    <w:lvl w:ilvl="0">
      <w:lvlJc w:val="left"/>
      <w:lvlText w:val="(%1)"/>
      <w:numFmt w:val="decimal"/>
      <w:start w:val="1"/>
    </w:lvl>
  </w:abstractNum>
  <w:abstractNum w:abstractNumId="55">
    <w:nsid w:val="1EBA5D23"/>
    <w:multiLevelType w:val="hybridMultilevel"/>
    <w:lvl w:ilvl="0">
      <w:lvlJc w:val="left"/>
      <w:lvlText w:val="(%1)"/>
      <w:numFmt w:val="lowerRoman"/>
      <w:start w:val="1"/>
    </w:lvl>
  </w:abstractNum>
  <w:abstractNum w:abstractNumId="56">
    <w:nsid w:val="661E3F1E"/>
    <w:multiLevelType w:val="hybridMultilevel"/>
    <w:lvl w:ilvl="0">
      <w:lvlJc w:val="left"/>
      <w:lvlText w:val="(%1)"/>
      <w:numFmt w:val="lowerRoman"/>
      <w:start w:val="2"/>
    </w:lvl>
  </w:abstractNum>
  <w:abstractNum w:abstractNumId="57">
    <w:nsid w:val="5DC79EA8"/>
    <w:multiLevelType w:val="hybridMultilevel"/>
    <w:lvl w:ilvl="0">
      <w:lvlJc w:val="left"/>
      <w:lvlText w:val="(%1)"/>
      <w:numFmt w:val="decimal"/>
      <w:start w:val="1"/>
    </w:lvl>
  </w:abstractNum>
  <w:abstractNum w:abstractNumId="58">
    <w:nsid w:val="540A471C"/>
    <w:multiLevelType w:val="hybridMultilevel"/>
    <w:lvl w:ilvl="0">
      <w:lvlJc w:val="left"/>
      <w:lvlText w:val="%1)"/>
      <w:numFmt w:val="lowerRoman"/>
      <w:start w:val="2"/>
    </w:lvl>
  </w:abstractNum>
  <w:abstractNum w:abstractNumId="59">
    <w:nsid w:val="7BD3EE7B"/>
    <w:multiLevelType w:val="hybridMultilevel"/>
    <w:lvl w:ilvl="0">
      <w:lvlJc w:val="left"/>
      <w:lvlText w:val="(%1)"/>
      <w:numFmt w:val="decimal"/>
      <w:start w:val="1"/>
    </w:lvl>
  </w:abstractNum>
  <w:abstractNum w:abstractNumId="60">
    <w:nsid w:val="51D9C564"/>
    <w:multiLevelType w:val="hybridMultilevel"/>
    <w:lvl w:ilvl="0">
      <w:lvlJc w:val="left"/>
      <w:lvlText w:val="(%1)"/>
      <w:numFmt w:val="decimal"/>
      <w:start w:val="1"/>
    </w:lvl>
  </w:abstractNum>
  <w:abstractNum w:abstractNumId="61">
    <w:nsid w:val="613EFDC5"/>
    <w:multiLevelType w:val="hybridMultilevel"/>
    <w:lvl w:ilvl="0">
      <w:lvlJc w:val="left"/>
      <w:lvlText w:val="(%1)"/>
      <w:numFmt w:val="lowerRoman"/>
      <w:start w:val="1"/>
    </w:lvl>
  </w:abstractNum>
  <w:abstractNum w:abstractNumId="62">
    <w:nsid w:val="BF72B14"/>
    <w:multiLevelType w:val="hybridMultilevel"/>
    <w:lvl w:ilvl="0">
      <w:lvlJc w:val="left"/>
      <w:lvlText w:val="(%1)"/>
      <w:numFmt w:val="lowerRoman"/>
      <w:start w:val="2"/>
    </w:lvl>
  </w:abstractNum>
  <w:abstractNum w:abstractNumId="63">
    <w:nsid w:val="11447B73"/>
    <w:multiLevelType w:val="hybridMultilevel"/>
    <w:lvl w:ilvl="0">
      <w:lvlJc w:val="left"/>
      <w:lvlText w:val="(%1)"/>
      <w:numFmt w:val="lowerRoman"/>
      <w:start w:val="1"/>
    </w:lvl>
  </w:abstractNum>
  <w:abstractNum w:abstractNumId="64">
    <w:nsid w:val="42963E5A"/>
    <w:multiLevelType w:val="hybridMultilevel"/>
    <w:lvl w:ilvl="0">
      <w:lvlJc w:val="left"/>
      <w:lvlText w:val="(%1)"/>
      <w:numFmt w:val="lowerRoman"/>
      <w:start w:val="1"/>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1)"/>
      <w:numFmt w:val="decimal"/>
      <w:start w:val="1"/>
    </w:lvl>
  </w:abstractNum>
  <w:abstractNum w:abstractNumId="67">
    <w:nsid w:val="1A32234B"/>
    <w:multiLevelType w:val="hybridMultilevel"/>
    <w:lvl w:ilvl="0">
      <w:lvlJc w:val="left"/>
      <w:lvlText w:val="(%1)"/>
      <w:numFmt w:val="lowerRoman"/>
      <w:start w:val="1"/>
    </w:lvl>
  </w:abstractNum>
  <w:abstractNum w:abstractNumId="68">
    <w:nsid w:val="3B0FD379"/>
    <w:multiLevelType w:val="hybridMultilevel"/>
    <w:lvl w:ilvl="0">
      <w:lvlJc w:val="left"/>
      <w:lvlText w:val="(%1)"/>
      <w:numFmt w:val="decimal"/>
      <w:start w:val="1"/>
    </w:lvl>
  </w:abstractNum>
  <w:abstractNum w:abstractNumId="69">
    <w:nsid w:val="68EB2F63"/>
    <w:multiLevelType w:val="hybridMultilevel"/>
    <w:lvl w:ilvl="0">
      <w:lvlJc w:val="left"/>
      <w:lvlText w:val="(%1)"/>
      <w:numFmt w:val="decimal"/>
      <w:start w:val="1"/>
    </w:lvl>
  </w:abstractNum>
  <w:abstractNum w:abstractNumId="70">
    <w:nsid w:val="4962813B"/>
    <w:multiLevelType w:val="hybridMultilevel"/>
    <w:lvl w:ilvl="0">
      <w:lvlJc w:val="left"/>
      <w:lvlText w:val="(%1)"/>
      <w:numFmt w:val="decimal"/>
      <w:start w:val="8"/>
    </w:lvl>
  </w:abstractNum>
  <w:abstractNum w:abstractNumId="71">
    <w:nsid w:val="60B6DF70"/>
    <w:multiLevelType w:val="hybridMultilevel"/>
    <w:lvl w:ilvl="0">
      <w:lvlJc w:val="left"/>
      <w:lvlText w:val="%1."/>
      <w:numFmt w:val="decimal"/>
      <w:start w:val="9"/>
    </w:lvl>
  </w:abstractNum>
  <w:abstractNum w:abstractNumId="72">
    <w:nsid w:val="6A5EE64"/>
    <w:multiLevelType w:val="hybridMultilevel"/>
    <w:lvl w:ilvl="0">
      <w:lvlJc w:val="left"/>
      <w:lvlText w:val="(%1)"/>
      <w:numFmt w:val="decimal"/>
      <w:start w:val="1"/>
    </w:lvl>
  </w:abstractNum>
  <w:abstractNum w:abstractNumId="73">
    <w:nsid w:val="14330624"/>
    <w:multiLevelType w:val="hybridMultilevel"/>
    <w:lvl w:ilvl="0">
      <w:lvlJc w:val="left"/>
      <w:lvlText w:val="(%1)"/>
      <w:numFmt w:val="lowerRoman"/>
      <w:start w:val="1"/>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decimal"/>
      <w:start w:val="1"/>
    </w:lvl>
  </w:abstractNum>
  <w:abstractNum w:abstractNumId="76">
    <w:nsid w:val="71EA1109"/>
    <w:multiLevelType w:val="hybridMultilevel"/>
    <w:lvl w:ilvl="0">
      <w:lvlJc w:val="left"/>
      <w:lvlText w:val="%1."/>
      <w:numFmt w:val="decimal"/>
      <w:start w:val="11"/>
    </w:lvl>
  </w:abstractNum>
  <w:abstractNum w:abstractNumId="77">
    <w:nsid w:val="100F59DC"/>
    <w:multiLevelType w:val="hybridMultilevel"/>
    <w:lvl w:ilvl="0">
      <w:lvlJc w:val="left"/>
      <w:lvlText w:val="11.%1."/>
      <w:numFmt w:val="decimal"/>
      <w:start w:val="1"/>
    </w:lvl>
  </w:abstractNum>
  <w:abstractNum w:abstractNumId="78">
    <w:nsid w:val="7FB7E0AA"/>
    <w:multiLevelType w:val="hybridMultilevel"/>
    <w:lvl w:ilvl="0">
      <w:lvlJc w:val="left"/>
      <w:lvlText w:val="(%1)"/>
      <w:numFmt w:val="decimal"/>
      <w:start w:val="1"/>
    </w:lvl>
  </w:abstractNum>
  <w:abstractNum w:abstractNumId="79">
    <w:nsid w:val="6EB5BD4"/>
    <w:multiLevelType w:val="hybridMultilevel"/>
    <w:lvl w:ilvl="0">
      <w:lvlJc w:val="left"/>
      <w:lvlText w:val="(%1)"/>
      <w:numFmt w:val="decimal"/>
      <w:start w:val="5"/>
    </w:lvl>
  </w:abstractNum>
  <w:abstractNum w:abstractNumId="80">
    <w:nsid w:val="6F6DD9AC"/>
    <w:multiLevelType w:val="hybridMultilevel"/>
    <w:lvl w:ilvl="0">
      <w:lvlJc w:val="left"/>
      <w:lvlText w:val="(%1)"/>
      <w:numFmt w:val="decimal"/>
      <w:start w:val="1"/>
    </w:lvl>
  </w:abstractNum>
  <w:abstractNum w:abstractNumId="81">
    <w:nsid w:val="94211F2"/>
    <w:multiLevelType w:val="hybridMultilevel"/>
    <w:lvl w:ilvl="0">
      <w:lvlJc w:val="left"/>
      <w:lvlText w:val="(%1)"/>
      <w:numFmt w:val="decimal"/>
      <w:start w:val="1"/>
    </w:lvl>
  </w:abstractNum>
  <w:abstractNum w:abstractNumId="82">
    <w:nsid w:val="885E1B"/>
    <w:multiLevelType w:val="hybridMultilevel"/>
    <w:lvl w:ilvl="0">
      <w:lvlJc w:val="left"/>
      <w:lvlText w:val="(%1)"/>
      <w:numFmt w:val="decimal"/>
      <w:start w:val="1"/>
    </w:lvl>
  </w:abstractNum>
  <w:abstractNum w:abstractNumId="83">
    <w:nsid w:val="76272110"/>
    <w:multiLevelType w:val="hybridMultilevel"/>
    <w:lvl w:ilvl="0">
      <w:lvlJc w:val="left"/>
      <w:lvlText w:val="(%1)"/>
      <w:numFmt w:val="decimal"/>
      <w:start w:val="1"/>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decimal"/>
      <w:start w:val="1"/>
    </w:lvl>
  </w:abstractNum>
  <w:abstractNum w:abstractNumId="87">
    <w:nsid w:val="3222E7CD"/>
    <w:multiLevelType w:val="hybridMultilevel"/>
    <w:lvl w:ilvl="0">
      <w:lvlJc w:val="left"/>
      <w:lvlText w:val="(%1)"/>
      <w:numFmt w:val="lowerRoman"/>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2020-05-12T05:15:56Z</dcterms:created>
  <dcterms:modified xsi:type="dcterms:W3CDTF">2020-05-12T05:15:56Z</dcterms:modified>
</cp:coreProperties>
</file>